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35397">
      <w:pPr>
        <w:spacing w:line="360" w:lineRule="auto"/>
        <w:ind w:firstLine="562" w:firstLineChars="200"/>
        <w:outlineLvl w:val="1"/>
        <w:rPr>
          <w:rFonts w:ascii="宋体" w:hAnsi="宋体" w:eastAsia="宋体" w:cs="宋体"/>
          <w:b/>
          <w:bCs w:val="0"/>
          <w:sz w:val="24"/>
          <w:szCs w:val="24"/>
        </w:rPr>
      </w:pPr>
      <w:bookmarkStart w:id="0" w:name="_GoBack"/>
      <w:bookmarkEnd w:id="0"/>
      <w:r>
        <w:rPr>
          <w:rFonts w:hint="eastAsia" w:ascii="宋体" w:hAnsi="宋体" w:eastAsia="宋体" w:cs="宋体"/>
          <w:b/>
          <w:bCs w:val="0"/>
          <w:sz w:val="28"/>
          <w:szCs w:val="28"/>
          <w:u w:val="none"/>
        </w:rPr>
        <w:t>2026年杜集区残疾人基本型辅助器具采购项目</w:t>
      </w:r>
      <w:r>
        <w:rPr>
          <w:rFonts w:hint="eastAsia" w:ascii="宋体" w:hAnsi="宋体" w:eastAsia="宋体" w:cs="宋体"/>
          <w:b/>
          <w:bCs w:val="0"/>
          <w:sz w:val="28"/>
          <w:szCs w:val="28"/>
          <w:u w:val="none"/>
          <w:lang w:eastAsia="zh-CN"/>
        </w:rPr>
        <w:t>采购</w:t>
      </w:r>
      <w:r>
        <w:rPr>
          <w:rFonts w:hint="eastAsia" w:ascii="宋体" w:hAnsi="宋体" w:eastAsia="宋体" w:cs="宋体"/>
          <w:b/>
          <w:bCs w:val="0"/>
          <w:sz w:val="28"/>
          <w:szCs w:val="28"/>
          <w:u w:val="none"/>
        </w:rPr>
        <w:t>需求</w:t>
      </w:r>
    </w:p>
    <w:tbl>
      <w:tblPr>
        <w:tblStyle w:val="3"/>
        <w:tblW w:w="904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10"/>
        <w:gridCol w:w="4590"/>
        <w:gridCol w:w="1515"/>
        <w:gridCol w:w="765"/>
      </w:tblGrid>
      <w:tr w14:paraId="1C31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DE3267A">
            <w:pPr>
              <w:jc w:val="center"/>
              <w:rPr>
                <w:rFonts w:ascii="宋体" w:hAnsi="宋体" w:eastAsia="宋体" w:cs="宋体"/>
                <w:sz w:val="24"/>
                <w:szCs w:val="24"/>
              </w:rPr>
            </w:pPr>
            <w:r>
              <w:rPr>
                <w:rFonts w:hint="eastAsia" w:ascii="宋体" w:hAnsi="宋体" w:eastAsia="宋体" w:cs="宋体"/>
                <w:sz w:val="24"/>
                <w:szCs w:val="24"/>
              </w:rPr>
              <w:t>序号</w:t>
            </w:r>
          </w:p>
        </w:tc>
        <w:tc>
          <w:tcPr>
            <w:tcW w:w="1410" w:type="dxa"/>
            <w:vAlign w:val="center"/>
          </w:tcPr>
          <w:p w14:paraId="34555442">
            <w:pPr>
              <w:jc w:val="center"/>
              <w:rPr>
                <w:rFonts w:ascii="宋体" w:hAnsi="宋体" w:eastAsia="宋体" w:cs="宋体"/>
                <w:sz w:val="24"/>
                <w:szCs w:val="24"/>
              </w:rPr>
            </w:pPr>
            <w:r>
              <w:rPr>
                <w:rFonts w:hint="eastAsia" w:ascii="宋体" w:hAnsi="宋体" w:eastAsia="宋体" w:cs="宋体"/>
                <w:sz w:val="24"/>
                <w:szCs w:val="24"/>
              </w:rPr>
              <w:t>产品名称</w:t>
            </w:r>
          </w:p>
        </w:tc>
        <w:tc>
          <w:tcPr>
            <w:tcW w:w="4590" w:type="dxa"/>
            <w:vAlign w:val="center"/>
          </w:tcPr>
          <w:p w14:paraId="39C04E98">
            <w:pPr>
              <w:jc w:val="center"/>
              <w:rPr>
                <w:rFonts w:ascii="宋体" w:hAnsi="宋体" w:eastAsia="宋体" w:cs="宋体"/>
                <w:sz w:val="24"/>
                <w:szCs w:val="24"/>
              </w:rPr>
            </w:pPr>
            <w:r>
              <w:rPr>
                <w:rFonts w:hint="eastAsia" w:ascii="宋体" w:hAnsi="宋体" w:eastAsia="宋体" w:cs="宋体"/>
                <w:sz w:val="24"/>
                <w:szCs w:val="24"/>
              </w:rPr>
              <w:t>技术参数</w:t>
            </w:r>
          </w:p>
        </w:tc>
        <w:tc>
          <w:tcPr>
            <w:tcW w:w="1515" w:type="dxa"/>
            <w:vAlign w:val="center"/>
          </w:tcPr>
          <w:p w14:paraId="219E1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rPr>
            </w:pPr>
            <w:r>
              <w:rPr>
                <w:rFonts w:hint="eastAsia" w:ascii="宋体" w:hAnsi="宋体" w:eastAsia="宋体" w:cs="宋体"/>
                <w:sz w:val="24"/>
                <w:szCs w:val="24"/>
              </w:rPr>
              <w:t>采购数量</w:t>
            </w:r>
          </w:p>
          <w:p w14:paraId="1ED75C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宋体"/>
                <w:sz w:val="24"/>
                <w:szCs w:val="24"/>
              </w:rPr>
            </w:pPr>
            <w:r>
              <w:rPr>
                <w:rFonts w:hint="eastAsia" w:ascii="宋体" w:hAnsi="宋体" w:eastAsia="宋体" w:cs="宋体"/>
                <w:sz w:val="24"/>
                <w:szCs w:val="24"/>
              </w:rPr>
              <w:t>（件）</w:t>
            </w:r>
          </w:p>
        </w:tc>
        <w:tc>
          <w:tcPr>
            <w:tcW w:w="765" w:type="dxa"/>
            <w:vAlign w:val="center"/>
          </w:tcPr>
          <w:p w14:paraId="706FC3A6">
            <w:pPr>
              <w:spacing w:line="440" w:lineRule="exact"/>
              <w:jc w:val="center"/>
              <w:rPr>
                <w:rFonts w:ascii="宋体" w:hAnsi="宋体" w:eastAsia="宋体" w:cs="宋体"/>
                <w:sz w:val="24"/>
                <w:szCs w:val="24"/>
              </w:rPr>
            </w:pPr>
            <w:r>
              <w:rPr>
                <w:rFonts w:hint="eastAsia" w:ascii="宋体" w:hAnsi="宋体" w:eastAsia="宋体" w:cs="宋体"/>
                <w:sz w:val="24"/>
                <w:szCs w:val="24"/>
              </w:rPr>
              <w:t>备注</w:t>
            </w:r>
          </w:p>
        </w:tc>
      </w:tr>
      <w:tr w14:paraId="76AC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EDF5AC2">
            <w:pPr>
              <w:jc w:val="center"/>
              <w:rPr>
                <w:rFonts w:ascii="宋体" w:hAnsi="宋体" w:eastAsia="宋体" w:cs="宋体"/>
                <w:sz w:val="24"/>
                <w:szCs w:val="24"/>
              </w:rPr>
            </w:pPr>
            <w:r>
              <w:rPr>
                <w:rFonts w:hint="eastAsia" w:ascii="宋体" w:hAnsi="宋体" w:eastAsia="宋体" w:cs="宋体"/>
                <w:sz w:val="24"/>
                <w:szCs w:val="24"/>
              </w:rPr>
              <w:t>1</w:t>
            </w:r>
          </w:p>
        </w:tc>
        <w:tc>
          <w:tcPr>
            <w:tcW w:w="1410" w:type="dxa"/>
            <w:vAlign w:val="center"/>
          </w:tcPr>
          <w:p w14:paraId="590E9A67">
            <w:pPr>
              <w:spacing w:line="400" w:lineRule="exact"/>
              <w:jc w:val="center"/>
              <w:rPr>
                <w:rFonts w:ascii="宋体" w:hAnsi="宋体" w:eastAsia="宋体" w:cs="宋体"/>
                <w:sz w:val="24"/>
                <w:szCs w:val="24"/>
              </w:rPr>
            </w:pPr>
            <w:r>
              <w:rPr>
                <w:rFonts w:hint="eastAsia" w:ascii="宋体" w:hAnsi="宋体" w:eastAsia="宋体" w:cs="宋体"/>
                <w:sz w:val="24"/>
                <w:szCs w:val="24"/>
              </w:rPr>
              <w:t>普通手动</w:t>
            </w:r>
          </w:p>
          <w:p w14:paraId="751B9573">
            <w:pPr>
              <w:spacing w:line="400" w:lineRule="exact"/>
              <w:jc w:val="center"/>
              <w:rPr>
                <w:rFonts w:ascii="宋体" w:hAnsi="宋体" w:eastAsia="宋体" w:cs="宋体"/>
                <w:sz w:val="24"/>
                <w:szCs w:val="24"/>
              </w:rPr>
            </w:pPr>
            <w:r>
              <w:rPr>
                <w:rFonts w:hint="eastAsia" w:ascii="宋体" w:hAnsi="宋体" w:eastAsia="宋体" w:cs="宋体"/>
                <w:sz w:val="24"/>
                <w:szCs w:val="24"/>
              </w:rPr>
              <w:t>轮椅</w:t>
            </w:r>
          </w:p>
        </w:tc>
        <w:tc>
          <w:tcPr>
            <w:tcW w:w="4590" w:type="dxa"/>
          </w:tcPr>
          <w:p w14:paraId="5B5482B6">
            <w:pPr>
              <w:spacing w:line="360" w:lineRule="exact"/>
              <w:jc w:val="left"/>
              <w:rPr>
                <w:rFonts w:ascii="宋体" w:hAnsi="宋体" w:eastAsia="宋体" w:cs="宋体"/>
                <w:sz w:val="24"/>
                <w:szCs w:val="24"/>
              </w:rPr>
            </w:pPr>
            <w:r>
              <w:rPr>
                <w:rFonts w:hint="eastAsia" w:ascii="宋体" w:hAnsi="宋体" w:eastAsia="宋体" w:cs="宋体"/>
                <w:sz w:val="24"/>
                <w:szCs w:val="24"/>
              </w:rPr>
              <w:t>■1.产品符合GB/Z 13800-2021《手动轮椅车》国家标准。</w:t>
            </w:r>
          </w:p>
          <w:p w14:paraId="1FF0326E">
            <w:pPr>
              <w:spacing w:line="360" w:lineRule="exact"/>
              <w:jc w:val="left"/>
              <w:rPr>
                <w:rFonts w:ascii="宋体" w:hAnsi="宋体" w:eastAsia="宋体" w:cs="宋体"/>
                <w:sz w:val="24"/>
                <w:szCs w:val="24"/>
              </w:rPr>
            </w:pPr>
            <w:r>
              <w:rPr>
                <w:rFonts w:hint="eastAsia" w:ascii="宋体" w:hAnsi="宋体" w:eastAsia="宋体" w:cs="宋体"/>
                <w:sz w:val="24"/>
                <w:szCs w:val="24"/>
              </w:rPr>
              <w:t>2.其他技术参数：</w:t>
            </w:r>
          </w:p>
          <w:p w14:paraId="36A26C03">
            <w:pPr>
              <w:spacing w:line="360" w:lineRule="exact"/>
              <w:jc w:val="left"/>
              <w:rPr>
                <w:rFonts w:ascii="宋体" w:hAnsi="宋体" w:eastAsia="宋体" w:cs="宋体"/>
                <w:sz w:val="24"/>
                <w:szCs w:val="24"/>
              </w:rPr>
            </w:pPr>
            <w:r>
              <w:rPr>
                <w:rFonts w:hint="eastAsia" w:ascii="宋体" w:hAnsi="宋体" w:eastAsia="宋体" w:cs="宋体"/>
                <w:sz w:val="24"/>
                <w:szCs w:val="24"/>
              </w:rPr>
              <w:t>（1）手驱动后轮，可折叠；</w:t>
            </w:r>
          </w:p>
          <w:p w14:paraId="32D51C31">
            <w:pPr>
              <w:spacing w:line="360" w:lineRule="exact"/>
              <w:jc w:val="left"/>
              <w:rPr>
                <w:rFonts w:ascii="宋体" w:hAnsi="宋体" w:eastAsia="宋体" w:cs="宋体"/>
                <w:sz w:val="24"/>
                <w:szCs w:val="24"/>
              </w:rPr>
            </w:pPr>
            <w:r>
              <w:rPr>
                <w:rFonts w:hint="eastAsia" w:ascii="宋体" w:hAnsi="宋体" w:eastAsia="宋体" w:cs="宋体"/>
                <w:sz w:val="24"/>
                <w:szCs w:val="24"/>
              </w:rPr>
              <w:t>（2）车架为高强度铝合金材质，铝合金表面烤漆或氧化处理；</w:t>
            </w:r>
          </w:p>
          <w:p w14:paraId="26E110BF">
            <w:pPr>
              <w:spacing w:line="360" w:lineRule="exact"/>
              <w:jc w:val="left"/>
              <w:rPr>
                <w:rFonts w:ascii="宋体" w:hAnsi="宋体" w:eastAsia="宋体" w:cs="宋体"/>
                <w:sz w:val="24"/>
                <w:szCs w:val="24"/>
              </w:rPr>
            </w:pPr>
            <w:r>
              <w:rPr>
                <w:rFonts w:hint="eastAsia" w:ascii="宋体" w:hAnsi="宋体" w:eastAsia="宋体" w:cs="宋体"/>
                <w:sz w:val="24"/>
                <w:szCs w:val="24"/>
              </w:rPr>
              <w:t>（3）座靠垫采用牛津布料,并且内套加帆布进行加牢加固；</w:t>
            </w:r>
          </w:p>
          <w:p w14:paraId="089B8EB5">
            <w:pPr>
              <w:spacing w:line="360" w:lineRule="exact"/>
              <w:jc w:val="left"/>
              <w:rPr>
                <w:rFonts w:ascii="宋体" w:hAnsi="宋体" w:eastAsia="宋体" w:cs="宋体"/>
                <w:sz w:val="24"/>
                <w:szCs w:val="24"/>
              </w:rPr>
            </w:pPr>
            <w:r>
              <w:rPr>
                <w:rFonts w:hint="eastAsia" w:ascii="宋体" w:hAnsi="宋体" w:eastAsia="宋体" w:cs="宋体"/>
                <w:sz w:val="24"/>
                <w:szCs w:val="24"/>
              </w:rPr>
              <w:t>（4）耐磨≥6寸万向前轮，≥20寸后轮,具有良好的减震性能；</w:t>
            </w:r>
          </w:p>
          <w:p w14:paraId="07B5F100">
            <w:pPr>
              <w:spacing w:line="360" w:lineRule="exact"/>
              <w:rPr>
                <w:rFonts w:ascii="宋体" w:hAnsi="宋体" w:eastAsia="宋体" w:cs="宋体"/>
                <w:sz w:val="24"/>
                <w:szCs w:val="24"/>
              </w:rPr>
            </w:pPr>
            <w:r>
              <w:rPr>
                <w:rFonts w:hint="eastAsia" w:ascii="宋体" w:hAnsi="宋体" w:eastAsia="宋体" w:cs="宋体"/>
                <w:sz w:val="24"/>
                <w:szCs w:val="24"/>
              </w:rPr>
              <w:t>■（5）须提供省级及以上医疗器械质量监督检验机构出具的产品检测合格的检测报告扫描件，检测报告型号需与响应产品型号一致。</w:t>
            </w:r>
          </w:p>
        </w:tc>
        <w:tc>
          <w:tcPr>
            <w:tcW w:w="1515" w:type="dxa"/>
            <w:vAlign w:val="center"/>
          </w:tcPr>
          <w:p w14:paraId="64426E2E">
            <w:pPr>
              <w:jc w:val="center"/>
              <w:rPr>
                <w:rFonts w:ascii="宋体" w:hAnsi="宋体" w:eastAsia="宋体" w:cs="宋体"/>
                <w:sz w:val="24"/>
                <w:szCs w:val="24"/>
              </w:rPr>
            </w:pPr>
            <w:r>
              <w:rPr>
                <w:rFonts w:hint="eastAsia" w:ascii="宋体" w:hAnsi="宋体" w:eastAsia="宋体" w:cs="宋体"/>
                <w:sz w:val="24"/>
                <w:szCs w:val="24"/>
              </w:rPr>
              <w:t>141</w:t>
            </w:r>
          </w:p>
        </w:tc>
        <w:tc>
          <w:tcPr>
            <w:tcW w:w="765" w:type="dxa"/>
            <w:vAlign w:val="center"/>
          </w:tcPr>
          <w:p w14:paraId="73CA82BB">
            <w:pPr>
              <w:jc w:val="center"/>
              <w:rPr>
                <w:rFonts w:ascii="宋体" w:hAnsi="宋体" w:eastAsia="宋体" w:cs="宋体"/>
                <w:sz w:val="24"/>
                <w:szCs w:val="24"/>
              </w:rPr>
            </w:pPr>
          </w:p>
        </w:tc>
      </w:tr>
      <w:tr w14:paraId="30F2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3D00FEE">
            <w:pPr>
              <w:jc w:val="center"/>
              <w:rPr>
                <w:rFonts w:ascii="宋体" w:hAnsi="宋体" w:eastAsia="宋体" w:cs="宋体"/>
                <w:sz w:val="24"/>
                <w:szCs w:val="24"/>
              </w:rPr>
            </w:pPr>
            <w:r>
              <w:rPr>
                <w:rFonts w:hint="eastAsia" w:ascii="宋体" w:hAnsi="宋体" w:eastAsia="宋体" w:cs="宋体"/>
                <w:sz w:val="24"/>
                <w:szCs w:val="24"/>
              </w:rPr>
              <w:t>2</w:t>
            </w:r>
          </w:p>
        </w:tc>
        <w:tc>
          <w:tcPr>
            <w:tcW w:w="1410" w:type="dxa"/>
            <w:vAlign w:val="center"/>
          </w:tcPr>
          <w:p w14:paraId="08859746">
            <w:pPr>
              <w:spacing w:line="400" w:lineRule="exact"/>
              <w:jc w:val="center"/>
              <w:rPr>
                <w:rFonts w:ascii="宋体" w:hAnsi="宋体" w:eastAsia="宋体" w:cs="宋体"/>
                <w:sz w:val="24"/>
                <w:szCs w:val="24"/>
              </w:rPr>
            </w:pPr>
            <w:r>
              <w:rPr>
                <w:rFonts w:hint="eastAsia" w:ascii="宋体" w:hAnsi="宋体" w:eastAsia="宋体" w:cs="宋体"/>
                <w:sz w:val="24"/>
                <w:szCs w:val="24"/>
              </w:rPr>
              <w:t>框式两轮</w:t>
            </w:r>
          </w:p>
          <w:p w14:paraId="15CB17DC">
            <w:pPr>
              <w:spacing w:line="400" w:lineRule="exact"/>
              <w:jc w:val="center"/>
              <w:rPr>
                <w:rFonts w:ascii="宋体" w:hAnsi="宋体" w:eastAsia="宋体" w:cs="宋体"/>
                <w:sz w:val="24"/>
                <w:szCs w:val="24"/>
              </w:rPr>
            </w:pPr>
            <w:r>
              <w:rPr>
                <w:rFonts w:hint="eastAsia" w:ascii="宋体" w:hAnsi="宋体" w:eastAsia="宋体" w:cs="宋体"/>
                <w:sz w:val="24"/>
                <w:szCs w:val="24"/>
              </w:rPr>
              <w:t>助行器</w:t>
            </w:r>
          </w:p>
        </w:tc>
        <w:tc>
          <w:tcPr>
            <w:tcW w:w="4590" w:type="dxa"/>
          </w:tcPr>
          <w:p w14:paraId="1DCA0E36">
            <w:pPr>
              <w:spacing w:line="360" w:lineRule="exact"/>
              <w:rPr>
                <w:rFonts w:ascii="宋体" w:hAnsi="宋体" w:eastAsia="宋体" w:cs="宋体"/>
                <w:sz w:val="24"/>
                <w:szCs w:val="24"/>
              </w:rPr>
            </w:pPr>
            <w:r>
              <w:rPr>
                <w:rFonts w:hint="eastAsia" w:ascii="宋体" w:hAnsi="宋体" w:eastAsia="宋体" w:cs="宋体"/>
                <w:sz w:val="24"/>
                <w:szCs w:val="24"/>
              </w:rPr>
              <w:t>■1.产品应符合GB/T14728.1-2006《双臂操作助行器要求和试验方法第一部分：框式助行架》国家标准；</w:t>
            </w:r>
          </w:p>
          <w:p w14:paraId="523966FA">
            <w:pPr>
              <w:spacing w:line="360"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2.主体材质为高强度铝合金，铝合金表面烤漆或氧化处理，支脚耐磨、有弹性、表面摩擦系数较高；</w:t>
            </w:r>
          </w:p>
          <w:p w14:paraId="6EFEC7B1">
            <w:pPr>
              <w:spacing w:line="360" w:lineRule="exact"/>
              <w:rPr>
                <w:rFonts w:ascii="宋体" w:hAnsi="宋体" w:eastAsia="宋体" w:cs="宋体"/>
                <w:sz w:val="24"/>
                <w:szCs w:val="24"/>
              </w:rPr>
            </w:pPr>
            <w:r>
              <w:rPr>
                <w:rFonts w:hint="eastAsia" w:ascii="宋体" w:hAnsi="宋体" w:eastAsia="宋体" w:cs="宋体"/>
                <w:sz w:val="24"/>
                <w:szCs w:val="24"/>
              </w:rPr>
              <w:t>3.扶手承重</w:t>
            </w:r>
            <w:r>
              <w:rPr>
                <w:rFonts w:hint="eastAsia" w:ascii="宋体" w:hAnsi="宋体" w:eastAsia="宋体" w:cs="宋体"/>
                <w:bCs/>
                <w:sz w:val="24"/>
                <w:szCs w:val="24"/>
              </w:rPr>
              <w:t>≥</w:t>
            </w:r>
            <w:r>
              <w:rPr>
                <w:rFonts w:hint="eastAsia" w:ascii="宋体" w:hAnsi="宋体" w:eastAsia="宋体" w:cs="宋体"/>
                <w:sz w:val="24"/>
                <w:szCs w:val="24"/>
              </w:rPr>
              <w:t>100kg；</w:t>
            </w:r>
          </w:p>
          <w:p w14:paraId="0C7F77D5">
            <w:pPr>
              <w:spacing w:line="360" w:lineRule="exact"/>
              <w:jc w:val="left"/>
              <w:rPr>
                <w:rFonts w:ascii="宋体" w:hAnsi="宋体" w:eastAsia="宋体" w:cs="宋体"/>
                <w:sz w:val="24"/>
                <w:szCs w:val="24"/>
              </w:rPr>
            </w:pPr>
            <w:r>
              <w:rPr>
                <w:rFonts w:hint="eastAsia" w:ascii="宋体" w:hAnsi="宋体" w:eastAsia="宋体" w:cs="宋体"/>
                <w:sz w:val="24"/>
                <w:szCs w:val="24"/>
              </w:rPr>
              <w:t>4.能提供框式四脚、框式四轮、框式两轮、阶梯框式、差动框式助行器。</w:t>
            </w:r>
          </w:p>
        </w:tc>
        <w:tc>
          <w:tcPr>
            <w:tcW w:w="1515" w:type="dxa"/>
            <w:vAlign w:val="center"/>
          </w:tcPr>
          <w:p w14:paraId="5D4DDDE4">
            <w:pPr>
              <w:jc w:val="center"/>
              <w:rPr>
                <w:rFonts w:ascii="宋体" w:hAnsi="宋体" w:eastAsia="宋体" w:cs="宋体"/>
                <w:sz w:val="24"/>
                <w:szCs w:val="24"/>
              </w:rPr>
            </w:pPr>
            <w:r>
              <w:rPr>
                <w:rFonts w:hint="eastAsia" w:ascii="宋体" w:hAnsi="宋体" w:eastAsia="宋体" w:cs="宋体"/>
                <w:sz w:val="24"/>
                <w:szCs w:val="24"/>
              </w:rPr>
              <w:t>121</w:t>
            </w:r>
          </w:p>
        </w:tc>
        <w:tc>
          <w:tcPr>
            <w:tcW w:w="765" w:type="dxa"/>
            <w:vAlign w:val="center"/>
          </w:tcPr>
          <w:p w14:paraId="6A943D2A">
            <w:pPr>
              <w:jc w:val="center"/>
              <w:rPr>
                <w:rFonts w:ascii="宋体" w:hAnsi="宋体" w:eastAsia="宋体" w:cs="宋体"/>
                <w:sz w:val="24"/>
                <w:szCs w:val="24"/>
              </w:rPr>
            </w:pPr>
          </w:p>
        </w:tc>
      </w:tr>
      <w:tr w14:paraId="2A72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DE6C7F0">
            <w:pPr>
              <w:jc w:val="center"/>
              <w:rPr>
                <w:rFonts w:ascii="宋体" w:hAnsi="宋体" w:eastAsia="宋体" w:cs="宋体"/>
                <w:sz w:val="24"/>
                <w:szCs w:val="24"/>
              </w:rPr>
            </w:pPr>
            <w:r>
              <w:rPr>
                <w:rFonts w:hint="eastAsia" w:ascii="宋体" w:hAnsi="宋体" w:eastAsia="宋体" w:cs="宋体"/>
                <w:sz w:val="24"/>
                <w:szCs w:val="24"/>
              </w:rPr>
              <w:t>3</w:t>
            </w:r>
          </w:p>
        </w:tc>
        <w:tc>
          <w:tcPr>
            <w:tcW w:w="1410" w:type="dxa"/>
            <w:vAlign w:val="center"/>
          </w:tcPr>
          <w:p w14:paraId="0C854E6E">
            <w:pPr>
              <w:jc w:val="center"/>
              <w:rPr>
                <w:rFonts w:ascii="宋体" w:hAnsi="宋体" w:eastAsia="宋体" w:cs="宋体"/>
                <w:sz w:val="24"/>
                <w:szCs w:val="24"/>
              </w:rPr>
            </w:pPr>
            <w:r>
              <w:rPr>
                <w:rFonts w:hint="eastAsia" w:ascii="宋体" w:hAnsi="宋体" w:eastAsia="宋体" w:cs="宋体"/>
                <w:sz w:val="24"/>
                <w:szCs w:val="24"/>
              </w:rPr>
              <w:t>腋拐</w:t>
            </w:r>
          </w:p>
        </w:tc>
        <w:tc>
          <w:tcPr>
            <w:tcW w:w="4590" w:type="dxa"/>
          </w:tcPr>
          <w:p w14:paraId="30A3D637">
            <w:pPr>
              <w:spacing w:line="360" w:lineRule="exact"/>
              <w:rPr>
                <w:rFonts w:ascii="宋体" w:hAnsi="宋体" w:eastAsia="宋体" w:cs="宋体"/>
                <w:sz w:val="24"/>
                <w:szCs w:val="24"/>
              </w:rPr>
            </w:pPr>
            <w:r>
              <w:rPr>
                <w:rFonts w:hint="eastAsia" w:ascii="宋体" w:hAnsi="宋体" w:eastAsia="宋体" w:cs="宋体"/>
                <w:sz w:val="24"/>
                <w:szCs w:val="24"/>
              </w:rPr>
              <w:t>■1.产品应符合GB/T19545.2-2009《单臂操作助行器要求和试验方法第2部分：腋拐》国家标准；</w:t>
            </w:r>
          </w:p>
          <w:p w14:paraId="406123C9">
            <w:pPr>
              <w:spacing w:line="360"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防滑手柄，支脚垫材质为有弹性、耐磨、表面摩擦系数较高的防滑橡胶材料；表面应精光，光滑，无啃头、刨痕、横茬、逆纹、沟纹和机械损伤，手感应无毛刺；</w:t>
            </w:r>
          </w:p>
          <w:p w14:paraId="50627631">
            <w:pPr>
              <w:spacing w:line="360" w:lineRule="exact"/>
              <w:rPr>
                <w:rFonts w:ascii="宋体" w:hAnsi="宋体" w:eastAsia="宋体" w:cs="宋体"/>
                <w:sz w:val="24"/>
                <w:szCs w:val="24"/>
              </w:rPr>
            </w:pPr>
            <w:r>
              <w:rPr>
                <w:rFonts w:hint="eastAsia" w:ascii="宋体" w:hAnsi="宋体" w:eastAsia="宋体" w:cs="宋体"/>
                <w:sz w:val="24"/>
                <w:szCs w:val="24"/>
              </w:rPr>
              <w:t>3.高度、握把可调节，不少于2个型号；</w:t>
            </w:r>
          </w:p>
          <w:p w14:paraId="2F312F49">
            <w:pPr>
              <w:spacing w:line="360" w:lineRule="exact"/>
              <w:rPr>
                <w:rFonts w:ascii="宋体" w:hAnsi="宋体" w:eastAsia="宋体" w:cs="宋体"/>
                <w:sz w:val="24"/>
                <w:szCs w:val="24"/>
              </w:rPr>
            </w:pPr>
            <w:r>
              <w:rPr>
                <w:rFonts w:hint="eastAsia" w:ascii="宋体" w:hAnsi="宋体" w:eastAsia="宋体" w:cs="宋体"/>
                <w:sz w:val="24"/>
                <w:szCs w:val="24"/>
              </w:rPr>
              <w:t>4.配备2个备用防滑支脚垫；</w:t>
            </w:r>
          </w:p>
          <w:p w14:paraId="42687BA4">
            <w:pPr>
              <w:spacing w:line="360" w:lineRule="exact"/>
              <w:rPr>
                <w:rFonts w:ascii="宋体" w:hAnsi="宋体" w:eastAsia="宋体" w:cs="宋体"/>
                <w:sz w:val="24"/>
                <w:szCs w:val="24"/>
              </w:rPr>
            </w:pPr>
            <w:r>
              <w:rPr>
                <w:rFonts w:hint="eastAsia" w:ascii="宋体" w:hAnsi="宋体" w:eastAsia="宋体" w:cs="宋体"/>
                <w:sz w:val="24"/>
                <w:szCs w:val="24"/>
              </w:rPr>
              <w:t>5.承重</w:t>
            </w:r>
            <w:r>
              <w:rPr>
                <w:rFonts w:hint="eastAsia" w:ascii="宋体" w:hAnsi="宋体" w:eastAsia="宋体" w:cs="宋体"/>
                <w:bCs/>
                <w:sz w:val="24"/>
                <w:szCs w:val="24"/>
              </w:rPr>
              <w:t>≥</w:t>
            </w:r>
            <w:r>
              <w:rPr>
                <w:rFonts w:hint="eastAsia" w:ascii="宋体" w:hAnsi="宋体" w:eastAsia="宋体" w:cs="宋体"/>
                <w:sz w:val="24"/>
                <w:szCs w:val="24"/>
              </w:rPr>
              <w:t>100kg；</w:t>
            </w:r>
          </w:p>
          <w:p w14:paraId="541F05DF">
            <w:pPr>
              <w:spacing w:line="360" w:lineRule="exact"/>
              <w:jc w:val="lef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7FD222AE">
            <w:pPr>
              <w:jc w:val="center"/>
              <w:rPr>
                <w:rFonts w:ascii="宋体" w:hAnsi="宋体" w:eastAsia="宋体" w:cs="宋体"/>
                <w:sz w:val="24"/>
                <w:szCs w:val="24"/>
              </w:rPr>
            </w:pPr>
            <w:r>
              <w:rPr>
                <w:rFonts w:hint="eastAsia" w:ascii="宋体" w:hAnsi="宋体" w:eastAsia="宋体" w:cs="宋体"/>
                <w:sz w:val="24"/>
                <w:szCs w:val="24"/>
              </w:rPr>
              <w:t>131</w:t>
            </w:r>
          </w:p>
        </w:tc>
        <w:tc>
          <w:tcPr>
            <w:tcW w:w="765" w:type="dxa"/>
            <w:vAlign w:val="center"/>
          </w:tcPr>
          <w:p w14:paraId="203D1927">
            <w:pPr>
              <w:jc w:val="center"/>
              <w:rPr>
                <w:rFonts w:ascii="宋体" w:hAnsi="宋体" w:eastAsia="宋体" w:cs="宋体"/>
                <w:sz w:val="24"/>
                <w:szCs w:val="24"/>
              </w:rPr>
            </w:pPr>
          </w:p>
        </w:tc>
      </w:tr>
      <w:tr w14:paraId="6C57E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A787530">
            <w:pPr>
              <w:jc w:val="center"/>
              <w:rPr>
                <w:rFonts w:ascii="宋体" w:hAnsi="宋体" w:eastAsia="宋体" w:cs="宋体"/>
                <w:sz w:val="24"/>
                <w:szCs w:val="24"/>
              </w:rPr>
            </w:pPr>
            <w:r>
              <w:rPr>
                <w:rFonts w:hint="eastAsia" w:ascii="宋体" w:hAnsi="宋体" w:eastAsia="宋体" w:cs="宋体"/>
                <w:sz w:val="24"/>
                <w:szCs w:val="24"/>
              </w:rPr>
              <w:t>4</w:t>
            </w:r>
          </w:p>
        </w:tc>
        <w:tc>
          <w:tcPr>
            <w:tcW w:w="1410" w:type="dxa"/>
            <w:vAlign w:val="center"/>
          </w:tcPr>
          <w:p w14:paraId="2EAE30C5">
            <w:pPr>
              <w:jc w:val="center"/>
              <w:rPr>
                <w:rFonts w:hint="eastAsia" w:ascii="宋体" w:hAnsi="宋体" w:eastAsia="宋体" w:cs="宋体"/>
                <w:sz w:val="24"/>
                <w:szCs w:val="24"/>
              </w:rPr>
            </w:pPr>
            <w:r>
              <w:rPr>
                <w:rFonts w:hint="eastAsia" w:ascii="宋体" w:hAnsi="宋体" w:eastAsia="宋体" w:cs="宋体"/>
                <w:sz w:val="24"/>
                <w:szCs w:val="24"/>
              </w:rPr>
              <w:t>高靠背</w:t>
            </w:r>
          </w:p>
          <w:p w14:paraId="5920F6F7">
            <w:pPr>
              <w:jc w:val="center"/>
              <w:rPr>
                <w:rFonts w:ascii="宋体" w:hAnsi="宋体" w:eastAsia="宋体" w:cs="宋体"/>
                <w:sz w:val="24"/>
                <w:szCs w:val="24"/>
              </w:rPr>
            </w:pPr>
            <w:r>
              <w:rPr>
                <w:rFonts w:hint="eastAsia" w:ascii="宋体" w:hAnsi="宋体" w:eastAsia="宋体" w:cs="宋体"/>
                <w:sz w:val="24"/>
                <w:szCs w:val="24"/>
              </w:rPr>
              <w:t>轮椅</w:t>
            </w:r>
          </w:p>
        </w:tc>
        <w:tc>
          <w:tcPr>
            <w:tcW w:w="4590" w:type="dxa"/>
          </w:tcPr>
          <w:p w14:paraId="45B13A44">
            <w:pPr>
              <w:spacing w:line="360" w:lineRule="exact"/>
              <w:rPr>
                <w:rFonts w:ascii="宋体" w:hAnsi="宋体" w:eastAsia="宋体" w:cs="宋体"/>
                <w:sz w:val="24"/>
                <w:szCs w:val="24"/>
              </w:rPr>
            </w:pPr>
            <w:r>
              <w:rPr>
                <w:rFonts w:hint="eastAsia" w:ascii="宋体" w:hAnsi="宋体" w:eastAsia="宋体" w:cs="宋体"/>
                <w:sz w:val="24"/>
                <w:szCs w:val="24"/>
              </w:rPr>
              <w:t>■1.产品应符合GB/T13800-2009《手动轮椅车》国家标准；</w:t>
            </w:r>
          </w:p>
          <w:p w14:paraId="23BC2234">
            <w:pPr>
              <w:spacing w:line="360" w:lineRule="exact"/>
              <w:rPr>
                <w:rFonts w:ascii="宋体" w:hAnsi="宋体" w:eastAsia="宋体" w:cs="宋体"/>
                <w:sz w:val="24"/>
                <w:szCs w:val="24"/>
              </w:rPr>
            </w:pPr>
            <w:r>
              <w:rPr>
                <w:rFonts w:hint="eastAsia" w:ascii="宋体" w:hAnsi="宋体" w:eastAsia="宋体" w:cs="宋体"/>
                <w:sz w:val="24"/>
                <w:szCs w:val="24"/>
              </w:rPr>
              <w:t>2.车架材质采用高强度铝合金材质，铝合金直径≥22mm、壁厚≥2.0mm，每种材质不少于2个型号。铝合金表面烤漆或氧化处理，头肩部靠背部分可卸，配置软质地头枕，采用卡快式或液压杆式后躺调整，调整角度90°～180°；</w:t>
            </w:r>
          </w:p>
          <w:p w14:paraId="1C598FE8">
            <w:pPr>
              <w:spacing w:line="360" w:lineRule="exact"/>
              <w:rPr>
                <w:rFonts w:ascii="宋体" w:hAnsi="宋体" w:eastAsia="宋体" w:cs="宋体"/>
                <w:sz w:val="24"/>
                <w:szCs w:val="24"/>
              </w:rPr>
            </w:pPr>
            <w:r>
              <w:rPr>
                <w:rFonts w:hint="eastAsia" w:ascii="宋体" w:hAnsi="宋体" w:eastAsia="宋体" w:cs="宋体"/>
                <w:sz w:val="24"/>
                <w:szCs w:val="24"/>
              </w:rPr>
              <w:t>3.坐宽、坐高、坐深、靠背高可提供不同的尺寸；</w:t>
            </w:r>
          </w:p>
          <w:p w14:paraId="626A4765">
            <w:pPr>
              <w:spacing w:line="360" w:lineRule="exact"/>
              <w:ind w:left="240" w:hanging="240" w:hangingChars="100"/>
              <w:rPr>
                <w:rFonts w:ascii="宋体" w:hAnsi="宋体" w:eastAsia="宋体" w:cs="宋体"/>
                <w:sz w:val="24"/>
                <w:szCs w:val="24"/>
              </w:rPr>
            </w:pPr>
            <w:r>
              <w:rPr>
                <w:rFonts w:hint="eastAsia" w:ascii="宋体" w:hAnsi="宋体" w:eastAsia="宋体" w:cs="宋体"/>
                <w:sz w:val="24"/>
                <w:szCs w:val="24"/>
              </w:rPr>
              <w:t>4.承重≥100KG。</w:t>
            </w:r>
          </w:p>
        </w:tc>
        <w:tc>
          <w:tcPr>
            <w:tcW w:w="1515" w:type="dxa"/>
            <w:vAlign w:val="center"/>
          </w:tcPr>
          <w:p w14:paraId="66D6CA6E">
            <w:pPr>
              <w:jc w:val="center"/>
              <w:rPr>
                <w:rFonts w:ascii="宋体" w:hAnsi="宋体" w:eastAsia="宋体" w:cs="宋体"/>
                <w:sz w:val="24"/>
                <w:szCs w:val="24"/>
              </w:rPr>
            </w:pPr>
            <w:r>
              <w:rPr>
                <w:rFonts w:hint="eastAsia" w:ascii="宋体" w:hAnsi="宋体" w:eastAsia="宋体" w:cs="宋体"/>
                <w:sz w:val="24"/>
                <w:szCs w:val="24"/>
              </w:rPr>
              <w:t>15</w:t>
            </w:r>
          </w:p>
        </w:tc>
        <w:tc>
          <w:tcPr>
            <w:tcW w:w="765" w:type="dxa"/>
            <w:vAlign w:val="center"/>
          </w:tcPr>
          <w:p w14:paraId="23BA8F48">
            <w:pPr>
              <w:jc w:val="center"/>
              <w:rPr>
                <w:rFonts w:ascii="宋体" w:hAnsi="宋体" w:eastAsia="宋体" w:cs="宋体"/>
                <w:sz w:val="24"/>
                <w:szCs w:val="24"/>
              </w:rPr>
            </w:pPr>
          </w:p>
        </w:tc>
      </w:tr>
      <w:tr w14:paraId="018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9BF1B26">
            <w:pPr>
              <w:jc w:val="center"/>
              <w:rPr>
                <w:rFonts w:ascii="宋体" w:hAnsi="宋体" w:eastAsia="宋体" w:cs="宋体"/>
                <w:sz w:val="24"/>
                <w:szCs w:val="24"/>
              </w:rPr>
            </w:pPr>
            <w:r>
              <w:rPr>
                <w:rFonts w:hint="eastAsia" w:ascii="宋体" w:hAnsi="宋体" w:eastAsia="宋体" w:cs="宋体"/>
                <w:sz w:val="24"/>
                <w:szCs w:val="24"/>
              </w:rPr>
              <w:t>5</w:t>
            </w:r>
          </w:p>
        </w:tc>
        <w:tc>
          <w:tcPr>
            <w:tcW w:w="1410" w:type="dxa"/>
            <w:vAlign w:val="center"/>
          </w:tcPr>
          <w:p w14:paraId="563F58CF">
            <w:pPr>
              <w:jc w:val="center"/>
              <w:rPr>
                <w:rFonts w:hint="eastAsia" w:ascii="宋体" w:hAnsi="宋体" w:eastAsia="宋体" w:cs="宋体"/>
                <w:sz w:val="24"/>
                <w:szCs w:val="24"/>
              </w:rPr>
            </w:pPr>
            <w:r>
              <w:rPr>
                <w:rFonts w:hint="eastAsia" w:ascii="宋体" w:hAnsi="宋体" w:eastAsia="宋体" w:cs="宋体"/>
                <w:sz w:val="24"/>
                <w:szCs w:val="24"/>
              </w:rPr>
              <w:t>功能型</w:t>
            </w:r>
          </w:p>
          <w:p w14:paraId="01FBA800">
            <w:pPr>
              <w:jc w:val="center"/>
              <w:rPr>
                <w:rFonts w:ascii="宋体" w:hAnsi="宋体" w:eastAsia="宋体" w:cs="宋体"/>
                <w:sz w:val="24"/>
                <w:szCs w:val="24"/>
              </w:rPr>
            </w:pPr>
            <w:r>
              <w:rPr>
                <w:rFonts w:hint="eastAsia" w:ascii="宋体" w:hAnsi="宋体" w:eastAsia="宋体" w:cs="宋体"/>
                <w:sz w:val="24"/>
                <w:szCs w:val="24"/>
              </w:rPr>
              <w:t>轮椅</w:t>
            </w:r>
          </w:p>
        </w:tc>
        <w:tc>
          <w:tcPr>
            <w:tcW w:w="4590" w:type="dxa"/>
          </w:tcPr>
          <w:p w14:paraId="13D584D3">
            <w:pPr>
              <w:spacing w:line="340" w:lineRule="exact"/>
              <w:rPr>
                <w:rFonts w:ascii="宋体" w:hAnsi="宋体" w:eastAsia="宋体" w:cs="宋体"/>
                <w:sz w:val="24"/>
                <w:szCs w:val="24"/>
              </w:rPr>
            </w:pPr>
            <w:r>
              <w:rPr>
                <w:rFonts w:hint="eastAsia" w:ascii="宋体" w:hAnsi="宋体" w:eastAsia="宋体" w:cs="宋体"/>
                <w:sz w:val="24"/>
                <w:szCs w:val="24"/>
              </w:rPr>
              <w:t>■1.产品应符合GB/T13800-2009《手动轮椅车》国家标准；</w:t>
            </w:r>
          </w:p>
          <w:p w14:paraId="6756F226">
            <w:pPr>
              <w:spacing w:line="340" w:lineRule="exact"/>
              <w:rPr>
                <w:rFonts w:ascii="宋体" w:hAnsi="宋体" w:eastAsia="宋体" w:cs="宋体"/>
                <w:sz w:val="24"/>
                <w:szCs w:val="24"/>
              </w:rPr>
            </w:pPr>
            <w:r>
              <w:rPr>
                <w:rFonts w:hint="eastAsia" w:ascii="宋体" w:hAnsi="宋体" w:eastAsia="宋体" w:cs="宋体"/>
                <w:sz w:val="24"/>
                <w:szCs w:val="24"/>
              </w:rPr>
              <w:t>2.手驱动后轮；</w:t>
            </w:r>
          </w:p>
          <w:p w14:paraId="6D721C30">
            <w:pPr>
              <w:spacing w:line="340" w:lineRule="exact"/>
              <w:rPr>
                <w:rFonts w:ascii="宋体" w:hAnsi="宋体" w:eastAsia="宋体" w:cs="宋体"/>
                <w:sz w:val="24"/>
                <w:szCs w:val="24"/>
              </w:rPr>
            </w:pPr>
            <w:r>
              <w:rPr>
                <w:rFonts w:hint="eastAsia" w:ascii="宋体" w:hAnsi="宋体" w:eastAsia="宋体" w:cs="宋体"/>
                <w:sz w:val="24"/>
                <w:szCs w:val="24"/>
              </w:rPr>
              <w:t>3.车架材质采用高强度铝合金材质，铝合金直径≥22mm、壁厚≥2.0mm，每种材质不少于2个型号，铝合金表面烤漆或氧化处理，可折叠，配置双侧防后倾装置，扶手可上翻拆卸，脚踏板支架可拆卸，高度可调节，配置安全带及足跟带；</w:t>
            </w:r>
          </w:p>
          <w:p w14:paraId="12F259F2">
            <w:pPr>
              <w:spacing w:line="340" w:lineRule="exact"/>
              <w:rPr>
                <w:rFonts w:ascii="宋体" w:hAnsi="宋体" w:eastAsia="宋体" w:cs="宋体"/>
                <w:sz w:val="24"/>
                <w:szCs w:val="24"/>
              </w:rPr>
            </w:pPr>
            <w:r>
              <w:rPr>
                <w:rFonts w:hint="eastAsia" w:ascii="宋体" w:hAnsi="宋体" w:eastAsia="宋体" w:cs="宋体"/>
                <w:sz w:val="24"/>
                <w:szCs w:val="24"/>
              </w:rPr>
              <w:t>4.坐宽、坐高、坐深、靠背高可提供不同的尺寸；</w:t>
            </w:r>
          </w:p>
          <w:p w14:paraId="45135F8E">
            <w:pPr>
              <w:spacing w:line="340" w:lineRule="exact"/>
              <w:rPr>
                <w:rFonts w:ascii="宋体" w:hAnsi="宋体" w:eastAsia="宋体" w:cs="宋体"/>
                <w:sz w:val="24"/>
                <w:szCs w:val="24"/>
              </w:rPr>
            </w:pPr>
            <w:r>
              <w:rPr>
                <w:rFonts w:hint="eastAsia" w:ascii="宋体" w:hAnsi="宋体" w:eastAsia="宋体" w:cs="宋体"/>
                <w:sz w:val="24"/>
                <w:szCs w:val="24"/>
              </w:rPr>
              <w:t>5.具有手连刹车和肘节式刹车功能，驻车装置制动后不能高于座面；</w:t>
            </w:r>
          </w:p>
          <w:p w14:paraId="600481B3">
            <w:pPr>
              <w:spacing w:line="340" w:lineRule="exact"/>
              <w:rPr>
                <w:rFonts w:ascii="宋体" w:hAnsi="宋体" w:eastAsia="宋体" w:cs="宋体"/>
                <w:sz w:val="24"/>
                <w:szCs w:val="24"/>
              </w:rPr>
            </w:pPr>
            <w:r>
              <w:rPr>
                <w:rFonts w:hint="eastAsia" w:ascii="宋体" w:hAnsi="宋体" w:eastAsia="宋体" w:cs="宋体"/>
                <w:sz w:val="24"/>
                <w:szCs w:val="24"/>
              </w:rPr>
              <w:t>6.耐磨≥6寸万向前轮；≥20寸后轮；具有良好的减震性能；</w:t>
            </w:r>
          </w:p>
          <w:p w14:paraId="27005C7A">
            <w:pPr>
              <w:spacing w:line="340" w:lineRule="exact"/>
              <w:jc w:val="left"/>
              <w:rPr>
                <w:rFonts w:ascii="宋体" w:hAnsi="宋体" w:eastAsia="宋体" w:cs="宋体"/>
                <w:sz w:val="24"/>
                <w:szCs w:val="24"/>
              </w:rPr>
            </w:pPr>
            <w:r>
              <w:rPr>
                <w:rFonts w:hint="eastAsia" w:ascii="宋体" w:hAnsi="宋体" w:eastAsia="宋体" w:cs="宋体"/>
                <w:sz w:val="24"/>
                <w:szCs w:val="24"/>
              </w:rPr>
              <w:t>7.承重≥100KG。</w:t>
            </w:r>
          </w:p>
        </w:tc>
        <w:tc>
          <w:tcPr>
            <w:tcW w:w="1515" w:type="dxa"/>
            <w:vAlign w:val="center"/>
          </w:tcPr>
          <w:p w14:paraId="38008D12">
            <w:pPr>
              <w:jc w:val="center"/>
              <w:rPr>
                <w:rFonts w:ascii="宋体" w:hAnsi="宋体" w:eastAsia="宋体" w:cs="宋体"/>
                <w:sz w:val="24"/>
                <w:szCs w:val="24"/>
              </w:rPr>
            </w:pPr>
            <w:r>
              <w:rPr>
                <w:rFonts w:hint="eastAsia" w:ascii="宋体" w:hAnsi="宋体" w:eastAsia="宋体" w:cs="宋体"/>
                <w:sz w:val="24"/>
                <w:szCs w:val="24"/>
              </w:rPr>
              <w:t>2</w:t>
            </w:r>
          </w:p>
        </w:tc>
        <w:tc>
          <w:tcPr>
            <w:tcW w:w="765" w:type="dxa"/>
            <w:vAlign w:val="center"/>
          </w:tcPr>
          <w:p w14:paraId="185B34B4">
            <w:pPr>
              <w:jc w:val="center"/>
              <w:rPr>
                <w:rFonts w:ascii="宋体" w:hAnsi="宋体" w:eastAsia="宋体" w:cs="宋体"/>
                <w:sz w:val="24"/>
                <w:szCs w:val="24"/>
              </w:rPr>
            </w:pPr>
          </w:p>
        </w:tc>
      </w:tr>
      <w:tr w14:paraId="4F2D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BAC86AB">
            <w:pPr>
              <w:jc w:val="center"/>
              <w:rPr>
                <w:rFonts w:ascii="宋体" w:hAnsi="宋体" w:eastAsia="宋体" w:cs="宋体"/>
                <w:sz w:val="24"/>
                <w:szCs w:val="24"/>
              </w:rPr>
            </w:pPr>
            <w:r>
              <w:rPr>
                <w:rFonts w:hint="eastAsia" w:ascii="宋体" w:hAnsi="宋体" w:eastAsia="宋体" w:cs="宋体"/>
                <w:sz w:val="24"/>
                <w:szCs w:val="24"/>
              </w:rPr>
              <w:t>6</w:t>
            </w:r>
          </w:p>
        </w:tc>
        <w:tc>
          <w:tcPr>
            <w:tcW w:w="1410" w:type="dxa"/>
            <w:vAlign w:val="center"/>
          </w:tcPr>
          <w:p w14:paraId="14BFDEE2">
            <w:pPr>
              <w:jc w:val="center"/>
              <w:rPr>
                <w:rFonts w:ascii="宋体" w:hAnsi="宋体" w:eastAsia="宋体" w:cs="宋体"/>
                <w:sz w:val="24"/>
                <w:szCs w:val="24"/>
              </w:rPr>
            </w:pPr>
            <w:r>
              <w:rPr>
                <w:rFonts w:hint="eastAsia" w:ascii="宋体" w:hAnsi="宋体" w:eastAsia="宋体" w:cs="宋体"/>
                <w:sz w:val="24"/>
                <w:szCs w:val="24"/>
              </w:rPr>
              <w:t>沐浴椅</w:t>
            </w:r>
          </w:p>
        </w:tc>
        <w:tc>
          <w:tcPr>
            <w:tcW w:w="4590" w:type="dxa"/>
          </w:tcPr>
          <w:p w14:paraId="56AC87DB">
            <w:pPr>
              <w:spacing w:line="340" w:lineRule="exact"/>
              <w:rPr>
                <w:rFonts w:ascii="宋体" w:hAnsi="宋体" w:eastAsia="宋体" w:cs="宋体"/>
                <w:sz w:val="24"/>
                <w:szCs w:val="24"/>
              </w:rPr>
            </w:pPr>
            <w:r>
              <w:rPr>
                <w:rFonts w:hint="eastAsia" w:ascii="宋体" w:hAnsi="宋体" w:eastAsia="宋体" w:cs="宋体"/>
                <w:sz w:val="24"/>
                <w:szCs w:val="24"/>
              </w:rPr>
              <w:t>1.主体材质为铝合金，铝合金表面烤漆或氧化处理，椅座和座背材质均为高强度工程塑料，表面防滑，环保；</w:t>
            </w:r>
          </w:p>
          <w:p w14:paraId="6297DB47">
            <w:pPr>
              <w:spacing w:line="340" w:lineRule="exact"/>
              <w:rPr>
                <w:rFonts w:ascii="宋体" w:hAnsi="宋体" w:eastAsia="宋体" w:cs="宋体"/>
                <w:sz w:val="24"/>
                <w:szCs w:val="24"/>
              </w:rPr>
            </w:pPr>
            <w:r>
              <w:rPr>
                <w:rFonts w:hint="eastAsia" w:ascii="宋体" w:hAnsi="宋体" w:eastAsia="宋体" w:cs="宋体"/>
                <w:sz w:val="24"/>
                <w:szCs w:val="24"/>
              </w:rPr>
              <w:t>2.配置：有安全扶手设计，支脚垫材质为有弹性、耐磨、表面摩擦系数较高的防滑橡胶材料，坐面靠背PE中空吹塑成形，表面具有防滑功能，且容易清洗；</w:t>
            </w:r>
          </w:p>
          <w:p w14:paraId="0D29CA77">
            <w:pPr>
              <w:spacing w:line="340" w:lineRule="exact"/>
              <w:rPr>
                <w:rFonts w:ascii="宋体" w:hAnsi="宋体" w:eastAsia="宋体" w:cs="宋体"/>
                <w:sz w:val="24"/>
                <w:szCs w:val="24"/>
              </w:rPr>
            </w:pPr>
            <w:r>
              <w:rPr>
                <w:rFonts w:hint="eastAsia" w:ascii="宋体" w:hAnsi="宋体" w:eastAsia="宋体" w:cs="宋体"/>
                <w:sz w:val="24"/>
                <w:szCs w:val="24"/>
              </w:rPr>
              <w:t>3.能提供不少于2种型号；</w:t>
            </w:r>
          </w:p>
          <w:p w14:paraId="1FDA9C47">
            <w:pPr>
              <w:spacing w:line="340" w:lineRule="exact"/>
              <w:rPr>
                <w:rFonts w:ascii="宋体" w:hAnsi="宋体" w:eastAsia="宋体" w:cs="宋体"/>
                <w:sz w:val="24"/>
                <w:szCs w:val="24"/>
              </w:rPr>
            </w:pPr>
            <w:r>
              <w:rPr>
                <w:rFonts w:hint="eastAsia" w:ascii="宋体" w:hAnsi="宋体" w:eastAsia="宋体" w:cs="宋体"/>
                <w:sz w:val="24"/>
                <w:szCs w:val="24"/>
              </w:rPr>
              <w:t>4.承重≥100kg；</w:t>
            </w:r>
          </w:p>
          <w:p w14:paraId="1828FC33">
            <w:pPr>
              <w:spacing w:line="340" w:lineRule="exact"/>
              <w:jc w:val="left"/>
              <w:rPr>
                <w:rFonts w:ascii="宋体" w:hAnsi="宋体" w:eastAsia="宋体" w:cs="宋体"/>
                <w:sz w:val="24"/>
                <w:szCs w:val="24"/>
              </w:rPr>
            </w:pPr>
            <w:r>
              <w:rPr>
                <w:rFonts w:hint="eastAsia" w:ascii="宋体" w:hAnsi="宋体" w:eastAsia="宋体" w:cs="宋体"/>
                <w:sz w:val="24"/>
                <w:szCs w:val="24"/>
              </w:rPr>
              <w:t>5.除满足以上条件规定外，按相应行业标准执行。</w:t>
            </w:r>
          </w:p>
        </w:tc>
        <w:tc>
          <w:tcPr>
            <w:tcW w:w="1515" w:type="dxa"/>
            <w:vAlign w:val="center"/>
          </w:tcPr>
          <w:p w14:paraId="70593DFB">
            <w:pPr>
              <w:jc w:val="center"/>
              <w:rPr>
                <w:rFonts w:ascii="宋体" w:hAnsi="宋体" w:eastAsia="宋体" w:cs="宋体"/>
                <w:sz w:val="24"/>
                <w:szCs w:val="24"/>
              </w:rPr>
            </w:pPr>
            <w:r>
              <w:rPr>
                <w:rFonts w:hint="eastAsia" w:ascii="宋体" w:hAnsi="宋体" w:eastAsia="宋体" w:cs="宋体"/>
                <w:sz w:val="24"/>
                <w:szCs w:val="24"/>
              </w:rPr>
              <w:t>30</w:t>
            </w:r>
          </w:p>
        </w:tc>
        <w:tc>
          <w:tcPr>
            <w:tcW w:w="765" w:type="dxa"/>
            <w:vAlign w:val="center"/>
          </w:tcPr>
          <w:p w14:paraId="7162208B">
            <w:pPr>
              <w:jc w:val="center"/>
              <w:rPr>
                <w:rFonts w:ascii="宋体" w:hAnsi="宋体" w:eastAsia="宋体" w:cs="宋体"/>
                <w:sz w:val="24"/>
                <w:szCs w:val="24"/>
              </w:rPr>
            </w:pPr>
          </w:p>
        </w:tc>
      </w:tr>
      <w:tr w14:paraId="6032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62D8292">
            <w:pPr>
              <w:jc w:val="center"/>
              <w:rPr>
                <w:rFonts w:ascii="宋体" w:hAnsi="宋体" w:eastAsia="宋体" w:cs="宋体"/>
                <w:sz w:val="24"/>
                <w:szCs w:val="24"/>
              </w:rPr>
            </w:pPr>
            <w:r>
              <w:rPr>
                <w:rFonts w:hint="eastAsia" w:ascii="宋体" w:hAnsi="宋体" w:eastAsia="宋体" w:cs="宋体"/>
                <w:sz w:val="24"/>
                <w:szCs w:val="24"/>
              </w:rPr>
              <w:t>7</w:t>
            </w:r>
          </w:p>
        </w:tc>
        <w:tc>
          <w:tcPr>
            <w:tcW w:w="1410" w:type="dxa"/>
            <w:vAlign w:val="center"/>
          </w:tcPr>
          <w:p w14:paraId="257F6C3A">
            <w:pPr>
              <w:jc w:val="center"/>
              <w:rPr>
                <w:rFonts w:ascii="宋体" w:hAnsi="宋体" w:eastAsia="宋体" w:cs="宋体"/>
                <w:sz w:val="24"/>
                <w:szCs w:val="24"/>
              </w:rPr>
            </w:pPr>
            <w:r>
              <w:rPr>
                <w:rFonts w:hint="eastAsia" w:ascii="宋体" w:hAnsi="宋体" w:eastAsia="宋体" w:cs="宋体"/>
                <w:sz w:val="24"/>
                <w:szCs w:val="24"/>
              </w:rPr>
              <w:t>坐便椅</w:t>
            </w:r>
          </w:p>
        </w:tc>
        <w:tc>
          <w:tcPr>
            <w:tcW w:w="4590" w:type="dxa"/>
          </w:tcPr>
          <w:p w14:paraId="5414EA8D">
            <w:pPr>
              <w:spacing w:line="340" w:lineRule="exact"/>
              <w:rPr>
                <w:rFonts w:ascii="宋体" w:hAnsi="宋体" w:eastAsia="宋体" w:cs="宋体"/>
                <w:sz w:val="24"/>
                <w:szCs w:val="24"/>
              </w:rPr>
            </w:pPr>
            <w:r>
              <w:rPr>
                <w:rFonts w:hint="eastAsia" w:ascii="宋体" w:hAnsi="宋体" w:eastAsia="宋体" w:cs="宋体"/>
                <w:sz w:val="24"/>
                <w:szCs w:val="24"/>
              </w:rPr>
              <w:t>■1.产品符合GB/T 24434-2009《座便椅（凳）》国家标准和相关企业标准；</w:t>
            </w:r>
          </w:p>
          <w:p w14:paraId="4A340584">
            <w:pPr>
              <w:spacing w:line="340" w:lineRule="exact"/>
              <w:rPr>
                <w:rFonts w:ascii="宋体" w:hAnsi="宋体" w:eastAsia="宋体" w:cs="宋体"/>
                <w:sz w:val="24"/>
                <w:szCs w:val="24"/>
              </w:rPr>
            </w:pPr>
            <w:r>
              <w:rPr>
                <w:rFonts w:hint="eastAsia" w:ascii="宋体" w:hAnsi="宋体" w:eastAsia="宋体" w:cs="宋体"/>
                <w:sz w:val="24"/>
                <w:szCs w:val="24"/>
              </w:rPr>
              <w:t>2.主体材质为铝合金，铝合金表面烤漆或氧化处理，可折叠结构；</w:t>
            </w:r>
          </w:p>
          <w:p w14:paraId="1A60C785">
            <w:pPr>
              <w:spacing w:line="340" w:lineRule="exact"/>
              <w:rPr>
                <w:rFonts w:ascii="宋体" w:hAnsi="宋体" w:eastAsia="宋体" w:cs="宋体"/>
                <w:sz w:val="24"/>
                <w:szCs w:val="24"/>
              </w:rPr>
            </w:pPr>
            <w:r>
              <w:rPr>
                <w:rFonts w:hint="eastAsia" w:ascii="宋体" w:hAnsi="宋体" w:eastAsia="宋体" w:cs="宋体"/>
                <w:sz w:val="24"/>
                <w:szCs w:val="24"/>
              </w:rPr>
              <w:t>3.配置：有安全扶手设计，支脚垫材质为有弹性、耐磨、表面摩擦系数较高的防滑橡胶材料，厕桶配合顺畅，安装方便、容易清洁；</w:t>
            </w:r>
          </w:p>
          <w:p w14:paraId="3F66B6EC">
            <w:pPr>
              <w:spacing w:line="340" w:lineRule="exact"/>
              <w:rPr>
                <w:rFonts w:ascii="宋体" w:hAnsi="宋体" w:eastAsia="宋体" w:cs="宋体"/>
                <w:sz w:val="24"/>
                <w:szCs w:val="24"/>
              </w:rPr>
            </w:pPr>
            <w:r>
              <w:rPr>
                <w:rFonts w:hint="eastAsia" w:ascii="宋体" w:hAnsi="宋体" w:eastAsia="宋体" w:cs="宋体"/>
                <w:sz w:val="24"/>
                <w:szCs w:val="24"/>
              </w:rPr>
              <w:t>4.能提供不少于2种型号；</w:t>
            </w:r>
          </w:p>
          <w:p w14:paraId="7B9ACDF2">
            <w:pPr>
              <w:spacing w:line="340" w:lineRule="exact"/>
              <w:rPr>
                <w:rFonts w:ascii="宋体" w:hAnsi="宋体" w:eastAsia="宋体" w:cs="宋体"/>
                <w:sz w:val="24"/>
                <w:szCs w:val="24"/>
              </w:rPr>
            </w:pPr>
            <w:r>
              <w:rPr>
                <w:rFonts w:hint="eastAsia" w:ascii="宋体" w:hAnsi="宋体" w:eastAsia="宋体" w:cs="宋体"/>
                <w:sz w:val="24"/>
                <w:szCs w:val="24"/>
              </w:rPr>
              <w:t>5.承重≥100kg；</w:t>
            </w:r>
          </w:p>
          <w:p w14:paraId="0C80C76C">
            <w:pPr>
              <w:spacing w:line="340" w:lineRule="exact"/>
              <w:jc w:val="lef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3A6E940A">
            <w:pPr>
              <w:jc w:val="center"/>
              <w:rPr>
                <w:rFonts w:ascii="宋体" w:hAnsi="宋体" w:eastAsia="宋体" w:cs="宋体"/>
                <w:sz w:val="24"/>
                <w:szCs w:val="24"/>
              </w:rPr>
            </w:pPr>
            <w:r>
              <w:rPr>
                <w:rFonts w:hint="eastAsia" w:ascii="宋体" w:hAnsi="宋体" w:eastAsia="宋体" w:cs="宋体"/>
                <w:sz w:val="24"/>
                <w:szCs w:val="24"/>
              </w:rPr>
              <w:t>40</w:t>
            </w:r>
          </w:p>
        </w:tc>
        <w:tc>
          <w:tcPr>
            <w:tcW w:w="765" w:type="dxa"/>
            <w:vAlign w:val="center"/>
          </w:tcPr>
          <w:p w14:paraId="45477899">
            <w:pPr>
              <w:jc w:val="center"/>
              <w:rPr>
                <w:rFonts w:ascii="宋体" w:hAnsi="宋体" w:eastAsia="宋体" w:cs="宋体"/>
                <w:sz w:val="24"/>
                <w:szCs w:val="24"/>
              </w:rPr>
            </w:pPr>
          </w:p>
        </w:tc>
      </w:tr>
      <w:tr w14:paraId="6640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F2A4FA0">
            <w:pPr>
              <w:jc w:val="center"/>
              <w:rPr>
                <w:rFonts w:ascii="宋体" w:hAnsi="宋体" w:eastAsia="宋体" w:cs="宋体"/>
                <w:sz w:val="24"/>
                <w:szCs w:val="24"/>
              </w:rPr>
            </w:pPr>
            <w:r>
              <w:rPr>
                <w:rFonts w:hint="eastAsia" w:ascii="宋体" w:hAnsi="宋体" w:eastAsia="宋体" w:cs="宋体"/>
                <w:sz w:val="24"/>
                <w:szCs w:val="24"/>
              </w:rPr>
              <w:t>8</w:t>
            </w:r>
          </w:p>
        </w:tc>
        <w:tc>
          <w:tcPr>
            <w:tcW w:w="1410" w:type="dxa"/>
            <w:vAlign w:val="center"/>
          </w:tcPr>
          <w:p w14:paraId="23CB42FF">
            <w:pPr>
              <w:jc w:val="center"/>
              <w:rPr>
                <w:rFonts w:hint="eastAsia" w:ascii="宋体" w:hAnsi="宋体" w:eastAsia="宋体" w:cs="宋体"/>
                <w:sz w:val="24"/>
                <w:szCs w:val="24"/>
              </w:rPr>
            </w:pPr>
            <w:r>
              <w:rPr>
                <w:rFonts w:hint="eastAsia" w:ascii="宋体" w:hAnsi="宋体" w:eastAsia="宋体" w:cs="宋体"/>
                <w:sz w:val="24"/>
                <w:szCs w:val="24"/>
              </w:rPr>
              <w:t>四轮</w:t>
            </w:r>
          </w:p>
          <w:p w14:paraId="6C04DFDF">
            <w:pPr>
              <w:jc w:val="center"/>
              <w:rPr>
                <w:rFonts w:ascii="宋体" w:hAnsi="宋体" w:eastAsia="宋体" w:cs="宋体"/>
                <w:sz w:val="24"/>
                <w:szCs w:val="24"/>
              </w:rPr>
            </w:pPr>
            <w:r>
              <w:rPr>
                <w:rFonts w:hint="eastAsia" w:ascii="宋体" w:hAnsi="宋体" w:eastAsia="宋体" w:cs="宋体"/>
                <w:sz w:val="24"/>
                <w:szCs w:val="24"/>
              </w:rPr>
              <w:t>助行器</w:t>
            </w:r>
          </w:p>
        </w:tc>
        <w:tc>
          <w:tcPr>
            <w:tcW w:w="4590" w:type="dxa"/>
          </w:tcPr>
          <w:p w14:paraId="605C9073">
            <w:pPr>
              <w:spacing w:line="326" w:lineRule="exact"/>
              <w:rPr>
                <w:rFonts w:ascii="宋体" w:hAnsi="宋体" w:eastAsia="宋体" w:cs="宋体"/>
                <w:sz w:val="24"/>
                <w:szCs w:val="24"/>
              </w:rPr>
            </w:pPr>
            <w:r>
              <w:rPr>
                <w:rFonts w:hint="eastAsia" w:ascii="宋体" w:hAnsi="宋体" w:eastAsia="宋体" w:cs="宋体"/>
                <w:sz w:val="24"/>
                <w:szCs w:val="24"/>
              </w:rPr>
              <w:t>■1.产品应符合GB/T14728.1-2006《双臂操作助行器要求和试验方法第一部分：框式助行架》国家标准；</w:t>
            </w:r>
          </w:p>
          <w:p w14:paraId="5396F1FC">
            <w:pPr>
              <w:spacing w:line="326"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2.主体材质为高强度铝合金，铝合金表面烤漆或氧化处理，支脚耐磨、有弹性、表面摩擦系数较高；</w:t>
            </w:r>
          </w:p>
          <w:p w14:paraId="2D6C6DC5">
            <w:pPr>
              <w:spacing w:line="326" w:lineRule="exact"/>
              <w:rPr>
                <w:rFonts w:ascii="宋体" w:hAnsi="宋体" w:eastAsia="宋体" w:cs="宋体"/>
                <w:sz w:val="24"/>
                <w:szCs w:val="24"/>
              </w:rPr>
            </w:pPr>
            <w:r>
              <w:rPr>
                <w:rFonts w:hint="eastAsia" w:ascii="宋体" w:hAnsi="宋体" w:eastAsia="宋体" w:cs="宋体"/>
                <w:sz w:val="24"/>
                <w:szCs w:val="24"/>
              </w:rPr>
              <w:t>3.扶手承重</w:t>
            </w:r>
            <w:r>
              <w:rPr>
                <w:rFonts w:hint="eastAsia" w:ascii="宋体" w:hAnsi="宋体" w:eastAsia="宋体" w:cs="宋体"/>
                <w:bCs/>
                <w:sz w:val="24"/>
                <w:szCs w:val="24"/>
              </w:rPr>
              <w:t>≥</w:t>
            </w:r>
            <w:r>
              <w:rPr>
                <w:rFonts w:hint="eastAsia" w:ascii="宋体" w:hAnsi="宋体" w:eastAsia="宋体" w:cs="宋体"/>
                <w:sz w:val="24"/>
                <w:szCs w:val="24"/>
              </w:rPr>
              <w:t>100kg；</w:t>
            </w:r>
          </w:p>
          <w:p w14:paraId="1986396B">
            <w:pPr>
              <w:spacing w:line="326" w:lineRule="exact"/>
              <w:jc w:val="left"/>
              <w:rPr>
                <w:rFonts w:ascii="宋体" w:hAnsi="宋体" w:eastAsia="宋体" w:cs="宋体"/>
                <w:sz w:val="24"/>
                <w:szCs w:val="24"/>
              </w:rPr>
            </w:pPr>
            <w:r>
              <w:rPr>
                <w:rFonts w:hint="eastAsia" w:ascii="宋体" w:hAnsi="宋体" w:eastAsia="宋体" w:cs="宋体"/>
                <w:sz w:val="24"/>
                <w:szCs w:val="24"/>
              </w:rPr>
              <w:t>4.能提供框式四脚、框式四轮、框式两轮、阶梯框式、差动框式助行器.</w:t>
            </w:r>
          </w:p>
        </w:tc>
        <w:tc>
          <w:tcPr>
            <w:tcW w:w="1515" w:type="dxa"/>
            <w:vAlign w:val="center"/>
          </w:tcPr>
          <w:p w14:paraId="407002ED">
            <w:pPr>
              <w:jc w:val="center"/>
              <w:rPr>
                <w:rFonts w:ascii="宋体" w:hAnsi="宋体" w:eastAsia="宋体" w:cs="宋体"/>
                <w:sz w:val="24"/>
                <w:szCs w:val="24"/>
              </w:rPr>
            </w:pPr>
            <w:r>
              <w:rPr>
                <w:rFonts w:hint="eastAsia" w:ascii="宋体" w:hAnsi="宋体" w:eastAsia="宋体" w:cs="宋体"/>
                <w:sz w:val="24"/>
                <w:szCs w:val="24"/>
              </w:rPr>
              <w:t>5</w:t>
            </w:r>
          </w:p>
        </w:tc>
        <w:tc>
          <w:tcPr>
            <w:tcW w:w="765" w:type="dxa"/>
            <w:vAlign w:val="center"/>
          </w:tcPr>
          <w:p w14:paraId="74F8C941">
            <w:pPr>
              <w:jc w:val="center"/>
              <w:rPr>
                <w:rFonts w:ascii="宋体" w:hAnsi="宋体" w:eastAsia="宋体" w:cs="宋体"/>
                <w:sz w:val="24"/>
                <w:szCs w:val="24"/>
              </w:rPr>
            </w:pPr>
          </w:p>
        </w:tc>
      </w:tr>
      <w:tr w14:paraId="11F8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DB620CA">
            <w:pPr>
              <w:jc w:val="center"/>
              <w:rPr>
                <w:rFonts w:ascii="宋体" w:hAnsi="宋体" w:eastAsia="宋体" w:cs="宋体"/>
                <w:sz w:val="24"/>
                <w:szCs w:val="24"/>
              </w:rPr>
            </w:pPr>
            <w:r>
              <w:rPr>
                <w:rFonts w:hint="eastAsia" w:ascii="宋体" w:hAnsi="宋体" w:eastAsia="宋体" w:cs="宋体"/>
                <w:sz w:val="24"/>
                <w:szCs w:val="24"/>
              </w:rPr>
              <w:t>9</w:t>
            </w:r>
          </w:p>
        </w:tc>
        <w:tc>
          <w:tcPr>
            <w:tcW w:w="1410" w:type="dxa"/>
            <w:vAlign w:val="center"/>
          </w:tcPr>
          <w:p w14:paraId="25CF952F">
            <w:pPr>
              <w:jc w:val="center"/>
              <w:rPr>
                <w:rFonts w:hint="eastAsia" w:ascii="宋体" w:hAnsi="宋体" w:eastAsia="宋体" w:cs="宋体"/>
                <w:sz w:val="24"/>
                <w:szCs w:val="24"/>
              </w:rPr>
            </w:pPr>
            <w:r>
              <w:rPr>
                <w:rFonts w:hint="eastAsia" w:ascii="宋体" w:hAnsi="宋体" w:eastAsia="宋体" w:cs="宋体"/>
                <w:sz w:val="24"/>
                <w:szCs w:val="24"/>
              </w:rPr>
              <w:t>四脚</w:t>
            </w:r>
          </w:p>
          <w:p w14:paraId="4729B26B">
            <w:pPr>
              <w:jc w:val="center"/>
              <w:rPr>
                <w:rFonts w:ascii="宋体" w:hAnsi="宋体" w:eastAsia="宋体" w:cs="宋体"/>
                <w:sz w:val="24"/>
                <w:szCs w:val="24"/>
              </w:rPr>
            </w:pPr>
            <w:r>
              <w:rPr>
                <w:rFonts w:hint="eastAsia" w:ascii="宋体" w:hAnsi="宋体" w:eastAsia="宋体" w:cs="宋体"/>
                <w:sz w:val="24"/>
                <w:szCs w:val="24"/>
              </w:rPr>
              <w:t>助行器</w:t>
            </w:r>
          </w:p>
        </w:tc>
        <w:tc>
          <w:tcPr>
            <w:tcW w:w="4590" w:type="dxa"/>
          </w:tcPr>
          <w:p w14:paraId="787299A5">
            <w:pPr>
              <w:spacing w:line="326" w:lineRule="exact"/>
              <w:rPr>
                <w:rFonts w:ascii="宋体" w:hAnsi="宋体" w:eastAsia="宋体" w:cs="宋体"/>
                <w:sz w:val="24"/>
                <w:szCs w:val="24"/>
              </w:rPr>
            </w:pPr>
            <w:r>
              <w:rPr>
                <w:rFonts w:hint="eastAsia" w:ascii="宋体" w:hAnsi="宋体" w:eastAsia="宋体" w:cs="宋体"/>
                <w:sz w:val="24"/>
                <w:szCs w:val="24"/>
              </w:rPr>
              <w:t>■1.产品应符合GB/T14728.1-2006《双臂操作助行器要求和试验方法第一部分：框式助行架》国家标准；</w:t>
            </w:r>
          </w:p>
          <w:p w14:paraId="24B0C6F9">
            <w:pPr>
              <w:spacing w:line="326"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2.主体材质为高强度铝合金，铝合金表面烤漆或氧化处理，支脚耐磨、有弹性、表面摩擦系数较高；</w:t>
            </w:r>
          </w:p>
          <w:p w14:paraId="2D6DBA2E">
            <w:pPr>
              <w:spacing w:line="326" w:lineRule="exact"/>
              <w:rPr>
                <w:rFonts w:ascii="宋体" w:hAnsi="宋体" w:eastAsia="宋体" w:cs="宋体"/>
                <w:sz w:val="24"/>
                <w:szCs w:val="24"/>
              </w:rPr>
            </w:pPr>
            <w:r>
              <w:rPr>
                <w:rFonts w:hint="eastAsia" w:ascii="宋体" w:hAnsi="宋体" w:eastAsia="宋体" w:cs="宋体"/>
                <w:sz w:val="24"/>
                <w:szCs w:val="24"/>
              </w:rPr>
              <w:t>3.扶手承重</w:t>
            </w:r>
            <w:r>
              <w:rPr>
                <w:rFonts w:hint="eastAsia" w:ascii="宋体" w:hAnsi="宋体" w:eastAsia="宋体" w:cs="宋体"/>
                <w:bCs/>
                <w:sz w:val="24"/>
                <w:szCs w:val="24"/>
              </w:rPr>
              <w:t>≥</w:t>
            </w:r>
            <w:r>
              <w:rPr>
                <w:rFonts w:hint="eastAsia" w:ascii="宋体" w:hAnsi="宋体" w:eastAsia="宋体" w:cs="宋体"/>
                <w:sz w:val="24"/>
                <w:szCs w:val="24"/>
              </w:rPr>
              <w:t>100kg；</w:t>
            </w:r>
          </w:p>
          <w:p w14:paraId="7F1407F3">
            <w:pPr>
              <w:spacing w:line="326" w:lineRule="exact"/>
              <w:jc w:val="left"/>
              <w:rPr>
                <w:rFonts w:ascii="宋体" w:hAnsi="宋体" w:eastAsia="宋体" w:cs="宋体"/>
                <w:sz w:val="24"/>
                <w:szCs w:val="24"/>
              </w:rPr>
            </w:pPr>
            <w:r>
              <w:rPr>
                <w:rFonts w:hint="eastAsia" w:ascii="宋体" w:hAnsi="宋体" w:eastAsia="宋体" w:cs="宋体"/>
                <w:sz w:val="24"/>
                <w:szCs w:val="24"/>
              </w:rPr>
              <w:t>4.能提供框式四脚、框式四轮、框式两轮、阶梯框式、差动框式助行器.</w:t>
            </w:r>
          </w:p>
        </w:tc>
        <w:tc>
          <w:tcPr>
            <w:tcW w:w="1515" w:type="dxa"/>
            <w:vAlign w:val="center"/>
          </w:tcPr>
          <w:p w14:paraId="5AB6EA5C">
            <w:pPr>
              <w:jc w:val="center"/>
              <w:rPr>
                <w:rFonts w:ascii="宋体" w:hAnsi="宋体" w:eastAsia="宋体" w:cs="宋体"/>
                <w:sz w:val="24"/>
                <w:szCs w:val="24"/>
              </w:rPr>
            </w:pPr>
            <w:r>
              <w:rPr>
                <w:rFonts w:hint="eastAsia" w:ascii="宋体" w:hAnsi="宋体" w:eastAsia="宋体" w:cs="宋体"/>
                <w:sz w:val="24"/>
                <w:szCs w:val="24"/>
              </w:rPr>
              <w:t>5</w:t>
            </w:r>
          </w:p>
        </w:tc>
        <w:tc>
          <w:tcPr>
            <w:tcW w:w="765" w:type="dxa"/>
            <w:vAlign w:val="center"/>
          </w:tcPr>
          <w:p w14:paraId="284C1F71">
            <w:pPr>
              <w:jc w:val="center"/>
              <w:rPr>
                <w:rFonts w:ascii="宋体" w:hAnsi="宋体" w:eastAsia="宋体" w:cs="宋体"/>
                <w:sz w:val="24"/>
                <w:szCs w:val="24"/>
              </w:rPr>
            </w:pPr>
          </w:p>
        </w:tc>
      </w:tr>
      <w:tr w14:paraId="18A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5565CC8">
            <w:pPr>
              <w:jc w:val="center"/>
              <w:rPr>
                <w:rFonts w:ascii="宋体" w:hAnsi="宋体" w:eastAsia="宋体" w:cs="宋体"/>
                <w:sz w:val="24"/>
                <w:szCs w:val="24"/>
              </w:rPr>
            </w:pPr>
            <w:r>
              <w:rPr>
                <w:rFonts w:hint="eastAsia" w:ascii="宋体" w:hAnsi="宋体" w:eastAsia="宋体" w:cs="宋体"/>
                <w:sz w:val="24"/>
                <w:szCs w:val="24"/>
              </w:rPr>
              <w:t>10</w:t>
            </w:r>
          </w:p>
        </w:tc>
        <w:tc>
          <w:tcPr>
            <w:tcW w:w="1410" w:type="dxa"/>
            <w:vAlign w:val="center"/>
          </w:tcPr>
          <w:p w14:paraId="3C608B1A">
            <w:pPr>
              <w:jc w:val="center"/>
              <w:rPr>
                <w:rFonts w:hint="eastAsia" w:ascii="宋体" w:hAnsi="宋体" w:eastAsia="宋体" w:cs="宋体"/>
                <w:sz w:val="24"/>
                <w:szCs w:val="24"/>
              </w:rPr>
            </w:pPr>
            <w:r>
              <w:rPr>
                <w:rFonts w:hint="eastAsia" w:ascii="宋体" w:hAnsi="宋体" w:eastAsia="宋体" w:cs="宋体"/>
                <w:sz w:val="24"/>
                <w:szCs w:val="24"/>
              </w:rPr>
              <w:t>单侧</w:t>
            </w:r>
          </w:p>
          <w:p w14:paraId="6106D5D8">
            <w:pPr>
              <w:jc w:val="center"/>
              <w:rPr>
                <w:rFonts w:ascii="宋体" w:hAnsi="宋体" w:eastAsia="宋体" w:cs="宋体"/>
                <w:color w:val="FF0000"/>
                <w:sz w:val="24"/>
                <w:szCs w:val="24"/>
              </w:rPr>
            </w:pPr>
            <w:r>
              <w:rPr>
                <w:rFonts w:hint="eastAsia" w:ascii="宋体" w:hAnsi="宋体" w:eastAsia="宋体" w:cs="宋体"/>
                <w:sz w:val="24"/>
                <w:szCs w:val="24"/>
              </w:rPr>
              <w:t>助行架</w:t>
            </w:r>
          </w:p>
        </w:tc>
        <w:tc>
          <w:tcPr>
            <w:tcW w:w="4590" w:type="dxa"/>
          </w:tcPr>
          <w:p w14:paraId="1C51DAD8">
            <w:pPr>
              <w:spacing w:line="326" w:lineRule="exact"/>
              <w:rPr>
                <w:rFonts w:ascii="宋体" w:hAnsi="宋体" w:eastAsia="宋体" w:cs="宋体"/>
                <w:sz w:val="24"/>
                <w:szCs w:val="24"/>
              </w:rPr>
            </w:pPr>
            <w:r>
              <w:rPr>
                <w:rFonts w:hint="eastAsia" w:ascii="宋体" w:hAnsi="宋体" w:eastAsia="宋体" w:cs="宋体"/>
                <w:sz w:val="24"/>
                <w:szCs w:val="24"/>
              </w:rPr>
              <w:t>■1.产品应符合GB/T19545.4-2008《单臂操作助行器具要求和试验方法第4部分：三脚或多脚手杖》国家标准；</w:t>
            </w:r>
          </w:p>
          <w:p w14:paraId="5163F224">
            <w:pPr>
              <w:spacing w:line="326"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防滑手柄，支脚垫材质为有弹性、耐磨、表面摩擦系数较高的防滑橡胶材料；表面应精光，光滑，无啃头、刨痕、横茬、逆纹、沟纹和机械损伤，手感应无毛刺；</w:t>
            </w:r>
          </w:p>
          <w:p w14:paraId="606A6A62">
            <w:pPr>
              <w:spacing w:line="326" w:lineRule="exact"/>
              <w:rPr>
                <w:rFonts w:ascii="宋体" w:hAnsi="宋体" w:eastAsia="宋体" w:cs="宋体"/>
                <w:sz w:val="24"/>
                <w:szCs w:val="24"/>
              </w:rPr>
            </w:pPr>
            <w:r>
              <w:rPr>
                <w:rFonts w:hint="eastAsia" w:ascii="宋体" w:hAnsi="宋体" w:eastAsia="宋体" w:cs="宋体"/>
                <w:sz w:val="24"/>
                <w:szCs w:val="24"/>
              </w:rPr>
              <w:t>3.高度、握把可调节，提供不同材质单脚和多脚共不少于3个型号；</w:t>
            </w:r>
          </w:p>
          <w:p w14:paraId="6CF1C282">
            <w:pPr>
              <w:spacing w:line="326" w:lineRule="exact"/>
              <w:rPr>
                <w:rFonts w:ascii="宋体" w:hAnsi="宋体" w:eastAsia="宋体" w:cs="宋体"/>
                <w:sz w:val="24"/>
                <w:szCs w:val="24"/>
              </w:rPr>
            </w:pPr>
            <w:r>
              <w:rPr>
                <w:rFonts w:hint="eastAsia" w:ascii="宋体" w:hAnsi="宋体" w:eastAsia="宋体" w:cs="宋体"/>
                <w:sz w:val="24"/>
                <w:szCs w:val="24"/>
              </w:rPr>
              <w:t>4.配备2个备用防滑支脚垫；</w:t>
            </w:r>
          </w:p>
          <w:p w14:paraId="67EB2448">
            <w:pPr>
              <w:spacing w:line="326" w:lineRule="exact"/>
              <w:rPr>
                <w:rFonts w:ascii="宋体" w:hAnsi="宋体" w:eastAsia="宋体" w:cs="宋体"/>
                <w:sz w:val="24"/>
                <w:szCs w:val="24"/>
              </w:rPr>
            </w:pPr>
            <w:r>
              <w:rPr>
                <w:rFonts w:hint="eastAsia" w:ascii="宋体" w:hAnsi="宋体" w:eastAsia="宋体" w:cs="宋体"/>
                <w:sz w:val="24"/>
                <w:szCs w:val="24"/>
              </w:rPr>
              <w:t>5.承重</w:t>
            </w:r>
            <w:r>
              <w:rPr>
                <w:rFonts w:hint="eastAsia" w:ascii="宋体" w:hAnsi="宋体" w:eastAsia="宋体" w:cs="宋体"/>
                <w:bCs/>
                <w:sz w:val="24"/>
                <w:szCs w:val="24"/>
              </w:rPr>
              <w:t>≥</w:t>
            </w:r>
            <w:r>
              <w:rPr>
                <w:rFonts w:hint="eastAsia" w:ascii="宋体" w:hAnsi="宋体" w:eastAsia="宋体" w:cs="宋体"/>
                <w:sz w:val="24"/>
                <w:szCs w:val="24"/>
              </w:rPr>
              <w:t>100kg；</w:t>
            </w:r>
          </w:p>
          <w:p w14:paraId="128E94F8">
            <w:pPr>
              <w:spacing w:line="326" w:lineRule="exac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1872DEDB">
            <w:pPr>
              <w:jc w:val="center"/>
              <w:rPr>
                <w:rFonts w:ascii="宋体" w:hAnsi="宋体" w:eastAsia="宋体" w:cs="宋体"/>
                <w:sz w:val="24"/>
                <w:szCs w:val="24"/>
              </w:rPr>
            </w:pPr>
            <w:r>
              <w:rPr>
                <w:rFonts w:hint="eastAsia" w:ascii="宋体" w:hAnsi="宋体" w:eastAsia="宋体" w:cs="宋体"/>
                <w:sz w:val="24"/>
                <w:szCs w:val="24"/>
              </w:rPr>
              <w:t>1</w:t>
            </w:r>
          </w:p>
        </w:tc>
        <w:tc>
          <w:tcPr>
            <w:tcW w:w="765" w:type="dxa"/>
            <w:vAlign w:val="center"/>
          </w:tcPr>
          <w:p w14:paraId="59D0EF07">
            <w:pPr>
              <w:jc w:val="center"/>
              <w:rPr>
                <w:rFonts w:ascii="宋体" w:hAnsi="宋体" w:eastAsia="宋体" w:cs="宋体"/>
                <w:sz w:val="24"/>
                <w:szCs w:val="24"/>
              </w:rPr>
            </w:pPr>
          </w:p>
        </w:tc>
      </w:tr>
      <w:tr w14:paraId="4C7D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D93881F">
            <w:pPr>
              <w:jc w:val="center"/>
              <w:rPr>
                <w:rFonts w:ascii="宋体" w:hAnsi="宋体" w:eastAsia="宋体" w:cs="宋体"/>
                <w:sz w:val="24"/>
                <w:szCs w:val="24"/>
              </w:rPr>
            </w:pPr>
            <w:r>
              <w:rPr>
                <w:rFonts w:hint="eastAsia" w:ascii="宋体" w:hAnsi="宋体" w:eastAsia="宋体" w:cs="宋体"/>
                <w:sz w:val="24"/>
                <w:szCs w:val="24"/>
              </w:rPr>
              <w:t>11</w:t>
            </w:r>
          </w:p>
        </w:tc>
        <w:tc>
          <w:tcPr>
            <w:tcW w:w="1410" w:type="dxa"/>
            <w:vAlign w:val="center"/>
          </w:tcPr>
          <w:p w14:paraId="091D1574">
            <w:pPr>
              <w:jc w:val="center"/>
              <w:rPr>
                <w:rFonts w:ascii="宋体" w:hAnsi="宋体" w:eastAsia="宋体" w:cs="宋体"/>
                <w:sz w:val="24"/>
                <w:szCs w:val="24"/>
              </w:rPr>
            </w:pPr>
            <w:r>
              <w:rPr>
                <w:rFonts w:hint="eastAsia" w:ascii="宋体" w:hAnsi="宋体" w:eastAsia="宋体" w:cs="宋体"/>
                <w:sz w:val="24"/>
                <w:szCs w:val="24"/>
              </w:rPr>
              <w:t>四脚手杖</w:t>
            </w:r>
          </w:p>
        </w:tc>
        <w:tc>
          <w:tcPr>
            <w:tcW w:w="4590" w:type="dxa"/>
          </w:tcPr>
          <w:p w14:paraId="58838D09">
            <w:pPr>
              <w:spacing w:line="360" w:lineRule="exact"/>
              <w:rPr>
                <w:rFonts w:ascii="宋体" w:hAnsi="宋体" w:eastAsia="宋体" w:cs="宋体"/>
                <w:sz w:val="24"/>
                <w:szCs w:val="24"/>
              </w:rPr>
            </w:pPr>
            <w:r>
              <w:rPr>
                <w:rFonts w:hint="eastAsia" w:ascii="宋体" w:hAnsi="宋体" w:eastAsia="宋体" w:cs="宋体"/>
                <w:sz w:val="24"/>
                <w:szCs w:val="24"/>
              </w:rPr>
              <w:t>■1.产品应符合GB/T19545.4-2008《单臂操作助行器具要求和试验方法第4部分：三脚或多脚手杖》国家标准；</w:t>
            </w:r>
          </w:p>
          <w:p w14:paraId="383D4096">
            <w:pPr>
              <w:spacing w:line="360" w:lineRule="exact"/>
              <w:rPr>
                <w:rFonts w:ascii="宋体" w:hAnsi="宋体" w:eastAsia="宋体" w:cs="宋体"/>
                <w:sz w:val="24"/>
                <w:szCs w:val="24"/>
              </w:rPr>
            </w:pPr>
            <w:r>
              <w:rPr>
                <w:rFonts w:hint="eastAsia" w:ascii="宋体" w:hAnsi="宋体" w:eastAsia="宋体" w:cs="宋体"/>
                <w:sz w:val="24"/>
                <w:szCs w:val="24"/>
              </w:rPr>
              <w:t>2.主体材质为高强度铝合金，铝合金表面烤漆或氧化处理。防滑手柄，支脚垫材质为有弹性、耐磨、表面摩擦系数较高的防滑橡胶材料；表面应精光，光滑，无啃头、刨痕、横茬、逆纹、沟纹和机械损伤，手感应无毛刺；</w:t>
            </w:r>
          </w:p>
          <w:p w14:paraId="2C107812">
            <w:pPr>
              <w:spacing w:line="360" w:lineRule="exact"/>
              <w:rPr>
                <w:rFonts w:ascii="宋体" w:hAnsi="宋体" w:eastAsia="宋体" w:cs="宋体"/>
                <w:sz w:val="24"/>
                <w:szCs w:val="24"/>
              </w:rPr>
            </w:pPr>
            <w:r>
              <w:rPr>
                <w:rFonts w:hint="eastAsia" w:ascii="宋体" w:hAnsi="宋体" w:eastAsia="宋体" w:cs="宋体"/>
                <w:sz w:val="24"/>
                <w:szCs w:val="24"/>
              </w:rPr>
              <w:t>3.高度、握把可调节，提供不同材质单脚和多脚共不少于3个型号；</w:t>
            </w:r>
          </w:p>
          <w:p w14:paraId="369D7A27">
            <w:pPr>
              <w:spacing w:line="360" w:lineRule="exact"/>
              <w:rPr>
                <w:rFonts w:ascii="宋体" w:hAnsi="宋体" w:eastAsia="宋体" w:cs="宋体"/>
                <w:sz w:val="24"/>
                <w:szCs w:val="24"/>
              </w:rPr>
            </w:pPr>
            <w:r>
              <w:rPr>
                <w:rFonts w:hint="eastAsia" w:ascii="宋体" w:hAnsi="宋体" w:eastAsia="宋体" w:cs="宋体"/>
                <w:sz w:val="24"/>
                <w:szCs w:val="24"/>
              </w:rPr>
              <w:t>4.配备2个备用防滑支脚垫；</w:t>
            </w:r>
          </w:p>
          <w:p w14:paraId="2F563A0D">
            <w:pPr>
              <w:spacing w:line="360" w:lineRule="exact"/>
              <w:rPr>
                <w:rFonts w:ascii="宋体" w:hAnsi="宋体" w:eastAsia="宋体" w:cs="宋体"/>
                <w:sz w:val="24"/>
                <w:szCs w:val="24"/>
              </w:rPr>
            </w:pPr>
            <w:r>
              <w:rPr>
                <w:rFonts w:hint="eastAsia" w:ascii="宋体" w:hAnsi="宋体" w:eastAsia="宋体" w:cs="宋体"/>
                <w:sz w:val="24"/>
                <w:szCs w:val="24"/>
              </w:rPr>
              <w:t>5.承重</w:t>
            </w:r>
            <w:r>
              <w:rPr>
                <w:rFonts w:hint="eastAsia" w:ascii="宋体" w:hAnsi="宋体" w:eastAsia="宋体" w:cs="宋体"/>
                <w:bCs/>
                <w:sz w:val="24"/>
                <w:szCs w:val="24"/>
              </w:rPr>
              <w:t>≥</w:t>
            </w:r>
            <w:r>
              <w:rPr>
                <w:rFonts w:hint="eastAsia" w:ascii="宋体" w:hAnsi="宋体" w:eastAsia="宋体" w:cs="宋体"/>
                <w:sz w:val="24"/>
                <w:szCs w:val="24"/>
              </w:rPr>
              <w:t>100kg；</w:t>
            </w:r>
          </w:p>
          <w:p w14:paraId="5129F4C6">
            <w:pPr>
              <w:spacing w:line="360" w:lineRule="exact"/>
              <w:jc w:val="left"/>
              <w:rPr>
                <w:rFonts w:ascii="宋体" w:hAnsi="宋体" w:eastAsia="宋体" w:cs="宋体"/>
                <w:sz w:val="24"/>
                <w:szCs w:val="24"/>
              </w:rPr>
            </w:pPr>
            <w:r>
              <w:rPr>
                <w:rFonts w:hint="eastAsia" w:ascii="宋体" w:hAnsi="宋体" w:eastAsia="宋体" w:cs="宋体"/>
                <w:sz w:val="24"/>
                <w:szCs w:val="24"/>
              </w:rPr>
              <w:t>6.除满足以上条件规定外，按相应行业标准执行。</w:t>
            </w:r>
          </w:p>
        </w:tc>
        <w:tc>
          <w:tcPr>
            <w:tcW w:w="1515" w:type="dxa"/>
            <w:vAlign w:val="center"/>
          </w:tcPr>
          <w:p w14:paraId="2110D804">
            <w:pPr>
              <w:jc w:val="center"/>
              <w:rPr>
                <w:rFonts w:ascii="宋体" w:hAnsi="宋体" w:eastAsia="宋体" w:cs="宋体"/>
                <w:sz w:val="24"/>
                <w:szCs w:val="24"/>
              </w:rPr>
            </w:pPr>
            <w:r>
              <w:rPr>
                <w:rFonts w:hint="eastAsia" w:ascii="宋体" w:hAnsi="宋体" w:eastAsia="宋体" w:cs="宋体"/>
                <w:sz w:val="24"/>
                <w:szCs w:val="24"/>
              </w:rPr>
              <w:t>15</w:t>
            </w:r>
          </w:p>
        </w:tc>
        <w:tc>
          <w:tcPr>
            <w:tcW w:w="765" w:type="dxa"/>
            <w:vAlign w:val="center"/>
          </w:tcPr>
          <w:p w14:paraId="52E1A0B6">
            <w:pPr>
              <w:jc w:val="center"/>
              <w:rPr>
                <w:rFonts w:ascii="宋体" w:hAnsi="宋体" w:eastAsia="宋体" w:cs="宋体"/>
                <w:sz w:val="24"/>
                <w:szCs w:val="24"/>
              </w:rPr>
            </w:pPr>
          </w:p>
        </w:tc>
      </w:tr>
      <w:tr w14:paraId="0E87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D002B94">
            <w:pPr>
              <w:jc w:val="center"/>
              <w:rPr>
                <w:rFonts w:ascii="宋体" w:hAnsi="宋体" w:eastAsia="宋体" w:cs="宋体"/>
                <w:sz w:val="24"/>
                <w:szCs w:val="24"/>
              </w:rPr>
            </w:pPr>
            <w:r>
              <w:rPr>
                <w:rFonts w:hint="eastAsia" w:ascii="宋体" w:hAnsi="宋体" w:eastAsia="宋体" w:cs="宋体"/>
                <w:sz w:val="24"/>
                <w:szCs w:val="24"/>
              </w:rPr>
              <w:t>12</w:t>
            </w:r>
          </w:p>
        </w:tc>
        <w:tc>
          <w:tcPr>
            <w:tcW w:w="1410" w:type="dxa"/>
            <w:vAlign w:val="center"/>
          </w:tcPr>
          <w:p w14:paraId="0303DC2B">
            <w:pPr>
              <w:spacing w:line="400" w:lineRule="exact"/>
              <w:jc w:val="center"/>
              <w:rPr>
                <w:rFonts w:ascii="宋体" w:hAnsi="宋体" w:eastAsia="宋体" w:cs="宋体"/>
                <w:sz w:val="24"/>
                <w:szCs w:val="24"/>
              </w:rPr>
            </w:pPr>
            <w:r>
              <w:rPr>
                <w:rFonts w:hint="eastAsia" w:ascii="宋体" w:hAnsi="宋体" w:eastAsia="宋体" w:cs="宋体"/>
                <w:sz w:val="24"/>
                <w:szCs w:val="24"/>
              </w:rPr>
              <w:t>手摇式</w:t>
            </w:r>
          </w:p>
          <w:p w14:paraId="237C1F88">
            <w:pPr>
              <w:spacing w:line="400" w:lineRule="exact"/>
              <w:jc w:val="center"/>
              <w:rPr>
                <w:rFonts w:ascii="宋体" w:hAnsi="宋体" w:eastAsia="宋体" w:cs="宋体"/>
                <w:sz w:val="24"/>
                <w:szCs w:val="24"/>
              </w:rPr>
            </w:pPr>
            <w:r>
              <w:rPr>
                <w:rFonts w:hint="eastAsia" w:ascii="宋体" w:hAnsi="宋体" w:eastAsia="宋体" w:cs="宋体"/>
                <w:sz w:val="24"/>
                <w:szCs w:val="24"/>
              </w:rPr>
              <w:t>护理床</w:t>
            </w:r>
          </w:p>
        </w:tc>
        <w:tc>
          <w:tcPr>
            <w:tcW w:w="4590" w:type="dxa"/>
          </w:tcPr>
          <w:p w14:paraId="47A38A39">
            <w:pPr>
              <w:spacing w:line="352" w:lineRule="exact"/>
              <w:jc w:val="left"/>
              <w:rPr>
                <w:rFonts w:ascii="宋体" w:hAnsi="宋体" w:eastAsia="宋体" w:cs="宋体"/>
                <w:sz w:val="24"/>
                <w:szCs w:val="24"/>
              </w:rPr>
            </w:pPr>
            <w:r>
              <w:rPr>
                <w:rFonts w:hint="eastAsia" w:ascii="宋体" w:hAnsi="宋体" w:eastAsia="宋体" w:cs="宋体"/>
                <w:sz w:val="24"/>
                <w:szCs w:val="24"/>
              </w:rPr>
              <w:t>■1.床面严格按照中华人民共和国行业标准YY0003-90进行承重静压实验检测；</w:t>
            </w:r>
          </w:p>
          <w:p w14:paraId="45D2D0F4">
            <w:pPr>
              <w:spacing w:line="352" w:lineRule="exact"/>
              <w:jc w:val="left"/>
              <w:rPr>
                <w:rFonts w:ascii="宋体" w:hAnsi="宋体" w:eastAsia="宋体" w:cs="宋体"/>
                <w:sz w:val="24"/>
                <w:szCs w:val="24"/>
              </w:rPr>
            </w:pPr>
            <w:r>
              <w:rPr>
                <w:rFonts w:hint="eastAsia" w:ascii="宋体" w:hAnsi="宋体" w:eastAsia="宋体" w:cs="宋体"/>
                <w:sz w:val="24"/>
                <w:szCs w:val="24"/>
              </w:rPr>
              <w:t>2.材质：优质冷轧钢板一体冲压成型（带透气孔），床头、尾板采用ABS高级工程塑料。面板厚度不小于1.0㎜，床架横管厚度不小于1.5mm，脚架管厚度不小于1.5mm。使用者可触及表面均不应有外露的锐边、尖角、刃口和毛刺；</w:t>
            </w:r>
          </w:p>
          <w:p w14:paraId="37A266DE">
            <w:pPr>
              <w:spacing w:line="352" w:lineRule="exact"/>
              <w:rPr>
                <w:rFonts w:ascii="宋体" w:hAnsi="宋体" w:eastAsia="宋体" w:cs="宋体"/>
                <w:sz w:val="24"/>
                <w:szCs w:val="24"/>
              </w:rPr>
            </w:pPr>
            <w:r>
              <w:rPr>
                <w:rFonts w:hint="eastAsia" w:ascii="宋体" w:hAnsi="宋体" w:eastAsia="宋体" w:cs="宋体"/>
                <w:sz w:val="24"/>
                <w:szCs w:val="24"/>
              </w:rPr>
              <w:t>3.可自如装卸，四角装有防撞包角，摇手可内藏式，手柄转动灵活、安全、耐磨、轻便省力、无噪音、并有两极空转限制保护装置；</w:t>
            </w:r>
          </w:p>
          <w:p w14:paraId="01820FB4">
            <w:pPr>
              <w:spacing w:line="352" w:lineRule="exact"/>
              <w:rPr>
                <w:rFonts w:ascii="宋体" w:hAnsi="宋体" w:eastAsia="宋体" w:cs="宋体"/>
                <w:sz w:val="24"/>
                <w:szCs w:val="24"/>
              </w:rPr>
            </w:pPr>
            <w:r>
              <w:rPr>
                <w:rFonts w:hint="eastAsia" w:ascii="宋体" w:hAnsi="宋体" w:eastAsia="宋体" w:cs="宋体"/>
                <w:sz w:val="24"/>
                <w:szCs w:val="24"/>
              </w:rPr>
              <w:t>4.配折叠式护栏，脚轮抗磨、转动灵活，无噪音；</w:t>
            </w:r>
          </w:p>
          <w:p w14:paraId="2B35F267">
            <w:pPr>
              <w:spacing w:line="352" w:lineRule="exact"/>
              <w:rPr>
                <w:rFonts w:ascii="宋体" w:hAnsi="宋体" w:eastAsia="宋体" w:cs="宋体"/>
                <w:sz w:val="24"/>
                <w:szCs w:val="24"/>
              </w:rPr>
            </w:pPr>
            <w:r>
              <w:rPr>
                <w:rFonts w:hint="eastAsia" w:ascii="宋体" w:hAnsi="宋体" w:eastAsia="宋体" w:cs="宋体"/>
                <w:sz w:val="24"/>
                <w:szCs w:val="24"/>
              </w:rPr>
              <w:t>5.背部上升≥70°，腿部上升≥30°；</w:t>
            </w:r>
          </w:p>
          <w:p w14:paraId="639AF0CE">
            <w:pPr>
              <w:spacing w:line="352" w:lineRule="exact"/>
              <w:jc w:val="left"/>
              <w:rPr>
                <w:rFonts w:ascii="宋体" w:hAnsi="宋体" w:eastAsia="宋体" w:cs="宋体"/>
                <w:sz w:val="24"/>
                <w:szCs w:val="24"/>
              </w:rPr>
            </w:pPr>
            <w:r>
              <w:rPr>
                <w:rFonts w:hint="eastAsia" w:ascii="宋体" w:hAnsi="宋体" w:eastAsia="宋体" w:cs="宋体"/>
                <w:sz w:val="24"/>
                <w:szCs w:val="24"/>
              </w:rPr>
              <w:t>6.承重≥200KG。</w:t>
            </w:r>
          </w:p>
        </w:tc>
        <w:tc>
          <w:tcPr>
            <w:tcW w:w="1515" w:type="dxa"/>
            <w:vAlign w:val="center"/>
          </w:tcPr>
          <w:p w14:paraId="5EB8AA43">
            <w:pPr>
              <w:jc w:val="center"/>
              <w:rPr>
                <w:rFonts w:ascii="宋体" w:hAnsi="宋体" w:eastAsia="宋体" w:cs="宋体"/>
                <w:sz w:val="24"/>
                <w:szCs w:val="24"/>
              </w:rPr>
            </w:pPr>
            <w:r>
              <w:rPr>
                <w:rFonts w:hint="eastAsia" w:ascii="宋体" w:hAnsi="宋体" w:eastAsia="宋体" w:cs="宋体"/>
                <w:sz w:val="24"/>
                <w:szCs w:val="24"/>
              </w:rPr>
              <w:t>5</w:t>
            </w:r>
          </w:p>
        </w:tc>
        <w:tc>
          <w:tcPr>
            <w:tcW w:w="765" w:type="dxa"/>
            <w:vAlign w:val="center"/>
          </w:tcPr>
          <w:p w14:paraId="1D17B18B">
            <w:pPr>
              <w:jc w:val="center"/>
              <w:rPr>
                <w:rFonts w:ascii="宋体" w:hAnsi="宋体" w:eastAsia="宋体" w:cs="宋体"/>
                <w:sz w:val="24"/>
                <w:szCs w:val="24"/>
              </w:rPr>
            </w:pPr>
          </w:p>
        </w:tc>
      </w:tr>
      <w:tr w14:paraId="3800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DE58CC5">
            <w:pPr>
              <w:jc w:val="center"/>
              <w:rPr>
                <w:rFonts w:ascii="宋体" w:hAnsi="宋体" w:eastAsia="宋体" w:cs="宋体"/>
                <w:sz w:val="24"/>
                <w:szCs w:val="24"/>
              </w:rPr>
            </w:pPr>
            <w:r>
              <w:rPr>
                <w:rFonts w:hint="eastAsia" w:ascii="宋体" w:hAnsi="宋体" w:eastAsia="宋体" w:cs="宋体"/>
                <w:sz w:val="24"/>
                <w:szCs w:val="24"/>
              </w:rPr>
              <w:t>13</w:t>
            </w:r>
          </w:p>
        </w:tc>
        <w:tc>
          <w:tcPr>
            <w:tcW w:w="1410" w:type="dxa"/>
            <w:vAlign w:val="center"/>
          </w:tcPr>
          <w:p w14:paraId="078CAC1B">
            <w:pPr>
              <w:spacing w:line="400" w:lineRule="exact"/>
              <w:jc w:val="center"/>
              <w:rPr>
                <w:rFonts w:ascii="宋体" w:hAnsi="宋体" w:eastAsia="宋体" w:cs="宋体"/>
                <w:sz w:val="24"/>
                <w:szCs w:val="24"/>
              </w:rPr>
            </w:pPr>
            <w:r>
              <w:rPr>
                <w:rFonts w:hint="eastAsia" w:ascii="宋体" w:hAnsi="宋体" w:eastAsia="宋体" w:cs="宋体"/>
                <w:sz w:val="24"/>
                <w:szCs w:val="24"/>
              </w:rPr>
              <w:t>充气防褥疮床垫</w:t>
            </w:r>
          </w:p>
        </w:tc>
        <w:tc>
          <w:tcPr>
            <w:tcW w:w="4590" w:type="dxa"/>
          </w:tcPr>
          <w:p w14:paraId="1CBB6D4E">
            <w:pPr>
              <w:spacing w:line="340" w:lineRule="exact"/>
              <w:rPr>
                <w:rFonts w:ascii="宋体" w:hAnsi="宋体" w:eastAsia="宋体" w:cs="宋体"/>
                <w:sz w:val="24"/>
                <w:szCs w:val="24"/>
              </w:rPr>
            </w:pPr>
            <w:r>
              <w:rPr>
                <w:rFonts w:hint="eastAsia" w:ascii="宋体" w:hAnsi="宋体" w:eastAsia="宋体" w:cs="宋体"/>
                <w:sz w:val="24"/>
                <w:szCs w:val="24"/>
              </w:rPr>
              <w:t>■1.材质：优质医用PVC布料或海绵，拥有良好的吸湿透气性能。材质防霉、防滑、透气，具有阻燃性，有弹力，能适应坐姿产生的表面张力，有效防止褥疮的生成；</w:t>
            </w:r>
          </w:p>
          <w:p w14:paraId="524DD326">
            <w:pPr>
              <w:spacing w:line="340" w:lineRule="exact"/>
              <w:ind w:left="240" w:hanging="240" w:hangingChars="100"/>
              <w:rPr>
                <w:rFonts w:ascii="宋体" w:hAnsi="宋体" w:eastAsia="宋体" w:cs="宋体"/>
                <w:sz w:val="24"/>
                <w:szCs w:val="24"/>
              </w:rPr>
            </w:pPr>
            <w:r>
              <w:rPr>
                <w:rFonts w:hint="eastAsia" w:ascii="宋体" w:hAnsi="宋体" w:eastAsia="宋体" w:cs="宋体"/>
                <w:sz w:val="24"/>
                <w:szCs w:val="24"/>
              </w:rPr>
              <w:t>2.能提供充气、海绵各不少于2种型号；</w:t>
            </w:r>
          </w:p>
          <w:p w14:paraId="4D110797">
            <w:pPr>
              <w:spacing w:line="340" w:lineRule="exact"/>
              <w:jc w:val="left"/>
              <w:rPr>
                <w:rFonts w:ascii="宋体" w:hAnsi="宋体" w:eastAsia="宋体" w:cs="宋体"/>
                <w:sz w:val="24"/>
                <w:szCs w:val="24"/>
              </w:rPr>
            </w:pPr>
            <w:r>
              <w:rPr>
                <w:rFonts w:hint="eastAsia" w:ascii="宋体" w:hAnsi="宋体" w:eastAsia="宋体" w:cs="宋体"/>
                <w:sz w:val="24"/>
                <w:szCs w:val="24"/>
              </w:rPr>
              <w:t>3.床垫额定负载：≥ 200 Kg；</w:t>
            </w:r>
          </w:p>
          <w:p w14:paraId="27E8FCD5">
            <w:pPr>
              <w:spacing w:line="340" w:lineRule="exact"/>
              <w:rPr>
                <w:rFonts w:ascii="宋体" w:hAnsi="宋体" w:eastAsia="宋体" w:cs="宋体"/>
                <w:sz w:val="24"/>
                <w:szCs w:val="24"/>
              </w:rPr>
            </w:pPr>
            <w:r>
              <w:rPr>
                <w:rFonts w:hint="eastAsia" w:ascii="宋体" w:hAnsi="宋体" w:eastAsia="宋体" w:cs="宋体"/>
                <w:sz w:val="24"/>
                <w:szCs w:val="24"/>
              </w:rPr>
              <w:t>4.产品要有独立外包装；</w:t>
            </w:r>
          </w:p>
          <w:p w14:paraId="32313D8D">
            <w:pPr>
              <w:spacing w:line="340" w:lineRule="exact"/>
              <w:jc w:val="left"/>
              <w:rPr>
                <w:rFonts w:ascii="宋体" w:hAnsi="宋体" w:eastAsia="宋体" w:cs="宋体"/>
                <w:sz w:val="24"/>
                <w:szCs w:val="24"/>
              </w:rPr>
            </w:pPr>
            <w:r>
              <w:rPr>
                <w:rFonts w:hint="eastAsia" w:ascii="宋体" w:hAnsi="宋体" w:eastAsia="宋体" w:cs="宋体"/>
                <w:sz w:val="24"/>
                <w:szCs w:val="24"/>
              </w:rPr>
              <w:t>5.除满足以上条件规定外，按相应行业标准执行。</w:t>
            </w:r>
          </w:p>
        </w:tc>
        <w:tc>
          <w:tcPr>
            <w:tcW w:w="1515" w:type="dxa"/>
            <w:vAlign w:val="center"/>
          </w:tcPr>
          <w:p w14:paraId="501D3DA1">
            <w:pPr>
              <w:jc w:val="center"/>
              <w:rPr>
                <w:rFonts w:ascii="宋体" w:hAnsi="宋体" w:eastAsia="宋体" w:cs="宋体"/>
                <w:sz w:val="24"/>
                <w:szCs w:val="24"/>
              </w:rPr>
            </w:pPr>
            <w:r>
              <w:rPr>
                <w:rFonts w:hint="eastAsia" w:ascii="宋体" w:hAnsi="宋体" w:eastAsia="宋体" w:cs="宋体"/>
                <w:sz w:val="24"/>
                <w:szCs w:val="24"/>
              </w:rPr>
              <w:t>25</w:t>
            </w:r>
          </w:p>
        </w:tc>
        <w:tc>
          <w:tcPr>
            <w:tcW w:w="765" w:type="dxa"/>
            <w:vAlign w:val="center"/>
          </w:tcPr>
          <w:p w14:paraId="167DE026">
            <w:pPr>
              <w:jc w:val="center"/>
              <w:rPr>
                <w:rFonts w:ascii="宋体" w:hAnsi="宋体" w:eastAsia="宋体" w:cs="宋体"/>
                <w:sz w:val="24"/>
                <w:szCs w:val="24"/>
              </w:rPr>
            </w:pPr>
          </w:p>
        </w:tc>
      </w:tr>
      <w:tr w14:paraId="6AA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092EE9E">
            <w:pPr>
              <w:jc w:val="center"/>
              <w:rPr>
                <w:rFonts w:ascii="宋体" w:hAnsi="宋体" w:eastAsia="宋体" w:cs="宋体"/>
                <w:sz w:val="24"/>
                <w:szCs w:val="24"/>
              </w:rPr>
            </w:pPr>
            <w:r>
              <w:rPr>
                <w:rFonts w:hint="eastAsia" w:ascii="宋体" w:hAnsi="宋体" w:eastAsia="宋体" w:cs="宋体"/>
                <w:sz w:val="24"/>
                <w:szCs w:val="24"/>
              </w:rPr>
              <w:t>14</w:t>
            </w:r>
          </w:p>
        </w:tc>
        <w:tc>
          <w:tcPr>
            <w:tcW w:w="1410" w:type="dxa"/>
            <w:vAlign w:val="center"/>
          </w:tcPr>
          <w:p w14:paraId="32B5CA69">
            <w:pPr>
              <w:jc w:val="center"/>
              <w:rPr>
                <w:rFonts w:ascii="宋体" w:hAnsi="宋体" w:eastAsia="宋体" w:cs="宋体"/>
                <w:sz w:val="24"/>
                <w:szCs w:val="24"/>
              </w:rPr>
            </w:pPr>
            <w:r>
              <w:rPr>
                <w:rFonts w:hint="eastAsia" w:ascii="宋体" w:hAnsi="宋体" w:eastAsia="宋体" w:cs="宋体"/>
                <w:sz w:val="24"/>
                <w:szCs w:val="24"/>
              </w:rPr>
              <w:t>普通盲杖</w:t>
            </w:r>
          </w:p>
        </w:tc>
        <w:tc>
          <w:tcPr>
            <w:tcW w:w="4590" w:type="dxa"/>
            <w:vAlign w:val="center"/>
          </w:tcPr>
          <w:p w14:paraId="413158A9">
            <w:pPr>
              <w:spacing w:line="340" w:lineRule="exact"/>
              <w:rPr>
                <w:rFonts w:ascii="宋体" w:hAnsi="宋体" w:eastAsia="宋体" w:cs="宋体"/>
                <w:sz w:val="24"/>
                <w:szCs w:val="24"/>
              </w:rPr>
            </w:pPr>
            <w:r>
              <w:rPr>
                <w:rFonts w:hint="eastAsia" w:ascii="宋体" w:hAnsi="宋体" w:eastAsia="宋体" w:cs="宋体"/>
                <w:sz w:val="24"/>
                <w:szCs w:val="24"/>
              </w:rPr>
              <w:t>■1.产品符合 GB16930.1-2014盲杖体系第1部分：安全色标志和GB/T16930.2-2021盲杖第2部分：性能要求和试验方法国家标准。</w:t>
            </w:r>
          </w:p>
          <w:p w14:paraId="6F1F1672">
            <w:pPr>
              <w:spacing w:line="340" w:lineRule="exact"/>
              <w:rPr>
                <w:rFonts w:ascii="宋体" w:hAnsi="宋体" w:eastAsia="宋体" w:cs="宋体"/>
                <w:sz w:val="24"/>
                <w:szCs w:val="24"/>
              </w:rPr>
            </w:pPr>
            <w:r>
              <w:rPr>
                <w:rFonts w:hint="eastAsia" w:ascii="宋体" w:hAnsi="宋体" w:eastAsia="宋体" w:cs="宋体"/>
                <w:sz w:val="24"/>
                <w:szCs w:val="24"/>
              </w:rPr>
              <w:t>2.颜色：红白颜色；</w:t>
            </w:r>
          </w:p>
          <w:p w14:paraId="05B32136">
            <w:pPr>
              <w:spacing w:line="340" w:lineRule="exact"/>
              <w:rPr>
                <w:rFonts w:ascii="宋体" w:hAnsi="宋体" w:eastAsia="宋体" w:cs="宋体"/>
                <w:sz w:val="24"/>
                <w:szCs w:val="24"/>
              </w:rPr>
            </w:pPr>
            <w:r>
              <w:rPr>
                <w:rFonts w:hint="eastAsia" w:ascii="宋体" w:hAnsi="宋体" w:eastAsia="宋体" w:cs="宋体"/>
                <w:sz w:val="24"/>
                <w:szCs w:val="24"/>
              </w:rPr>
              <w:t>3.杆身外表具有反光膜复盖，夜间行走遇有车灯照射，杆身会自然警示反光；</w:t>
            </w:r>
          </w:p>
          <w:p w14:paraId="024E476F">
            <w:pPr>
              <w:spacing w:line="340" w:lineRule="exact"/>
              <w:rPr>
                <w:rFonts w:ascii="宋体" w:hAnsi="宋体" w:eastAsia="宋体" w:cs="宋体"/>
                <w:sz w:val="24"/>
                <w:szCs w:val="24"/>
              </w:rPr>
            </w:pPr>
            <w:r>
              <w:rPr>
                <w:rFonts w:hint="eastAsia" w:ascii="宋体" w:hAnsi="宋体" w:eastAsia="宋体" w:cs="宋体"/>
                <w:sz w:val="24"/>
                <w:szCs w:val="24"/>
              </w:rPr>
              <w:t>4.杆身长度尺寸（mm）：1200≤L＜1500，收缩后长度＜300，伸缩节数：9节；</w:t>
            </w:r>
          </w:p>
          <w:p w14:paraId="0CC76B79">
            <w:pPr>
              <w:spacing w:line="340" w:lineRule="exact"/>
              <w:rPr>
                <w:rFonts w:ascii="宋体" w:hAnsi="宋体" w:eastAsia="宋体" w:cs="宋体"/>
                <w:sz w:val="24"/>
                <w:szCs w:val="24"/>
              </w:rPr>
            </w:pPr>
            <w:r>
              <w:rPr>
                <w:rFonts w:hint="eastAsia" w:ascii="宋体" w:hAnsi="宋体" w:eastAsia="宋体" w:cs="宋体"/>
                <w:sz w:val="24"/>
                <w:szCs w:val="24"/>
              </w:rPr>
              <w:t>5.手柄最小长度（mm）：≥150；</w:t>
            </w:r>
          </w:p>
          <w:p w14:paraId="67FDB774">
            <w:pPr>
              <w:spacing w:line="340" w:lineRule="exact"/>
              <w:rPr>
                <w:rFonts w:ascii="宋体" w:hAnsi="宋体" w:eastAsia="宋体" w:cs="宋体"/>
                <w:sz w:val="24"/>
                <w:szCs w:val="24"/>
              </w:rPr>
            </w:pPr>
            <w:r>
              <w:rPr>
                <w:rFonts w:hint="eastAsia" w:ascii="宋体" w:hAnsi="宋体" w:eastAsia="宋体" w:cs="宋体"/>
                <w:sz w:val="24"/>
                <w:szCs w:val="24"/>
              </w:rPr>
              <w:t>6.手柄材质：环保材料，无毒、无害、无异味、不吸水、不褪色、易于清洗、防滑、绝缘；结构设计应适合盲杖使用中正确握持，不易从手中滑落；手柄上端应装有弹性腕带，并易于更换；</w:t>
            </w:r>
          </w:p>
          <w:p w14:paraId="081657EB">
            <w:pPr>
              <w:spacing w:line="340" w:lineRule="exact"/>
              <w:rPr>
                <w:rFonts w:ascii="宋体" w:hAnsi="宋体" w:eastAsia="宋体" w:cs="宋体"/>
                <w:sz w:val="24"/>
                <w:szCs w:val="24"/>
              </w:rPr>
            </w:pPr>
            <w:r>
              <w:rPr>
                <w:rFonts w:hint="eastAsia" w:ascii="宋体" w:hAnsi="宋体" w:eastAsia="宋体" w:cs="宋体"/>
                <w:sz w:val="24"/>
                <w:szCs w:val="24"/>
              </w:rPr>
              <w:t>7.杖尖材质：耐磨、绝缘、振动传导信号，并且在水泥、沥青、砖质等硬质路面上使用、有敲击声反馈，易于更换，杖头采用耐磨性能优良的材料做成；</w:t>
            </w:r>
          </w:p>
          <w:p w14:paraId="78343E5B">
            <w:pPr>
              <w:spacing w:line="340" w:lineRule="exact"/>
              <w:rPr>
                <w:rFonts w:ascii="宋体" w:hAnsi="宋体" w:eastAsia="宋体" w:cs="宋体"/>
                <w:sz w:val="24"/>
                <w:szCs w:val="24"/>
              </w:rPr>
            </w:pPr>
            <w:r>
              <w:rPr>
                <w:rFonts w:hint="eastAsia" w:ascii="宋体" w:hAnsi="宋体" w:eastAsia="宋体" w:cs="宋体"/>
                <w:sz w:val="24"/>
                <w:szCs w:val="24"/>
              </w:rPr>
              <w:t>8.杆身材质：钛合金，具有耐磨，不氧化，重量轻的特点，总重量＜200g</w:t>
            </w:r>
          </w:p>
          <w:p w14:paraId="3F6FD096">
            <w:pPr>
              <w:spacing w:line="340" w:lineRule="exact"/>
              <w:rPr>
                <w:rFonts w:ascii="宋体" w:hAnsi="宋体" w:eastAsia="宋体" w:cs="宋体"/>
                <w:sz w:val="24"/>
                <w:szCs w:val="24"/>
              </w:rPr>
            </w:pPr>
            <w:r>
              <w:rPr>
                <w:rFonts w:hint="eastAsia" w:ascii="宋体" w:hAnsi="宋体" w:eastAsia="宋体" w:cs="宋体"/>
                <w:sz w:val="24"/>
                <w:szCs w:val="24"/>
              </w:rPr>
              <w:t>9.手柄松紧绳尼龙制成,具有回弹性,耐拉,抗老化特点。</w:t>
            </w:r>
          </w:p>
          <w:p w14:paraId="63E1B945">
            <w:pPr>
              <w:spacing w:line="340" w:lineRule="exact"/>
              <w:rPr>
                <w:rFonts w:ascii="宋体" w:hAnsi="宋体" w:eastAsia="宋体" w:cs="宋体"/>
                <w:sz w:val="24"/>
                <w:szCs w:val="24"/>
              </w:rPr>
            </w:pPr>
            <w:r>
              <w:rPr>
                <w:rFonts w:hint="eastAsia" w:ascii="宋体" w:hAnsi="宋体" w:eastAsia="宋体" w:cs="宋体"/>
                <w:sz w:val="24"/>
                <w:szCs w:val="24"/>
              </w:rPr>
              <w:t>10.盲杖可伸缩收纳、伸缩部件灵活；伸缩部件连接牢固；伸缩部件方便拉伸和收缩，不应有卡滞现象；</w:t>
            </w:r>
          </w:p>
          <w:p w14:paraId="2C9AA512">
            <w:pPr>
              <w:spacing w:line="340" w:lineRule="exact"/>
              <w:rPr>
                <w:rFonts w:ascii="宋体" w:hAnsi="宋体" w:eastAsia="宋体" w:cs="宋体"/>
                <w:sz w:val="24"/>
                <w:szCs w:val="24"/>
              </w:rPr>
            </w:pPr>
            <w:r>
              <w:rPr>
                <w:rFonts w:hint="eastAsia" w:ascii="宋体" w:hAnsi="宋体" w:eastAsia="宋体" w:cs="宋体"/>
                <w:sz w:val="24"/>
                <w:szCs w:val="24"/>
              </w:rPr>
              <w:t>11.使用者可触及表面均不应有外露的锐边、尖角、刃口和毛刺；</w:t>
            </w:r>
          </w:p>
          <w:p w14:paraId="08B30885">
            <w:pPr>
              <w:spacing w:line="340" w:lineRule="exact"/>
              <w:rPr>
                <w:rFonts w:ascii="宋体" w:hAnsi="宋体" w:eastAsia="宋体" w:cs="宋体"/>
                <w:sz w:val="24"/>
                <w:szCs w:val="24"/>
              </w:rPr>
            </w:pPr>
            <w:r>
              <w:rPr>
                <w:rFonts w:hint="eastAsia" w:ascii="宋体" w:hAnsi="宋体" w:eastAsia="宋体" w:cs="宋体"/>
                <w:sz w:val="24"/>
                <w:szCs w:val="24"/>
              </w:rPr>
              <w:t>12.正常使用时，各部件材料不应掉色，不应使皮肤、衣服着色；</w:t>
            </w:r>
          </w:p>
          <w:p w14:paraId="25F8780D">
            <w:pPr>
              <w:spacing w:line="340" w:lineRule="exact"/>
              <w:rPr>
                <w:rFonts w:ascii="宋体" w:hAnsi="宋体" w:eastAsia="宋体" w:cs="宋体"/>
                <w:sz w:val="24"/>
                <w:szCs w:val="24"/>
              </w:rPr>
            </w:pPr>
            <w:r>
              <w:rPr>
                <w:rFonts w:hint="eastAsia" w:ascii="宋体" w:hAnsi="宋体" w:eastAsia="宋体" w:cs="宋体"/>
                <w:sz w:val="24"/>
                <w:szCs w:val="24"/>
              </w:rPr>
              <w:t>13.每只盲杖配有独立包装袋。</w:t>
            </w:r>
          </w:p>
        </w:tc>
        <w:tc>
          <w:tcPr>
            <w:tcW w:w="1515" w:type="dxa"/>
            <w:vAlign w:val="center"/>
          </w:tcPr>
          <w:p w14:paraId="0E55D030">
            <w:pPr>
              <w:jc w:val="center"/>
              <w:rPr>
                <w:rFonts w:ascii="宋体" w:hAnsi="宋体" w:eastAsia="宋体" w:cs="宋体"/>
                <w:sz w:val="24"/>
                <w:szCs w:val="24"/>
              </w:rPr>
            </w:pPr>
            <w:r>
              <w:rPr>
                <w:rFonts w:hint="eastAsia" w:ascii="宋体" w:hAnsi="宋体" w:eastAsia="宋体" w:cs="宋体"/>
                <w:sz w:val="24"/>
                <w:szCs w:val="24"/>
              </w:rPr>
              <w:t>20</w:t>
            </w:r>
          </w:p>
        </w:tc>
        <w:tc>
          <w:tcPr>
            <w:tcW w:w="765" w:type="dxa"/>
            <w:vAlign w:val="center"/>
          </w:tcPr>
          <w:p w14:paraId="1EF50E26">
            <w:pPr>
              <w:jc w:val="center"/>
              <w:rPr>
                <w:rFonts w:ascii="宋体" w:hAnsi="宋体" w:eastAsia="宋体" w:cs="宋体"/>
                <w:sz w:val="24"/>
                <w:szCs w:val="24"/>
              </w:rPr>
            </w:pPr>
          </w:p>
        </w:tc>
      </w:tr>
    </w:tbl>
    <w:p w14:paraId="5946B515">
      <w:pPr>
        <w:spacing w:line="400" w:lineRule="exact"/>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sz w:val="24"/>
          <w:szCs w:val="24"/>
          <w:lang w:val="en-US" w:eastAsia="zh-CN"/>
        </w:rPr>
        <w:t>1.</w:t>
      </w:r>
      <w:r>
        <w:rPr>
          <w:rFonts w:hint="eastAsia" w:ascii="宋体" w:hAnsi="宋体" w:eastAsia="宋体" w:cs="宋体"/>
          <w:sz w:val="24"/>
          <w:szCs w:val="24"/>
        </w:rPr>
        <w:t>表中带“■”的，为重要指标。</w:t>
      </w:r>
    </w:p>
    <w:p w14:paraId="365E0684">
      <w:pPr>
        <w:numPr>
          <w:ilvl w:val="0"/>
          <w:numId w:val="0"/>
        </w:numPr>
        <w:spacing w:line="400" w:lineRule="exact"/>
        <w:ind w:firstLine="720" w:firstLineChars="300"/>
        <w:rPr>
          <w:rFonts w:ascii="宋体" w:hAnsi="宋体" w:eastAsia="宋体" w:cs="宋体"/>
          <w:sz w:val="24"/>
          <w:szCs w:val="24"/>
        </w:rPr>
      </w:pPr>
      <w:r>
        <w:rPr>
          <w:rFonts w:hint="eastAsia" w:ascii="宋体" w:hAnsi="宋体" w:eastAsia="宋体" w:cs="宋体"/>
          <w:sz w:val="24"/>
          <w:szCs w:val="24"/>
        </w:rPr>
        <w:t>2.生产企业、代理商和经销商均可参加投标。</w:t>
      </w:r>
    </w:p>
    <w:p w14:paraId="30FC693F">
      <w:pPr>
        <w:spacing w:line="400" w:lineRule="exact"/>
        <w:ind w:firstLine="720" w:firstLineChars="300"/>
        <w:rPr>
          <w:rFonts w:ascii="宋体" w:hAnsi="宋体" w:eastAsia="宋体" w:cs="宋体"/>
          <w:sz w:val="24"/>
          <w:szCs w:val="24"/>
        </w:rPr>
      </w:pPr>
      <w:r>
        <w:rPr>
          <w:rFonts w:hint="eastAsia" w:ascii="宋体" w:hAnsi="宋体" w:eastAsia="宋体" w:cs="宋体"/>
          <w:sz w:val="24"/>
          <w:szCs w:val="24"/>
        </w:rPr>
        <w:t>3.需提供有效的第二类医疗器械经营备案凭证。</w:t>
      </w:r>
    </w:p>
    <w:p w14:paraId="01168DCD">
      <w:pPr>
        <w:spacing w:line="400" w:lineRule="exact"/>
        <w:ind w:firstLine="720" w:firstLineChars="300"/>
      </w:pPr>
      <w:r>
        <w:rPr>
          <w:rFonts w:hint="eastAsia" w:ascii="宋体" w:hAnsi="宋体" w:eastAsia="宋体" w:cs="宋体"/>
          <w:sz w:val="24"/>
          <w:szCs w:val="24"/>
        </w:rPr>
        <w:t>4.产品检测报告须在有效期内。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408A"/>
    <w:rsid w:val="246C68C0"/>
    <w:rsid w:val="28536D13"/>
    <w:rsid w:val="5D1C6D9A"/>
    <w:rsid w:val="6914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2864</Words>
  <Characters>3244</Characters>
  <Lines>0</Lines>
  <Paragraphs>0</Paragraphs>
  <TotalTime>14</TotalTime>
  <ScaleCrop>false</ScaleCrop>
  <LinksUpToDate>false</LinksUpToDate>
  <CharactersWithSpaces>3249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2026-07-13T00:55:00Z</dcterms:created>
  <dc:creator>琳琳</dc:creator>
  <cp:lastModifiedBy>☀️☀️☀️</cp:lastModifiedBy>
  <dcterms:modified xsi:type="dcterms:W3CDTF">2026-07-13T01:48:24Z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F54812ADF2B14AA88DE23280DA11BC08_13</vt:lpwstr>
  </property>
  <property fmtid="{D5CDD505-2E9C-101B-9397-08002B2CF9AE}" pid="4" name="KSOTemplateDocerSaveRecord">
    <vt:lpwstr>eyJoZGlkIjoiOTUxZWZhMjI0NzUwNjNjZTJlNjBjODcxNzEyNzZlYjgiLCJ1c2VySWQiOiIxMzQwNjMzOTk1In0=</vt:lpwstr>
  </property>
</Properties>
</file>