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adjustRightInd w:val="0"/>
        <w:snapToGrid w:val="0"/>
        <w:jc w:val="center"/>
        <w:outlineLvl w:val="0"/>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249"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480" w:lineRule="auto"/>
        <w:ind w:firstLine="640" w:firstLineChars="200"/>
        <w:rPr>
          <w:rFonts w:ascii="仿宋_GB2312" w:eastAsia="仿宋_GB2312"/>
          <w:color w:val="auto"/>
          <w:sz w:val="32"/>
          <w:szCs w:val="32"/>
          <w:u w:val="single"/>
        </w:rPr>
      </w:pPr>
      <w:r>
        <w:rPr>
          <w:rFonts w:hint="eastAsia" w:ascii="仿宋_GB2312" w:eastAsia="仿宋_GB2312"/>
          <w:color w:val="auto"/>
          <w:sz w:val="32"/>
          <w:szCs w:val="32"/>
        </w:rPr>
        <w:t>项目名称：</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eastAsia="zh-CN"/>
        </w:rPr>
        <w:t>中拓机械制造项目</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p>
    <w:p>
      <w:pPr>
        <w:adjustRightInd w:val="0"/>
        <w:snapToGrid w:val="0"/>
        <w:spacing w:line="480" w:lineRule="auto"/>
        <w:ind w:firstLine="640" w:firstLineChars="200"/>
        <w:rPr>
          <w:rFonts w:ascii="仿宋_GB2312" w:eastAsia="仿宋_GB2312"/>
          <w:color w:val="auto"/>
          <w:sz w:val="32"/>
          <w:szCs w:val="32"/>
          <w:u w:val="single"/>
        </w:rPr>
      </w:pPr>
      <w:r>
        <w:rPr>
          <w:rFonts w:hint="eastAsia" w:ascii="仿宋_GB2312" w:eastAsia="仿宋_GB2312"/>
          <w:color w:val="auto"/>
          <w:sz w:val="32"/>
          <w:szCs w:val="32"/>
        </w:rPr>
        <w:t>建设单位（盖章）：</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eastAsia="zh-CN"/>
        </w:rPr>
        <w:t>安徽中拓机械制造有限公司</w:t>
      </w:r>
      <w:r>
        <w:rPr>
          <w:rFonts w:hint="eastAsia" w:ascii="仿宋_GB2312" w:eastAsia="仿宋_GB2312"/>
          <w:color w:val="auto"/>
          <w:sz w:val="32"/>
          <w:szCs w:val="32"/>
          <w:u w:val="single"/>
        </w:rPr>
        <w:t xml:space="preserve"> </w:t>
      </w:r>
    </w:p>
    <w:p>
      <w:pPr>
        <w:tabs>
          <w:tab w:val="left" w:pos="965"/>
        </w:tabs>
        <w:adjustRightInd w:val="0"/>
        <w:snapToGrid w:val="0"/>
        <w:spacing w:line="480" w:lineRule="auto"/>
        <w:ind w:firstLine="640" w:firstLineChars="200"/>
        <w:rPr>
          <w:rFonts w:ascii="仿宋_GB2312" w:eastAsia="仿宋_GB2312"/>
          <w:color w:val="auto"/>
          <w:sz w:val="32"/>
          <w:szCs w:val="32"/>
          <w:u w:val="single"/>
        </w:rPr>
      </w:pPr>
      <w:r>
        <w:rPr>
          <w:rFonts w:hint="eastAsia" w:ascii="仿宋_GB2312" w:eastAsia="仿宋_GB2312"/>
          <w:color w:val="auto"/>
          <w:sz w:val="32"/>
          <w:szCs w:val="32"/>
        </w:rPr>
        <w:t>编制日期：</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202</w:t>
      </w:r>
      <w:r>
        <w:rPr>
          <w:rFonts w:hint="eastAsia" w:ascii="仿宋_GB2312" w:eastAsia="仿宋_GB2312"/>
          <w:color w:val="auto"/>
          <w:sz w:val="32"/>
          <w:szCs w:val="32"/>
          <w:u w:val="single"/>
          <w:lang w:val="en-US" w:eastAsia="zh-CN"/>
        </w:rPr>
        <w:t>3</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1</w:t>
      </w:r>
      <w:r>
        <w:rPr>
          <w:rFonts w:hint="eastAsia" w:ascii="仿宋_GB2312" w:eastAsia="仿宋_GB2312"/>
          <w:color w:val="auto"/>
          <w:sz w:val="32"/>
          <w:szCs w:val="32"/>
          <w:u w:val="single"/>
        </w:rPr>
        <w:t>月</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p>
    <w:p>
      <w:pPr>
        <w:pStyle w:val="31"/>
        <w:jc w:val="center"/>
        <w:outlineLvl w:val="0"/>
        <w:rPr>
          <w:rFonts w:ascii="楷体_GB2312" w:eastAsia="楷体_GB2312"/>
          <w:color w:val="auto"/>
          <w:sz w:val="36"/>
          <w:szCs w:val="36"/>
        </w:rPr>
      </w:pPr>
    </w:p>
    <w:p>
      <w:pPr>
        <w:pStyle w:val="31"/>
        <w:jc w:val="center"/>
        <w:outlineLvl w:val="0"/>
        <w:rPr>
          <w:rFonts w:ascii="楷体_GB2312" w:eastAsia="楷体_GB2312"/>
          <w:color w:val="auto"/>
          <w:sz w:val="36"/>
          <w:szCs w:val="36"/>
        </w:rPr>
      </w:pPr>
    </w:p>
    <w:p>
      <w:pPr>
        <w:pStyle w:val="31"/>
        <w:jc w:val="center"/>
        <w:outlineLvl w:val="0"/>
        <w:rPr>
          <w:rFonts w:ascii="楷体_GB2312" w:eastAsia="楷体_GB2312"/>
          <w:b/>
          <w:bCs/>
          <w:color w:val="auto"/>
          <w:sz w:val="36"/>
          <w:szCs w:val="36"/>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楷体_GB2312" w:eastAsia="楷体_GB2312"/>
          <w:b/>
          <w:bCs/>
          <w:color w:val="auto"/>
          <w:sz w:val="36"/>
          <w:szCs w:val="36"/>
        </w:rPr>
        <w:t>中华人民共和国生态环境部制</w:t>
      </w:r>
    </w:p>
    <w:p>
      <w:pPr>
        <w:pStyle w:val="31"/>
        <w:ind w:firstLine="300" w:firstLineChars="100"/>
        <w:jc w:val="both"/>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34"/>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9"/>
        <w:gridCol w:w="2575"/>
        <w:gridCol w:w="2088"/>
        <w:gridCol w:w="3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7941" w:type="dxa"/>
            <w:gridSpan w:val="3"/>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lang w:val="zh-CN"/>
              </w:rPr>
              <w:t>中拓机械制造项目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项目代码</w:t>
            </w:r>
          </w:p>
        </w:tc>
        <w:tc>
          <w:tcPr>
            <w:tcW w:w="7941" w:type="dxa"/>
            <w:gridSpan w:val="3"/>
            <w:vAlign w:val="center"/>
          </w:tcPr>
          <w:p>
            <w:pPr>
              <w:ind w:firstLine="96" w:firstLineChars="46"/>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bCs/>
                <w:color w:val="auto"/>
                <w:szCs w:val="21"/>
                <w:lang w:eastAsia="zh-CN"/>
              </w:rPr>
              <w:t>2209-340602-04-01-377641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shd w:val="clear" w:color="auto" w:fill="auto"/>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建设单位联系人</w:t>
            </w:r>
          </w:p>
        </w:tc>
        <w:tc>
          <w:tcPr>
            <w:tcW w:w="2575" w:type="dxa"/>
            <w:shd w:val="clear" w:color="auto" w:fill="auto"/>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马寅胜</w:t>
            </w:r>
          </w:p>
        </w:tc>
        <w:tc>
          <w:tcPr>
            <w:tcW w:w="2088" w:type="dxa"/>
            <w:shd w:val="clear" w:color="auto" w:fill="auto"/>
            <w:vAlign w:val="center"/>
          </w:tcPr>
          <w:p>
            <w:pPr>
              <w:adjustRightInd w:val="0"/>
              <w:snapToGrid w:val="0"/>
              <w:jc w:val="center"/>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rPr>
              <w:t>联系方式</w:t>
            </w:r>
          </w:p>
        </w:tc>
        <w:tc>
          <w:tcPr>
            <w:tcW w:w="3278" w:type="dxa"/>
            <w:shd w:val="clear" w:color="auto" w:fill="auto"/>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18655956555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7941" w:type="dxa"/>
            <w:gridSpan w:val="3"/>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lang w:val="zh-CN"/>
              </w:rPr>
              <w:t>杜集经济开发区富强路与青春路交叉口东北侧3号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7941" w:type="dxa"/>
            <w:gridSpan w:val="3"/>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东经116度49分</w:t>
            </w:r>
            <w:r>
              <w:rPr>
                <w:rFonts w:hint="default" w:ascii="Times New Roman" w:hAnsi="Times New Roman" w:cs="Times New Roman"/>
                <w:bCs/>
                <w:color w:val="auto"/>
                <w:szCs w:val="21"/>
                <w:lang w:val="en-US" w:eastAsia="zh-CN"/>
              </w:rPr>
              <w:t>27.842</w:t>
            </w:r>
            <w:r>
              <w:rPr>
                <w:rFonts w:hint="default" w:ascii="Times New Roman" w:hAnsi="Times New Roman" w:cs="Times New Roman"/>
                <w:bCs/>
                <w:color w:val="auto"/>
                <w:szCs w:val="21"/>
              </w:rPr>
              <w:t>秒，北纬34度3分</w:t>
            </w:r>
            <w:r>
              <w:rPr>
                <w:rFonts w:hint="default" w:ascii="Times New Roman" w:hAnsi="Times New Roman" w:cs="Times New Roman"/>
                <w:bCs/>
                <w:color w:val="auto"/>
                <w:szCs w:val="21"/>
                <w:lang w:val="en-US" w:eastAsia="zh-CN"/>
              </w:rPr>
              <w:t>17.493</w:t>
            </w:r>
            <w:r>
              <w:rPr>
                <w:rFonts w:hint="default" w:ascii="Times New Roman" w:hAnsi="Times New Roman" w:cs="Times New Roman"/>
                <w:bCs/>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国民经济</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行业类别</w:t>
            </w:r>
          </w:p>
        </w:tc>
        <w:tc>
          <w:tcPr>
            <w:tcW w:w="2575" w:type="dxa"/>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C3499其他未列明通用设备制造业</w:t>
            </w:r>
          </w:p>
        </w:tc>
        <w:tc>
          <w:tcPr>
            <w:tcW w:w="2088" w:type="dxa"/>
            <w:vAlign w:val="center"/>
          </w:tcPr>
          <w:p>
            <w:pPr>
              <w:adjustRightInd w:val="0"/>
              <w:snapToGrid w:val="0"/>
              <w:jc w:val="center"/>
              <w:rPr>
                <w:rFonts w:hint="default" w:ascii="Times New Roman" w:hAnsi="Times New Roman" w:cs="Times New Roman"/>
                <w:color w:val="auto"/>
                <w:kern w:val="0"/>
                <w:szCs w:val="21"/>
              </w:rPr>
            </w:pPr>
            <w:bookmarkStart w:id="0" w:name="_Hlk49843745"/>
            <w:r>
              <w:rPr>
                <w:rFonts w:hint="default" w:ascii="Times New Roman" w:hAnsi="Times New Roman" w:cs="Times New Roman"/>
                <w:color w:val="auto"/>
                <w:kern w:val="0"/>
                <w:szCs w:val="21"/>
              </w:rPr>
              <w:t>建设项目</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行业类别</w:t>
            </w:r>
            <w:bookmarkEnd w:id="0"/>
          </w:p>
        </w:tc>
        <w:tc>
          <w:tcPr>
            <w:tcW w:w="3278" w:type="dxa"/>
            <w:vAlign w:val="center"/>
          </w:tcPr>
          <w:p>
            <w:pPr>
              <w:adjustRightInd w:val="0"/>
              <w:snapToGrid w:val="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三十一、通用设备制造业34</w:t>
            </w:r>
            <w:r>
              <w:rPr>
                <w:rFonts w:hint="default" w:ascii="Times New Roman" w:hAnsi="Times New Roman" w:cs="Times New Roman"/>
                <w:color w:val="auto"/>
                <w:kern w:val="0"/>
                <w:szCs w:val="21"/>
                <w:lang w:val="en-US" w:eastAsia="zh-CN"/>
              </w:rPr>
              <w:t>中69.其他通用 设备制造业 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建设性质</w:t>
            </w:r>
          </w:p>
        </w:tc>
        <w:tc>
          <w:tcPr>
            <w:tcW w:w="2575"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☑新建（迁建）</w:t>
            </w:r>
          </w:p>
          <w:p>
            <w:pPr>
              <w:jc w:val="left"/>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改建</w:t>
            </w:r>
          </w:p>
          <w:p>
            <w:pPr>
              <w:jc w:val="left"/>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扩建</w:t>
            </w:r>
          </w:p>
          <w:p>
            <w:pPr>
              <w:jc w:val="left"/>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技术改造</w:t>
            </w:r>
          </w:p>
        </w:tc>
        <w:tc>
          <w:tcPr>
            <w:tcW w:w="2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3278"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☑首次申报项目             </w:t>
            </w:r>
          </w:p>
          <w:p>
            <w:pPr>
              <w:jc w:val="left"/>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不予批准后再次申报项目</w:t>
            </w:r>
          </w:p>
          <w:p>
            <w:pPr>
              <w:jc w:val="left"/>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 xml:space="preserve">超五年重新审核项目     </w:t>
            </w:r>
          </w:p>
          <w:p>
            <w:pPr>
              <w:jc w:val="left"/>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929" w:type="dxa"/>
            <w:tcMar>
              <w:top w:w="16" w:type="dxa"/>
              <w:left w:w="16" w:type="dxa"/>
              <w:right w:w="16" w:type="dxa"/>
            </w:tcMar>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备案）部门（选填）</w:t>
            </w:r>
          </w:p>
        </w:tc>
        <w:tc>
          <w:tcPr>
            <w:tcW w:w="2575"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淮北市杜集区发展和改革委员会</w:t>
            </w:r>
          </w:p>
        </w:tc>
        <w:tc>
          <w:tcPr>
            <w:tcW w:w="2088" w:type="dxa"/>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备案）文号（选填）</w:t>
            </w:r>
          </w:p>
        </w:tc>
        <w:tc>
          <w:tcPr>
            <w:tcW w:w="3278" w:type="dxa"/>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strike w:val="0"/>
                <w:dstrike w:val="0"/>
                <w:color w:val="auto"/>
                <w:szCs w:val="21"/>
                <w:lang w:eastAsia="zh-CN"/>
              </w:rPr>
              <w:t>杜发改备〔2022〕205号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2575" w:type="dxa"/>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58000</w:t>
            </w:r>
          </w:p>
        </w:tc>
        <w:tc>
          <w:tcPr>
            <w:tcW w:w="2088"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3278"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2575"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0.288</w:t>
            </w:r>
          </w:p>
        </w:tc>
        <w:tc>
          <w:tcPr>
            <w:tcW w:w="2088"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327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18</w:t>
            </w:r>
            <w:r>
              <w:rPr>
                <w:rFonts w:hint="default" w:ascii="Times New Roman" w:hAnsi="Times New Roman" w:cs="Times New Roman"/>
                <w:color w:val="auto"/>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是否开工建设</w:t>
            </w:r>
          </w:p>
        </w:tc>
        <w:tc>
          <w:tcPr>
            <w:tcW w:w="2575" w:type="dxa"/>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☑否</w:t>
            </w:r>
          </w:p>
          <w:p>
            <w:pPr>
              <w:adjustRightInd w:val="0"/>
              <w:snapToGrid w:val="0"/>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是：</w:t>
            </w:r>
            <w:r>
              <w:rPr>
                <w:rFonts w:hint="default" w:ascii="Times New Roman" w:hAnsi="Times New Roman" w:cs="Times New Roman"/>
                <w:color w:val="auto"/>
                <w:szCs w:val="21"/>
                <w:u w:val="single"/>
              </w:rPr>
              <w:t xml:space="preserve">             </w:t>
            </w:r>
          </w:p>
        </w:tc>
        <w:tc>
          <w:tcPr>
            <w:tcW w:w="2088" w:type="dxa"/>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用地（用海）</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pacing w:val="-6"/>
                <w:szCs w:val="21"/>
              </w:rPr>
              <w:t>面积（m</w:t>
            </w:r>
            <w:r>
              <w:rPr>
                <w:rFonts w:hint="default" w:ascii="Times New Roman" w:hAnsi="Times New Roman" w:cs="Times New Roman"/>
                <w:color w:val="auto"/>
                <w:spacing w:val="-6"/>
                <w:szCs w:val="21"/>
                <w:vertAlign w:val="superscript"/>
              </w:rPr>
              <w:t>2</w:t>
            </w:r>
            <w:r>
              <w:rPr>
                <w:rFonts w:hint="default" w:ascii="Times New Roman" w:hAnsi="Times New Roman" w:cs="Times New Roman"/>
                <w:color w:val="auto"/>
                <w:spacing w:val="-6"/>
                <w:szCs w:val="21"/>
              </w:rPr>
              <w:t>）</w:t>
            </w:r>
          </w:p>
        </w:tc>
        <w:tc>
          <w:tcPr>
            <w:tcW w:w="3278"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43324.23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9" w:type="dxa"/>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专项评价设置情况</w:t>
            </w:r>
          </w:p>
        </w:tc>
        <w:tc>
          <w:tcPr>
            <w:tcW w:w="7941" w:type="dxa"/>
            <w:gridSpan w:val="3"/>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29" w:type="dxa"/>
            <w:vAlign w:val="center"/>
          </w:tcPr>
          <w:p>
            <w:pPr>
              <w:autoSpaceDE w:val="0"/>
              <w:autoSpaceDN w:val="0"/>
              <w:adjustRightInd w:val="0"/>
              <w:snapToGrid w:val="0"/>
              <w:spacing w:line="360" w:lineRule="auto"/>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规划情况</w:t>
            </w:r>
          </w:p>
        </w:tc>
        <w:tc>
          <w:tcPr>
            <w:tcW w:w="7941" w:type="dxa"/>
            <w:gridSpan w:val="3"/>
            <w:vAlign w:val="center"/>
          </w:tcPr>
          <w:p>
            <w:pPr>
              <w:adjustRightInd w:val="0"/>
              <w:snapToGrid w:val="0"/>
              <w:spacing w:line="240" w:lineRule="auto"/>
              <w:jc w:val="both"/>
              <w:rPr>
                <w:rFonts w:hint="default" w:ascii="Times New Roman" w:hAnsi="Times New Roman" w:cs="Times New Roman"/>
                <w:color w:val="auto"/>
                <w:szCs w:val="21"/>
              </w:rPr>
            </w:pPr>
            <w:r>
              <w:rPr>
                <w:rFonts w:hint="default" w:ascii="Times New Roman" w:hAnsi="Times New Roman" w:cs="Times New Roman"/>
                <w:color w:val="auto"/>
                <w:szCs w:val="21"/>
              </w:rPr>
              <w:t>规划名称：</w:t>
            </w:r>
            <w:r>
              <w:rPr>
                <w:rFonts w:hint="default" w:ascii="Times New Roman" w:hAnsi="Times New Roman" w:cs="Times New Roman"/>
                <w:color w:val="auto"/>
                <w:szCs w:val="21"/>
                <w:lang w:eastAsia="zh-CN"/>
              </w:rPr>
              <w:t>《安徽淮北杜集经济技术开发区总体规划》（2007-2020年）</w:t>
            </w:r>
            <w:r>
              <w:rPr>
                <w:rFonts w:hint="default" w:ascii="Times New Roman" w:hAnsi="Times New Roman" w:cs="Times New Roman"/>
                <w:color w:val="auto"/>
                <w:szCs w:val="21"/>
              </w:rPr>
              <w:t>；</w:t>
            </w:r>
          </w:p>
          <w:p>
            <w:pPr>
              <w:tabs>
                <w:tab w:val="left" w:pos="6512"/>
              </w:tabs>
              <w:adjustRightInd w:val="0"/>
              <w:snapToGrid w:val="0"/>
              <w:spacing w:line="240" w:lineRule="auto"/>
              <w:jc w:val="both"/>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审批机关：安徽省人民政府；</w:t>
            </w:r>
          </w:p>
          <w:p>
            <w:pPr>
              <w:adjustRightInd w:val="0"/>
              <w:snapToGrid w:val="0"/>
              <w:spacing w:line="240" w:lineRule="auto"/>
              <w:jc w:val="both"/>
              <w:rPr>
                <w:rFonts w:hint="default" w:ascii="Times New Roman" w:hAnsi="Times New Roman" w:cs="Times New Roman"/>
                <w:color w:val="auto"/>
                <w:szCs w:val="21"/>
              </w:rPr>
            </w:pPr>
            <w:r>
              <w:rPr>
                <w:rFonts w:hint="default" w:ascii="Times New Roman" w:hAnsi="Times New Roman" w:cs="Times New Roman"/>
                <w:color w:val="auto"/>
                <w:szCs w:val="21"/>
              </w:rPr>
              <w:t>审批文件：《关于同意筹建安徽淮北杜集经济开发区的批复》；</w:t>
            </w:r>
          </w:p>
          <w:p>
            <w:pPr>
              <w:autoSpaceDE w:val="0"/>
              <w:autoSpaceDN w:val="0"/>
              <w:adjustRightInd w:val="0"/>
              <w:snapToGrid w:val="0"/>
              <w:spacing w:line="240" w:lineRule="auto"/>
              <w:jc w:val="both"/>
              <w:rPr>
                <w:rFonts w:hint="default" w:ascii="Times New Roman" w:hAnsi="Times New Roman" w:cs="Times New Roman"/>
                <w:color w:val="auto"/>
                <w:szCs w:val="21"/>
              </w:rPr>
            </w:pPr>
            <w:r>
              <w:rPr>
                <w:rFonts w:hint="default" w:ascii="Times New Roman" w:hAnsi="Times New Roman" w:cs="Times New Roman"/>
                <w:color w:val="auto"/>
                <w:szCs w:val="21"/>
              </w:rPr>
              <w:t>审批文号：皖政秘〔2006〕164号。</w:t>
            </w:r>
          </w:p>
          <w:p>
            <w:pPr>
              <w:autoSpaceDE w:val="0"/>
              <w:autoSpaceDN w:val="0"/>
              <w:adjustRightInd w:val="0"/>
              <w:snapToGrid w:val="0"/>
              <w:spacing w:line="240" w:lineRule="auto"/>
              <w:jc w:val="both"/>
              <w:rPr>
                <w:rFonts w:hint="default" w:ascii="Times New Roman" w:hAnsi="Times New Roman" w:cs="Times New Roman"/>
                <w:color w:val="auto"/>
                <w:szCs w:val="21"/>
              </w:rPr>
            </w:pPr>
            <w:r>
              <w:rPr>
                <w:rFonts w:hint="default" w:ascii="Times New Roman" w:hAnsi="Times New Roman" w:cs="Times New Roman"/>
                <w:color w:val="auto"/>
                <w:szCs w:val="21"/>
              </w:rPr>
              <w:t>规划名称：《安徽淮北杜集经济技术开发区总体规划》（2016-2030年）</w:t>
            </w:r>
          </w:p>
          <w:p>
            <w:pPr>
              <w:autoSpaceDE w:val="0"/>
              <w:autoSpaceDN w:val="0"/>
              <w:adjustRightInd w:val="0"/>
              <w:snapToGrid w:val="0"/>
              <w:spacing w:line="240" w:lineRule="auto"/>
              <w:jc w:val="both"/>
              <w:rPr>
                <w:rFonts w:hint="default" w:ascii="Times New Roman" w:hAnsi="Times New Roman" w:cs="Times New Roman"/>
                <w:color w:val="auto"/>
                <w:kern w:val="0"/>
                <w:sz w:val="24"/>
              </w:rPr>
            </w:pPr>
            <w:r>
              <w:rPr>
                <w:rFonts w:hint="default" w:ascii="Times New Roman" w:hAnsi="Times New Roman" w:cs="Times New Roman"/>
                <w:color w:val="auto"/>
                <w:szCs w:val="21"/>
              </w:rPr>
              <w:t>审批机关：安徽省人民政府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9" w:type="dxa"/>
            <w:vAlign w:val="center"/>
          </w:tcPr>
          <w:p>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规划环境影响</w:t>
            </w:r>
          </w:p>
          <w:p>
            <w:pPr>
              <w:adjustRightInd w:val="0"/>
              <w:snapToGrid w:val="0"/>
              <w:spacing w:line="360" w:lineRule="auto"/>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评价情况</w:t>
            </w:r>
          </w:p>
        </w:tc>
        <w:tc>
          <w:tcPr>
            <w:tcW w:w="7941" w:type="dxa"/>
            <w:gridSpan w:val="3"/>
            <w:vAlign w:val="center"/>
          </w:tcPr>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1、规划环评名称：《安徽淮北杜集经济开发区总体规划环境影响报告书》；</w:t>
            </w:r>
          </w:p>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规划环评审查机关：原安徽省环境保护厅；</w:t>
            </w:r>
          </w:p>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审查文件名称及文号：《关于安徽淮北杜集经济开发区总体规划环境影响报告书的审查意见》；</w:t>
            </w:r>
          </w:p>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审查文号：环评函〔2011〕1151号。</w:t>
            </w:r>
          </w:p>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2、规划跟踪评价名称：《安徽淮北杜集经济开发区总体规划环境影响跟踪评价报告书》；</w:t>
            </w:r>
          </w:p>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规划环评审查机关：淮北市生态环境局；</w:t>
            </w:r>
          </w:p>
          <w:p>
            <w:pPr>
              <w:adjustRightInd w:val="0"/>
              <w:snapToGrid w:val="0"/>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Cs w:val="21"/>
              </w:rPr>
              <w:t>审查文件名称及文号：《淮北市生态环境局关于印发&lt;安徽淮北杜集经济开发区总体规划环境影响跟踪评价报告书审查意见&gt;的函》；</w:t>
            </w:r>
          </w:p>
          <w:p>
            <w:pPr>
              <w:autoSpaceDE w:val="0"/>
              <w:autoSpaceDN w:val="0"/>
              <w:adjustRightInd w:val="0"/>
              <w:snapToGrid w:val="0"/>
              <w:spacing w:line="240" w:lineRule="auto"/>
              <w:rPr>
                <w:rFonts w:hint="default" w:ascii="Times New Roman" w:hAnsi="Times New Roman" w:cs="Times New Roman"/>
                <w:color w:val="auto"/>
                <w:kern w:val="0"/>
                <w:sz w:val="24"/>
              </w:rPr>
            </w:pPr>
            <w:r>
              <w:rPr>
                <w:rFonts w:hint="default" w:ascii="Times New Roman" w:hAnsi="Times New Roman" w:cs="Times New Roman"/>
                <w:color w:val="auto"/>
                <w:szCs w:val="21"/>
              </w:rPr>
              <w:t>审查文号：淮环函〔2020〕174号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规划及规划环境影响评价符合项分析</w:t>
            </w:r>
          </w:p>
        </w:tc>
        <w:tc>
          <w:tcPr>
            <w:tcW w:w="7941" w:type="dxa"/>
            <w:gridSpan w:val="3"/>
            <w:vAlign w:val="center"/>
          </w:tcPr>
          <w:p>
            <w:pPr>
              <w:pStyle w:val="17"/>
              <w:spacing w:line="360" w:lineRule="auto"/>
              <w:ind w:firstLine="0"/>
              <w:rPr>
                <w:b/>
                <w:color w:val="auto"/>
                <w:sz w:val="24"/>
                <w:szCs w:val="24"/>
              </w:rPr>
            </w:pPr>
            <w:r>
              <w:rPr>
                <w:rFonts w:hint="eastAsia"/>
                <w:b/>
                <w:color w:val="auto"/>
                <w:sz w:val="24"/>
                <w:szCs w:val="24"/>
              </w:rPr>
              <w:t>1、与规划相符性分析</w:t>
            </w:r>
          </w:p>
          <w:p>
            <w:pPr>
              <w:spacing w:line="360" w:lineRule="auto"/>
              <w:ind w:firstLine="480" w:firstLineChars="200"/>
              <w:jc w:val="left"/>
              <w:rPr>
                <w:color w:val="auto"/>
                <w:sz w:val="24"/>
                <w:szCs w:val="24"/>
              </w:rPr>
            </w:pPr>
            <w:r>
              <w:rPr>
                <w:color w:val="auto"/>
                <w:sz w:val="24"/>
                <w:szCs w:val="24"/>
              </w:rPr>
              <w:t>（1）与用地规划相符性</w:t>
            </w:r>
          </w:p>
          <w:p>
            <w:pPr>
              <w:spacing w:line="360" w:lineRule="auto"/>
              <w:ind w:firstLine="480" w:firstLineChars="200"/>
              <w:jc w:val="left"/>
              <w:rPr>
                <w:color w:val="auto"/>
                <w:sz w:val="24"/>
                <w:szCs w:val="24"/>
              </w:rPr>
            </w:pPr>
            <w:r>
              <w:rPr>
                <w:color w:val="auto"/>
                <w:sz w:val="24"/>
                <w:szCs w:val="24"/>
              </w:rPr>
              <w:t>本项目位于</w:t>
            </w:r>
            <w:r>
              <w:rPr>
                <w:rFonts w:hint="eastAsia"/>
                <w:color w:val="auto"/>
                <w:sz w:val="24"/>
                <w:szCs w:val="24"/>
              </w:rPr>
              <w:t>杜集经济开发区富强路与青春路交叉口东北侧3号</w:t>
            </w:r>
            <w:r>
              <w:rPr>
                <w:color w:val="auto"/>
                <w:sz w:val="24"/>
                <w:szCs w:val="24"/>
              </w:rPr>
              <w:t>，对照</w:t>
            </w:r>
            <w:r>
              <w:rPr>
                <w:rFonts w:hint="eastAsia"/>
                <w:color w:val="auto"/>
                <w:sz w:val="24"/>
                <w:szCs w:val="24"/>
              </w:rPr>
              <w:t>《安徽淮北杜集经济技术开发区总体规划》（20</w:t>
            </w:r>
            <w:r>
              <w:rPr>
                <w:rFonts w:hint="eastAsia"/>
                <w:color w:val="auto"/>
                <w:sz w:val="24"/>
                <w:szCs w:val="24"/>
                <w:lang w:val="en-US" w:eastAsia="zh-CN"/>
              </w:rPr>
              <w:t>16</w:t>
            </w:r>
            <w:r>
              <w:rPr>
                <w:rFonts w:hint="eastAsia"/>
                <w:color w:val="auto"/>
                <w:sz w:val="24"/>
                <w:szCs w:val="24"/>
              </w:rPr>
              <w:t>-20</w:t>
            </w:r>
            <w:r>
              <w:rPr>
                <w:rFonts w:hint="eastAsia"/>
                <w:color w:val="auto"/>
                <w:sz w:val="24"/>
                <w:szCs w:val="24"/>
                <w:lang w:val="en-US" w:eastAsia="zh-CN"/>
              </w:rPr>
              <w:t>3</w:t>
            </w:r>
            <w:r>
              <w:rPr>
                <w:rFonts w:hint="eastAsia"/>
                <w:color w:val="auto"/>
                <w:sz w:val="24"/>
                <w:szCs w:val="24"/>
              </w:rPr>
              <w:t>0年）</w:t>
            </w:r>
            <w:r>
              <w:rPr>
                <w:color w:val="auto"/>
                <w:sz w:val="24"/>
                <w:szCs w:val="24"/>
              </w:rPr>
              <w:t>（规划图见附图</w:t>
            </w:r>
            <w:r>
              <w:rPr>
                <w:rFonts w:hint="eastAsia"/>
                <w:color w:val="auto"/>
                <w:sz w:val="24"/>
                <w:szCs w:val="24"/>
                <w:lang w:val="en-US" w:eastAsia="zh-CN"/>
              </w:rPr>
              <w:t>三</w:t>
            </w:r>
            <w:r>
              <w:rPr>
                <w:color w:val="auto"/>
                <w:sz w:val="24"/>
                <w:szCs w:val="24"/>
              </w:rPr>
              <w:t>），本项目所在地块为工业用地。</w:t>
            </w:r>
          </w:p>
          <w:p>
            <w:pPr>
              <w:adjustRightInd w:val="0"/>
              <w:snapToGrid w:val="0"/>
              <w:spacing w:line="360" w:lineRule="auto"/>
              <w:ind w:firstLine="480" w:firstLineChars="200"/>
              <w:jc w:val="left"/>
              <w:rPr>
                <w:color w:val="auto"/>
                <w:sz w:val="24"/>
                <w:szCs w:val="24"/>
              </w:rPr>
            </w:pPr>
            <w:r>
              <w:rPr>
                <w:color w:val="auto"/>
                <w:sz w:val="24"/>
                <w:szCs w:val="24"/>
              </w:rPr>
              <w:t>（2）与规划主导产业的相符性</w:t>
            </w:r>
          </w:p>
          <w:p>
            <w:pPr>
              <w:autoSpaceDE w:val="0"/>
              <w:autoSpaceDN w:val="0"/>
              <w:adjustRightInd w:val="0"/>
              <w:snapToGrid w:val="0"/>
              <w:spacing w:line="360" w:lineRule="auto"/>
              <w:ind w:firstLine="480" w:firstLineChars="200"/>
              <w:jc w:val="left"/>
              <w:rPr>
                <w:color w:val="auto"/>
                <w:sz w:val="24"/>
                <w:szCs w:val="32"/>
              </w:rPr>
            </w:pPr>
            <w:r>
              <w:rPr>
                <w:color w:val="auto"/>
                <w:sz w:val="24"/>
                <w:szCs w:val="32"/>
              </w:rPr>
              <w:t>根据《安徽淮北杜集经济技术开发区总体规划》（20</w:t>
            </w:r>
            <w:r>
              <w:rPr>
                <w:rFonts w:hint="eastAsia"/>
                <w:color w:val="auto"/>
                <w:sz w:val="24"/>
                <w:szCs w:val="32"/>
              </w:rPr>
              <w:t>16</w:t>
            </w:r>
            <w:r>
              <w:rPr>
                <w:color w:val="auto"/>
                <w:sz w:val="24"/>
                <w:szCs w:val="32"/>
              </w:rPr>
              <w:t>-20</w:t>
            </w:r>
            <w:r>
              <w:rPr>
                <w:rFonts w:hint="eastAsia"/>
                <w:color w:val="auto"/>
                <w:sz w:val="24"/>
                <w:szCs w:val="32"/>
              </w:rPr>
              <w:t>3</w:t>
            </w:r>
            <w:r>
              <w:rPr>
                <w:color w:val="auto"/>
                <w:sz w:val="24"/>
                <w:szCs w:val="32"/>
              </w:rPr>
              <w:t>0年），杜集经济技术开发区</w:t>
            </w:r>
            <w:r>
              <w:rPr>
                <w:rFonts w:hint="eastAsia"/>
                <w:color w:val="auto"/>
                <w:sz w:val="24"/>
                <w:szCs w:val="32"/>
              </w:rPr>
              <w:t>主导产业属于矿山装备制造业</w:t>
            </w:r>
            <w:r>
              <w:rPr>
                <w:color w:val="auto"/>
                <w:sz w:val="24"/>
                <w:szCs w:val="32"/>
              </w:rPr>
              <w:t>。</w:t>
            </w:r>
            <w:r>
              <w:rPr>
                <w:rFonts w:hint="eastAsia"/>
                <w:color w:val="auto"/>
                <w:sz w:val="24"/>
                <w:szCs w:val="24"/>
              </w:rPr>
              <w:t>本项目为C3499其他未列明通用设备制造业</w:t>
            </w:r>
            <w:r>
              <w:rPr>
                <w:color w:val="auto"/>
                <w:sz w:val="24"/>
                <w:szCs w:val="32"/>
              </w:rPr>
              <w:t>，</w:t>
            </w:r>
            <w:r>
              <w:rPr>
                <w:rFonts w:hint="eastAsia"/>
                <w:color w:val="auto"/>
                <w:sz w:val="24"/>
                <w:szCs w:val="32"/>
              </w:rPr>
              <w:t>不属于杜集经济开发区生态环境准入负面</w:t>
            </w:r>
            <w:r>
              <w:rPr>
                <w:color w:val="auto"/>
                <w:sz w:val="24"/>
                <w:szCs w:val="32"/>
              </w:rPr>
              <w:t>清单</w:t>
            </w:r>
            <w:r>
              <w:rPr>
                <w:rFonts w:hint="eastAsia"/>
                <w:color w:val="auto"/>
                <w:sz w:val="24"/>
                <w:szCs w:val="32"/>
              </w:rPr>
              <w:t>中禁止入区类别，为开发区允许进入类项目</w:t>
            </w:r>
            <w:r>
              <w:rPr>
                <w:color w:val="auto"/>
                <w:sz w:val="24"/>
                <w:szCs w:val="32"/>
              </w:rPr>
              <w:t>。</w:t>
            </w:r>
          </w:p>
          <w:p>
            <w:pPr>
              <w:pStyle w:val="17"/>
              <w:spacing w:line="360" w:lineRule="auto"/>
              <w:ind w:firstLine="0"/>
              <w:rPr>
                <w:b/>
                <w:color w:val="auto"/>
                <w:sz w:val="24"/>
                <w:szCs w:val="24"/>
              </w:rPr>
            </w:pPr>
            <w:r>
              <w:rPr>
                <w:rFonts w:hint="eastAsia"/>
                <w:b/>
                <w:color w:val="auto"/>
                <w:sz w:val="24"/>
                <w:szCs w:val="24"/>
              </w:rPr>
              <w:t>2、规划环评及跟踪评价符合性分析</w:t>
            </w:r>
          </w:p>
          <w:p>
            <w:pPr>
              <w:adjustRightInd w:val="0"/>
              <w:snapToGrid w:val="0"/>
              <w:spacing w:line="360" w:lineRule="auto"/>
              <w:ind w:firstLine="480" w:firstLineChars="200"/>
              <w:jc w:val="left"/>
              <w:rPr>
                <w:color w:val="auto"/>
                <w:sz w:val="24"/>
                <w:szCs w:val="24"/>
              </w:rPr>
            </w:pPr>
            <w:r>
              <w:rPr>
                <w:rFonts w:hint="eastAsia"/>
                <w:color w:val="auto"/>
                <w:sz w:val="24"/>
                <w:szCs w:val="24"/>
              </w:rPr>
              <w:t>根据《安徽淮北杜集经济开发区总体规划环境影响跟踪评价报告书》和《淮北市生态环境局关于印发&lt;安徽淮北杜集经济开发区总体规划环境影响跟踪评价报告书审查意见&gt;的函》（淮环函〔2020〕174号），杜集经济开发区主导产业为矿山装备制造业。本项目为C3499其他未列明通用设备制造业，不属于杜集经济开发区生态环境准入负面清单中禁止入区类别，为开发区允许进入类项目。杜集经济开发区生态环境准入负面清单一览表详见表1-1。</w:t>
            </w:r>
          </w:p>
          <w:p>
            <w:pPr>
              <w:tabs>
                <w:tab w:val="left" w:pos="788"/>
              </w:tabs>
              <w:spacing w:line="240" w:lineRule="auto"/>
              <w:ind w:firstLine="480"/>
              <w:jc w:val="center"/>
              <w:rPr>
                <w:b/>
                <w:bCs/>
                <w:color w:val="auto"/>
                <w:sz w:val="21"/>
                <w:szCs w:val="21"/>
              </w:rPr>
            </w:pPr>
            <w:r>
              <w:rPr>
                <w:b/>
                <w:bCs/>
                <w:color w:val="auto"/>
                <w:sz w:val="21"/>
                <w:szCs w:val="21"/>
              </w:rPr>
              <w:t>表</w:t>
            </w:r>
            <w:r>
              <w:rPr>
                <w:rFonts w:hint="eastAsia"/>
                <w:b/>
                <w:bCs/>
                <w:color w:val="auto"/>
                <w:sz w:val="21"/>
                <w:szCs w:val="21"/>
              </w:rPr>
              <w:t>1-1</w:t>
            </w:r>
            <w:r>
              <w:rPr>
                <w:b/>
                <w:bCs/>
                <w:color w:val="auto"/>
                <w:sz w:val="21"/>
                <w:szCs w:val="21"/>
              </w:rPr>
              <w:t xml:space="preserve">  </w:t>
            </w:r>
            <w:r>
              <w:rPr>
                <w:rFonts w:hint="eastAsia"/>
                <w:b/>
                <w:bCs/>
                <w:color w:val="auto"/>
                <w:sz w:val="21"/>
                <w:szCs w:val="21"/>
              </w:rPr>
              <w:t>杜集经济</w:t>
            </w:r>
            <w:r>
              <w:rPr>
                <w:b/>
                <w:bCs/>
                <w:color w:val="auto"/>
                <w:sz w:val="21"/>
                <w:szCs w:val="21"/>
              </w:rPr>
              <w:t>开发区</w:t>
            </w:r>
            <w:r>
              <w:rPr>
                <w:rFonts w:hint="eastAsia"/>
                <w:b/>
                <w:bCs/>
                <w:color w:val="auto"/>
                <w:sz w:val="21"/>
                <w:szCs w:val="21"/>
              </w:rPr>
              <w:t>生态环境准入负面</w:t>
            </w:r>
            <w:r>
              <w:rPr>
                <w:b/>
                <w:bCs/>
                <w:color w:val="auto"/>
                <w:sz w:val="21"/>
                <w:szCs w:val="21"/>
              </w:rPr>
              <w:t>清单一览表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b/>
                      <w:bCs/>
                      <w:color w:val="auto"/>
                      <w:kern w:val="0"/>
                      <w:szCs w:val="21"/>
                    </w:rPr>
                  </w:pPr>
                  <w:r>
                    <w:rPr>
                      <w:b/>
                      <w:bCs/>
                      <w:color w:val="auto"/>
                      <w:kern w:val="0"/>
                      <w:szCs w:val="21"/>
                    </w:rPr>
                    <w:t>序号</w:t>
                  </w:r>
                </w:p>
              </w:tc>
              <w:tc>
                <w:tcPr>
                  <w:tcW w:w="6691" w:type="dxa"/>
                  <w:vAlign w:val="center"/>
                </w:tcPr>
                <w:p>
                  <w:pPr>
                    <w:autoSpaceDE w:val="0"/>
                    <w:autoSpaceDN w:val="0"/>
                    <w:adjustRightInd w:val="0"/>
                    <w:snapToGrid w:val="0"/>
                    <w:jc w:val="center"/>
                    <w:rPr>
                      <w:b/>
                      <w:bCs/>
                      <w:color w:val="auto"/>
                      <w:kern w:val="0"/>
                      <w:szCs w:val="21"/>
                    </w:rPr>
                  </w:pPr>
                  <w:r>
                    <w:rPr>
                      <w:b/>
                      <w:bCs/>
                      <w:color w:val="auto"/>
                      <w:kern w:val="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1</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禁止引进医药制造业、化学原料及化学制品制造业、含印染工序的纺织业、造纸及纸制品业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2</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禁止引进皮革、毛皮、羽绒及其制造业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3</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禁止引进有色金属冶炼、黑色金属冶炼行业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4</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禁止引进属于《产业结构调整指导目录（2019年本）》限制和淘汰类项目、《鼓励外商投资产业目录（2019年版）》限制和禁止类项目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5</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严格限制高VOCs排放建设项目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6</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禁止引进贮存和输送有毒、有害化学品和危险品的物流和仓储项目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7</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禁止引进不符合开发区规划产业定位的项目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8</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禁止引进规模效益差、能源资源消耗大、环境污染严重、污染物排放总量指标未落实的项目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dxa"/>
                  <w:vAlign w:val="center"/>
                </w:tcPr>
                <w:p>
                  <w:pPr>
                    <w:autoSpaceDE w:val="0"/>
                    <w:autoSpaceDN w:val="0"/>
                    <w:adjustRightInd w:val="0"/>
                    <w:snapToGrid w:val="0"/>
                    <w:jc w:val="center"/>
                    <w:rPr>
                      <w:color w:val="auto"/>
                      <w:kern w:val="0"/>
                      <w:szCs w:val="21"/>
                    </w:rPr>
                  </w:pPr>
                  <w:r>
                    <w:rPr>
                      <w:color w:val="auto"/>
                      <w:kern w:val="0"/>
                      <w:szCs w:val="21"/>
                    </w:rPr>
                    <w:t>9</w:t>
                  </w:r>
                </w:p>
              </w:tc>
              <w:tc>
                <w:tcPr>
                  <w:tcW w:w="6691" w:type="dxa"/>
                  <w:vAlign w:val="center"/>
                </w:tcPr>
                <w:p>
                  <w:pPr>
                    <w:autoSpaceDE w:val="0"/>
                    <w:autoSpaceDN w:val="0"/>
                    <w:adjustRightInd w:val="0"/>
                    <w:snapToGrid w:val="0"/>
                    <w:jc w:val="center"/>
                    <w:rPr>
                      <w:color w:val="auto"/>
                      <w:kern w:val="0"/>
                      <w:szCs w:val="21"/>
                    </w:rPr>
                  </w:pPr>
                  <w:r>
                    <w:rPr>
                      <w:color w:val="auto"/>
                      <w:kern w:val="0"/>
                      <w:szCs w:val="21"/>
                    </w:rPr>
                    <w:t>禁止引入清洁生产水平低于国内先进水平的项目</w:t>
                  </w:r>
                </w:p>
              </w:tc>
            </w:tr>
          </w:tbl>
          <w:p>
            <w:pPr>
              <w:adjustRightInd w:val="0"/>
              <w:snapToGrid w:val="0"/>
              <w:spacing w:line="360" w:lineRule="auto"/>
              <w:ind w:firstLine="480" w:firstLineChars="200"/>
              <w:jc w:val="left"/>
              <w:rPr>
                <w:color w:val="auto"/>
                <w:sz w:val="24"/>
                <w:szCs w:val="24"/>
              </w:rPr>
            </w:pPr>
            <w:r>
              <w:rPr>
                <w:rFonts w:hint="eastAsia"/>
                <w:color w:val="auto"/>
                <w:sz w:val="24"/>
                <w:szCs w:val="24"/>
              </w:rPr>
              <w:t>（1）与《安徽淮北杜集经济开发区总体规划环境影响报告书》及审查意见相符性分析</w:t>
            </w:r>
          </w:p>
          <w:p>
            <w:pPr>
              <w:adjustRightInd w:val="0"/>
              <w:snapToGrid w:val="0"/>
              <w:spacing w:line="360" w:lineRule="auto"/>
              <w:ind w:firstLine="480" w:firstLineChars="200"/>
              <w:jc w:val="left"/>
              <w:rPr>
                <w:color w:val="auto"/>
                <w:sz w:val="24"/>
                <w:szCs w:val="24"/>
              </w:rPr>
            </w:pPr>
            <w:r>
              <w:rPr>
                <w:rFonts w:hint="eastAsia"/>
                <w:color w:val="auto"/>
                <w:sz w:val="24"/>
                <w:szCs w:val="24"/>
              </w:rPr>
              <w:t>根据《安徽淮北杜集经济开发区总体规划环境影响报告书》及《关于安徽淮北杜集经济开发区总体规划环境影响报告书的审查意见》（环评函〔2011〕1151号），项目与其相符性分析见表 1-2。</w:t>
            </w:r>
          </w:p>
          <w:p>
            <w:pPr>
              <w:tabs>
                <w:tab w:val="left" w:pos="788"/>
              </w:tabs>
              <w:jc w:val="center"/>
              <w:rPr>
                <w:color w:val="auto"/>
                <w:sz w:val="24"/>
                <w:szCs w:val="24"/>
              </w:rPr>
            </w:pPr>
            <w:r>
              <w:rPr>
                <w:rFonts w:hint="eastAsia"/>
                <w:b/>
                <w:bCs/>
                <w:color w:val="auto"/>
                <w:sz w:val="24"/>
                <w:szCs w:val="24"/>
              </w:rPr>
              <w:t>表1-2  规划环评相符性分析情况一览表</w:t>
            </w:r>
          </w:p>
          <w:tbl>
            <w:tblPr>
              <w:tblStyle w:val="34"/>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351"/>
              <w:gridCol w:w="283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2" w:type="dxa"/>
                  <w:vAlign w:val="center"/>
                </w:tcPr>
                <w:p>
                  <w:pPr>
                    <w:tabs>
                      <w:tab w:val="left" w:pos="788"/>
                    </w:tabs>
                    <w:jc w:val="center"/>
                    <w:rPr>
                      <w:b/>
                      <w:bCs/>
                      <w:color w:val="auto"/>
                      <w:szCs w:val="21"/>
                    </w:rPr>
                  </w:pPr>
                  <w:r>
                    <w:rPr>
                      <w:rFonts w:hint="eastAsia"/>
                      <w:b/>
                      <w:bCs/>
                      <w:color w:val="auto"/>
                      <w:szCs w:val="21"/>
                    </w:rPr>
                    <w:t>项目</w:t>
                  </w:r>
                </w:p>
              </w:tc>
              <w:tc>
                <w:tcPr>
                  <w:tcW w:w="3351" w:type="dxa"/>
                  <w:vAlign w:val="center"/>
                </w:tcPr>
                <w:p>
                  <w:pPr>
                    <w:tabs>
                      <w:tab w:val="left" w:pos="788"/>
                    </w:tabs>
                    <w:jc w:val="center"/>
                    <w:rPr>
                      <w:b/>
                      <w:bCs/>
                      <w:color w:val="auto"/>
                      <w:szCs w:val="21"/>
                    </w:rPr>
                  </w:pPr>
                  <w:r>
                    <w:rPr>
                      <w:rFonts w:hint="eastAsia"/>
                      <w:b/>
                      <w:bCs/>
                      <w:color w:val="auto"/>
                      <w:szCs w:val="21"/>
                    </w:rPr>
                    <w:t>规划环评及审查意见内容</w:t>
                  </w:r>
                </w:p>
              </w:tc>
              <w:tc>
                <w:tcPr>
                  <w:tcW w:w="2832" w:type="dxa"/>
                  <w:vAlign w:val="center"/>
                </w:tcPr>
                <w:p>
                  <w:pPr>
                    <w:tabs>
                      <w:tab w:val="left" w:pos="788"/>
                    </w:tabs>
                    <w:jc w:val="center"/>
                    <w:rPr>
                      <w:b/>
                      <w:bCs/>
                      <w:color w:val="auto"/>
                      <w:szCs w:val="21"/>
                    </w:rPr>
                  </w:pPr>
                  <w:r>
                    <w:rPr>
                      <w:rFonts w:hint="eastAsia"/>
                      <w:b/>
                      <w:bCs/>
                      <w:color w:val="auto"/>
                      <w:szCs w:val="21"/>
                    </w:rPr>
                    <w:t>本项目建设内容</w:t>
                  </w:r>
                </w:p>
              </w:tc>
              <w:tc>
                <w:tcPr>
                  <w:tcW w:w="850" w:type="dxa"/>
                  <w:vAlign w:val="center"/>
                </w:tcPr>
                <w:p>
                  <w:pPr>
                    <w:tabs>
                      <w:tab w:val="left" w:pos="788"/>
                    </w:tabs>
                    <w:jc w:val="center"/>
                    <w:rPr>
                      <w:b/>
                      <w:bCs/>
                      <w:color w:val="auto"/>
                      <w:szCs w:val="21"/>
                    </w:rPr>
                  </w:pPr>
                  <w:r>
                    <w:rPr>
                      <w:rFonts w:hint="eastAsia"/>
                      <w:b/>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restart"/>
                  <w:vAlign w:val="center"/>
                </w:tcPr>
                <w:p>
                  <w:pPr>
                    <w:tabs>
                      <w:tab w:val="left" w:pos="788"/>
                    </w:tabs>
                    <w:jc w:val="center"/>
                    <w:rPr>
                      <w:color w:val="auto"/>
                      <w:szCs w:val="21"/>
                    </w:rPr>
                  </w:pPr>
                  <w:r>
                    <w:rPr>
                      <w:rFonts w:hint="eastAsia"/>
                      <w:color w:val="auto"/>
                      <w:szCs w:val="21"/>
                    </w:rPr>
                    <w:t>规划</w:t>
                  </w:r>
                </w:p>
                <w:p>
                  <w:pPr>
                    <w:tabs>
                      <w:tab w:val="left" w:pos="788"/>
                    </w:tabs>
                    <w:jc w:val="center"/>
                    <w:rPr>
                      <w:color w:val="auto"/>
                      <w:szCs w:val="21"/>
                    </w:rPr>
                  </w:pPr>
                  <w:r>
                    <w:rPr>
                      <w:rFonts w:hint="eastAsia"/>
                      <w:color w:val="auto"/>
                      <w:szCs w:val="21"/>
                    </w:rPr>
                    <w:t>环评</w:t>
                  </w:r>
                </w:p>
                <w:p>
                  <w:pPr>
                    <w:tabs>
                      <w:tab w:val="left" w:pos="788"/>
                    </w:tabs>
                    <w:jc w:val="center"/>
                    <w:rPr>
                      <w:color w:val="auto"/>
                      <w:szCs w:val="21"/>
                    </w:rPr>
                  </w:pPr>
                  <w:r>
                    <w:rPr>
                      <w:rFonts w:hint="eastAsia"/>
                      <w:color w:val="auto"/>
                      <w:szCs w:val="21"/>
                    </w:rPr>
                    <w:t>审查</w:t>
                  </w:r>
                </w:p>
                <w:p>
                  <w:pPr>
                    <w:tabs>
                      <w:tab w:val="left" w:pos="788"/>
                    </w:tabs>
                    <w:jc w:val="center"/>
                    <w:rPr>
                      <w:color w:val="auto"/>
                      <w:szCs w:val="21"/>
                    </w:rPr>
                  </w:pPr>
                  <w:r>
                    <w:rPr>
                      <w:rFonts w:hint="eastAsia"/>
                      <w:color w:val="auto"/>
                      <w:szCs w:val="21"/>
                    </w:rPr>
                    <w:t>意见</w:t>
                  </w:r>
                </w:p>
              </w:tc>
              <w:tc>
                <w:tcPr>
                  <w:tcW w:w="3351" w:type="dxa"/>
                  <w:vAlign w:val="center"/>
                </w:tcPr>
                <w:p>
                  <w:pPr>
                    <w:tabs>
                      <w:tab w:val="left" w:pos="788"/>
                    </w:tabs>
                    <w:jc w:val="left"/>
                    <w:rPr>
                      <w:color w:val="auto"/>
                      <w:szCs w:val="21"/>
                    </w:rPr>
                  </w:pPr>
                  <w:r>
                    <w:rPr>
                      <w:rFonts w:hint="eastAsia"/>
                      <w:color w:val="auto"/>
                      <w:szCs w:val="21"/>
                    </w:rPr>
                    <w:t>明确开发区环境保护的总体要求。开发区建设须坚持环境效益、经济效益和社会效益相统一的原则，按循环经济理念和清洁生产原则指导开发区建设，促进开发区可持续发展。</w:t>
                  </w:r>
                </w:p>
              </w:tc>
              <w:tc>
                <w:tcPr>
                  <w:tcW w:w="2832" w:type="dxa"/>
                  <w:vAlign w:val="center"/>
                </w:tcPr>
                <w:p>
                  <w:pPr>
                    <w:tabs>
                      <w:tab w:val="left" w:pos="788"/>
                    </w:tabs>
                    <w:jc w:val="left"/>
                    <w:rPr>
                      <w:color w:val="auto"/>
                      <w:szCs w:val="21"/>
                    </w:rPr>
                  </w:pPr>
                  <w:r>
                    <w:rPr>
                      <w:rFonts w:hint="eastAsia"/>
                      <w:color w:val="auto"/>
                      <w:szCs w:val="21"/>
                    </w:rPr>
                    <w:t>本项目为C3499其他未列明通用设备制造业</w:t>
                  </w:r>
                  <w:r>
                    <w:rPr>
                      <w:rFonts w:hint="eastAsia"/>
                      <w:color w:val="auto"/>
                    </w:rPr>
                    <w:t>，污染产生量较小，采取相应的污染防治措施后各类污染物达标排放，项目发展带来经济效益和社会效益的同时，不影响环境效益；项目建设符合</w:t>
                  </w:r>
                  <w:r>
                    <w:rPr>
                      <w:rFonts w:hint="eastAsia"/>
                      <w:color w:val="auto"/>
                      <w:szCs w:val="21"/>
                    </w:rPr>
                    <w:t>循环经济理念和清洁生产原则。</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auto"/>
                    </w:rPr>
                  </w:pPr>
                </w:p>
              </w:tc>
              <w:tc>
                <w:tcPr>
                  <w:tcW w:w="3351" w:type="dxa"/>
                  <w:vAlign w:val="center"/>
                </w:tcPr>
                <w:p>
                  <w:pPr>
                    <w:tabs>
                      <w:tab w:val="left" w:pos="788"/>
                    </w:tabs>
                    <w:jc w:val="left"/>
                    <w:rPr>
                      <w:color w:val="auto"/>
                      <w:szCs w:val="21"/>
                    </w:rPr>
                  </w:pPr>
                  <w:r>
                    <w:rPr>
                      <w:rFonts w:hint="eastAsia"/>
                      <w:color w:val="auto"/>
                      <w:szCs w:val="21"/>
                    </w:rPr>
                    <w:t>按照省政府批准的主导产业功能定位，优化产业结构，控制非主导产业定位方向的项目入区建设，严格限制高能耗、高水耗、污染严重的项目入区。严禁建设国家产业政策、技术政策和环保法律法规政策明令禁止的项目。</w:t>
                  </w:r>
                </w:p>
              </w:tc>
              <w:tc>
                <w:tcPr>
                  <w:tcW w:w="2832" w:type="dxa"/>
                  <w:vAlign w:val="center"/>
                </w:tcPr>
                <w:p>
                  <w:pPr>
                    <w:tabs>
                      <w:tab w:val="left" w:pos="788"/>
                    </w:tabs>
                    <w:jc w:val="left"/>
                    <w:rPr>
                      <w:color w:val="auto"/>
                      <w:szCs w:val="21"/>
                    </w:rPr>
                  </w:pPr>
                  <w:r>
                    <w:rPr>
                      <w:rFonts w:hint="eastAsia"/>
                      <w:color w:val="auto"/>
                    </w:rPr>
                    <w:t>本项目为</w:t>
                  </w:r>
                  <w:r>
                    <w:rPr>
                      <w:rFonts w:hint="eastAsia"/>
                      <w:color w:val="auto"/>
                      <w:szCs w:val="21"/>
                    </w:rPr>
                    <w:t>C3499其他未列明通用设备制造业</w:t>
                  </w:r>
                  <w:r>
                    <w:rPr>
                      <w:rFonts w:hint="eastAsia"/>
                      <w:color w:val="auto"/>
                    </w:rPr>
                    <w:t>，符合杜集经济开发区规划；项目不属于</w:t>
                  </w:r>
                  <w:r>
                    <w:rPr>
                      <w:rFonts w:hint="eastAsia"/>
                      <w:color w:val="auto"/>
                      <w:szCs w:val="21"/>
                    </w:rPr>
                    <w:t>高能耗、高水耗、污染严重的项目，项目符合国家产业政策、技术政策和环保法律法规政策。</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auto"/>
                      <w:szCs w:val="21"/>
                    </w:rPr>
                  </w:pPr>
                </w:p>
              </w:tc>
              <w:tc>
                <w:tcPr>
                  <w:tcW w:w="3351" w:type="dxa"/>
                  <w:vAlign w:val="center"/>
                </w:tcPr>
                <w:p>
                  <w:pPr>
                    <w:tabs>
                      <w:tab w:val="left" w:pos="788"/>
                    </w:tabs>
                    <w:jc w:val="left"/>
                    <w:rPr>
                      <w:color w:val="auto"/>
                      <w:szCs w:val="21"/>
                    </w:rPr>
                  </w:pPr>
                  <w:r>
                    <w:rPr>
                      <w:rFonts w:hint="eastAsia"/>
                      <w:color w:val="auto"/>
                      <w:szCs w:val="21"/>
                    </w:rPr>
                    <w:t>开发区实行雨污分流，加快污水配套管网建设进度，完善排水系统，使污水尽快进入龙湖污水处理厂集中处理。在污水进入龙湖污水处理厂前，严格限制污水排放量大的企业入区建设，所有入区企业污水排放必须达到《污水综合排放标准》( GB8978-1996)一级标准；充分考虑中水回用等节水措施，减少污染物的外排。</w:t>
                  </w:r>
                </w:p>
              </w:tc>
              <w:tc>
                <w:tcPr>
                  <w:tcW w:w="2832" w:type="dxa"/>
                  <w:vAlign w:val="center"/>
                </w:tcPr>
                <w:p>
                  <w:pPr>
                    <w:tabs>
                      <w:tab w:val="left" w:pos="788"/>
                    </w:tabs>
                    <w:jc w:val="both"/>
                    <w:rPr>
                      <w:color w:val="auto"/>
                      <w:szCs w:val="21"/>
                    </w:rPr>
                  </w:pPr>
                  <w:r>
                    <w:rPr>
                      <w:rFonts w:hint="eastAsia"/>
                      <w:color w:val="auto"/>
                      <w:szCs w:val="21"/>
                    </w:rPr>
                    <w:t>本项目实行雨污分流，</w:t>
                  </w:r>
                  <w:r>
                    <w:rPr>
                      <w:rFonts w:hint="default" w:ascii="Times New Roman" w:hAnsi="Times New Roman" w:eastAsia="宋体" w:cs="Times New Roman"/>
                      <w:b w:val="0"/>
                      <w:i w:val="0"/>
                      <w:color w:val="auto"/>
                      <w:spacing w:val="0"/>
                      <w:kern w:val="0"/>
                      <w:sz w:val="21"/>
                      <w:szCs w:val="21"/>
                      <w:highlight w:val="none"/>
                      <w:lang w:val="en-US" w:eastAsia="zh-CN" w:bidi="ar"/>
                    </w:rPr>
                    <w:t>雨水进入市政雨水管网；</w:t>
                  </w:r>
                  <w:r>
                    <w:rPr>
                      <w:rFonts w:hint="eastAsia"/>
                      <w:color w:val="auto"/>
                      <w:szCs w:val="21"/>
                    </w:rPr>
                    <w:t>生活污水经化粪池处理达到《污水综合排放标准》（GB8978-96）表4中三级标准及龙湖污水处理厂接管标准后经开发区污水管网排入龙湖污水处理厂处理。</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continue"/>
                  <w:vAlign w:val="center"/>
                </w:tcPr>
                <w:p>
                  <w:pPr>
                    <w:tabs>
                      <w:tab w:val="left" w:pos="788"/>
                    </w:tabs>
                    <w:jc w:val="center"/>
                    <w:rPr>
                      <w:color w:val="auto"/>
                      <w:szCs w:val="21"/>
                    </w:rPr>
                  </w:pPr>
                </w:p>
              </w:tc>
              <w:tc>
                <w:tcPr>
                  <w:tcW w:w="3351" w:type="dxa"/>
                  <w:vAlign w:val="center"/>
                </w:tcPr>
                <w:p>
                  <w:pPr>
                    <w:tabs>
                      <w:tab w:val="left" w:pos="788"/>
                    </w:tabs>
                    <w:jc w:val="left"/>
                    <w:rPr>
                      <w:color w:val="auto"/>
                      <w:szCs w:val="21"/>
                    </w:rPr>
                  </w:pPr>
                  <w:r>
                    <w:rPr>
                      <w:rFonts w:hint="eastAsia"/>
                      <w:color w:val="auto"/>
                      <w:szCs w:val="21"/>
                    </w:rPr>
                    <w:t>加快天然气管道等基础设施建设进度，采用清洁能源，减少大气污染物排放。禁止使用小燃煤锅炉，进一步论证开发区集中供热方案，并尽快实施。</w:t>
                  </w:r>
                </w:p>
              </w:tc>
              <w:tc>
                <w:tcPr>
                  <w:tcW w:w="2832" w:type="dxa"/>
                  <w:vAlign w:val="center"/>
                </w:tcPr>
                <w:p>
                  <w:pPr>
                    <w:tabs>
                      <w:tab w:val="left" w:pos="788"/>
                    </w:tabs>
                    <w:jc w:val="center"/>
                    <w:rPr>
                      <w:color w:val="auto"/>
                      <w:szCs w:val="21"/>
                    </w:rPr>
                  </w:pPr>
                  <w:r>
                    <w:rPr>
                      <w:rFonts w:hint="eastAsia"/>
                      <w:color w:val="auto"/>
                      <w:szCs w:val="21"/>
                    </w:rPr>
                    <w:t>本项目不使用锅炉。</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auto"/>
                      <w:szCs w:val="21"/>
                    </w:rPr>
                  </w:pPr>
                </w:p>
              </w:tc>
              <w:tc>
                <w:tcPr>
                  <w:tcW w:w="3351" w:type="dxa"/>
                  <w:vAlign w:val="center"/>
                </w:tcPr>
                <w:p>
                  <w:pPr>
                    <w:tabs>
                      <w:tab w:val="left" w:pos="788"/>
                    </w:tabs>
                    <w:jc w:val="left"/>
                    <w:rPr>
                      <w:color w:val="auto"/>
                      <w:szCs w:val="21"/>
                    </w:rPr>
                  </w:pPr>
                  <w:r>
                    <w:rPr>
                      <w:rFonts w:hint="eastAsia"/>
                      <w:color w:val="auto"/>
                      <w:szCs w:val="21"/>
                    </w:rPr>
                    <w:t>开发区内危险废物的收集、贮存应符合《危险废物贮存污染控制标准》(GB18597-2001) 的规定。按要求处置生活垃圾及工业固废，防止造成二次污染。声环境执行相应功能区标准，施工期噪声执行《建筑施工场界噪声限值》中有关规定。</w:t>
                  </w:r>
                </w:p>
                <w:p>
                  <w:pPr>
                    <w:tabs>
                      <w:tab w:val="left" w:pos="788"/>
                    </w:tabs>
                    <w:jc w:val="center"/>
                    <w:rPr>
                      <w:color w:val="auto"/>
                      <w:szCs w:val="21"/>
                    </w:rPr>
                  </w:pPr>
                </w:p>
              </w:tc>
              <w:tc>
                <w:tcPr>
                  <w:tcW w:w="2832" w:type="dxa"/>
                  <w:vAlign w:val="center"/>
                </w:tcPr>
                <w:p>
                  <w:pPr>
                    <w:tabs>
                      <w:tab w:val="left" w:pos="788"/>
                    </w:tabs>
                    <w:jc w:val="left"/>
                    <w:rPr>
                      <w:color w:val="auto"/>
                      <w:szCs w:val="21"/>
                    </w:rPr>
                  </w:pPr>
                  <w:r>
                    <w:rPr>
                      <w:rFonts w:hint="eastAsia"/>
                      <w:color w:val="auto"/>
                      <w:szCs w:val="21"/>
                    </w:rPr>
                    <w:t>本项目危险废物的收集贮存执行《危险废物贮存污染控制标准》（GB18597-2001）及环保部公告2013年第36号文件中的修改要求，生活垃圾及一般固废均得到合理处置，不会造成二次污染。项目建成后，通过采取隔声减振等措施后，噪声排放满足</w:t>
                  </w:r>
                  <w:r>
                    <w:rPr>
                      <w:color w:val="auto"/>
                      <w:kern w:val="0"/>
                      <w:szCs w:val="21"/>
                    </w:rPr>
                    <w:t>《工业企业厂界环境噪声排放标准》（GB12348-2008）中</w:t>
                  </w:r>
                  <w:r>
                    <w:rPr>
                      <w:rFonts w:hint="eastAsia"/>
                      <w:color w:val="auto"/>
                      <w:kern w:val="0"/>
                      <w:szCs w:val="21"/>
                    </w:rPr>
                    <w:t>3</w:t>
                  </w:r>
                  <w:r>
                    <w:rPr>
                      <w:color w:val="auto"/>
                      <w:kern w:val="0"/>
                      <w:szCs w:val="21"/>
                    </w:rPr>
                    <w:t>类</w:t>
                  </w:r>
                  <w:r>
                    <w:rPr>
                      <w:rFonts w:hint="eastAsia"/>
                      <w:color w:val="auto"/>
                      <w:kern w:val="0"/>
                      <w:szCs w:val="21"/>
                    </w:rPr>
                    <w:t>区标准。</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auto"/>
                      <w:szCs w:val="21"/>
                    </w:rPr>
                  </w:pPr>
                </w:p>
              </w:tc>
              <w:tc>
                <w:tcPr>
                  <w:tcW w:w="3351" w:type="dxa"/>
                  <w:vAlign w:val="center"/>
                </w:tcPr>
                <w:p>
                  <w:pPr>
                    <w:tabs>
                      <w:tab w:val="left" w:pos="788"/>
                    </w:tabs>
                    <w:jc w:val="left"/>
                    <w:rPr>
                      <w:color w:val="auto"/>
                      <w:szCs w:val="21"/>
                    </w:rPr>
                  </w:pPr>
                  <w:r>
                    <w:rPr>
                      <w:rFonts w:hint="eastAsia"/>
                      <w:color w:val="auto"/>
                      <w:szCs w:val="21"/>
                    </w:rPr>
                    <w:t>建立跟踪监测及评价制度，制定切实可行的环境风险防范措施，防止突发性环境污染事故。</w:t>
                  </w:r>
                </w:p>
              </w:tc>
              <w:tc>
                <w:tcPr>
                  <w:tcW w:w="2832" w:type="dxa"/>
                  <w:vAlign w:val="center"/>
                </w:tcPr>
                <w:p>
                  <w:pPr>
                    <w:tabs>
                      <w:tab w:val="left" w:pos="788"/>
                    </w:tabs>
                    <w:jc w:val="left"/>
                    <w:rPr>
                      <w:color w:val="auto"/>
                      <w:szCs w:val="21"/>
                    </w:rPr>
                  </w:pPr>
                  <w:r>
                    <w:rPr>
                      <w:rFonts w:hint="eastAsia"/>
                      <w:color w:val="auto"/>
                      <w:szCs w:val="21"/>
                    </w:rPr>
                    <w:t>本项目建成后，将按环评要求落实环境监测计划及各项环境风险防范措施。</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auto"/>
                      <w:szCs w:val="21"/>
                    </w:rPr>
                  </w:pPr>
                </w:p>
              </w:tc>
              <w:tc>
                <w:tcPr>
                  <w:tcW w:w="3351" w:type="dxa"/>
                  <w:vAlign w:val="center"/>
                </w:tcPr>
                <w:p>
                  <w:pPr>
                    <w:tabs>
                      <w:tab w:val="left" w:pos="788"/>
                    </w:tabs>
                    <w:jc w:val="left"/>
                    <w:rPr>
                      <w:color w:val="auto"/>
                      <w:szCs w:val="21"/>
                    </w:rPr>
                  </w:pPr>
                  <w:r>
                    <w:rPr>
                      <w:rFonts w:hint="eastAsia"/>
                      <w:color w:val="auto"/>
                      <w:szCs w:val="21"/>
                    </w:rPr>
                    <w:t>加强环境监督管理，开发区内所有建设项目，要认真履行有关环境保护法律法规，严格执行建设项目环境影响评价制度和环境保护“三同时”制度。</w:t>
                  </w:r>
                </w:p>
              </w:tc>
              <w:tc>
                <w:tcPr>
                  <w:tcW w:w="2832" w:type="dxa"/>
                  <w:vAlign w:val="center"/>
                </w:tcPr>
                <w:p>
                  <w:pPr>
                    <w:tabs>
                      <w:tab w:val="left" w:pos="788"/>
                    </w:tabs>
                    <w:jc w:val="left"/>
                    <w:rPr>
                      <w:color w:val="auto"/>
                      <w:szCs w:val="21"/>
                    </w:rPr>
                  </w:pPr>
                  <w:r>
                    <w:rPr>
                      <w:rFonts w:hint="eastAsia"/>
                      <w:color w:val="auto"/>
                      <w:szCs w:val="21"/>
                    </w:rPr>
                    <w:t>项目严格履行有关环境保护法律法规，项目建设严格执行建设项目环境影响评价制度和环境保护“三同时”制度。</w:t>
                  </w:r>
                </w:p>
              </w:tc>
              <w:tc>
                <w:tcPr>
                  <w:tcW w:w="850"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auto"/>
                      <w:szCs w:val="21"/>
                    </w:rPr>
                  </w:pPr>
                </w:p>
              </w:tc>
              <w:tc>
                <w:tcPr>
                  <w:tcW w:w="3351" w:type="dxa"/>
                  <w:vAlign w:val="center"/>
                </w:tcPr>
                <w:p>
                  <w:pPr>
                    <w:tabs>
                      <w:tab w:val="left" w:pos="788"/>
                    </w:tabs>
                    <w:jc w:val="left"/>
                    <w:rPr>
                      <w:color w:val="auto"/>
                      <w:szCs w:val="21"/>
                    </w:rPr>
                  </w:pPr>
                  <w:r>
                    <w:rPr>
                      <w:rFonts w:hint="eastAsia"/>
                      <w:color w:val="auto"/>
                      <w:szCs w:val="21"/>
                    </w:rPr>
                    <w:t>规划实施中新增污染物排放总量应按有关污染物排放总量控制的要求，在淮北市的污染物排放总量削减计划中予以落实。</w:t>
                  </w:r>
                </w:p>
              </w:tc>
              <w:tc>
                <w:tcPr>
                  <w:tcW w:w="2832" w:type="dxa"/>
                  <w:vAlign w:val="center"/>
                </w:tcPr>
                <w:p>
                  <w:pPr>
                    <w:tabs>
                      <w:tab w:val="left" w:pos="788"/>
                    </w:tabs>
                    <w:jc w:val="left"/>
                    <w:rPr>
                      <w:color w:val="auto"/>
                      <w:szCs w:val="21"/>
                    </w:rPr>
                  </w:pPr>
                  <w:r>
                    <w:rPr>
                      <w:rFonts w:hint="eastAsia"/>
                      <w:color w:val="auto"/>
                      <w:szCs w:val="21"/>
                    </w:rPr>
                    <w:t>本项目产生的废气污染物按要求申请污染物排放总量控制指标。</w:t>
                  </w:r>
                </w:p>
              </w:tc>
              <w:tc>
                <w:tcPr>
                  <w:tcW w:w="850" w:type="dxa"/>
                  <w:vAlign w:val="center"/>
                </w:tcPr>
                <w:p>
                  <w:pPr>
                    <w:tabs>
                      <w:tab w:val="left" w:pos="788"/>
                    </w:tabs>
                    <w:jc w:val="center"/>
                    <w:rPr>
                      <w:color w:val="auto"/>
                      <w:szCs w:val="21"/>
                    </w:rPr>
                  </w:pPr>
                  <w:r>
                    <w:rPr>
                      <w:rFonts w:hint="eastAsia"/>
                      <w:color w:val="auto"/>
                      <w:szCs w:val="21"/>
                    </w:rPr>
                    <w:t>符合</w:t>
                  </w:r>
                </w:p>
              </w:tc>
            </w:tr>
          </w:tbl>
          <w:p>
            <w:pPr>
              <w:adjustRightInd w:val="0"/>
              <w:snapToGrid w:val="0"/>
              <w:spacing w:line="360" w:lineRule="auto"/>
              <w:ind w:firstLine="480" w:firstLineChars="200"/>
              <w:jc w:val="left"/>
              <w:rPr>
                <w:color w:val="auto"/>
                <w:sz w:val="24"/>
                <w:szCs w:val="24"/>
              </w:rPr>
            </w:pPr>
            <w:r>
              <w:rPr>
                <w:rFonts w:hint="eastAsia"/>
                <w:color w:val="auto"/>
                <w:sz w:val="24"/>
                <w:szCs w:val="24"/>
              </w:rPr>
              <w:t>（2）与《安徽淮北杜集经济开发区总体规划环境影响跟踪评价报告书》及审查意见相符性分析</w:t>
            </w:r>
          </w:p>
          <w:p>
            <w:pPr>
              <w:adjustRightInd w:val="0"/>
              <w:snapToGrid w:val="0"/>
              <w:spacing w:line="360" w:lineRule="auto"/>
              <w:ind w:firstLine="480" w:firstLineChars="200"/>
              <w:jc w:val="left"/>
              <w:rPr>
                <w:color w:val="auto"/>
                <w:sz w:val="24"/>
                <w:szCs w:val="24"/>
              </w:rPr>
            </w:pPr>
            <w:r>
              <w:rPr>
                <w:rFonts w:hint="eastAsia"/>
                <w:color w:val="auto"/>
                <w:sz w:val="24"/>
                <w:szCs w:val="24"/>
              </w:rPr>
              <w:t>根据《安徽淮北杜集经济开发区总体规划环境影响跟踪评价报告书》及《淮北市生态环境局关于印发&lt;安徽淮北杜集经济开发区总体规划环境影响跟踪评价报告书审查意见&gt;的函》（淮环函〔2020〕174号），项目与其相符性分析见表 1-3。</w:t>
            </w:r>
          </w:p>
          <w:p>
            <w:pPr>
              <w:tabs>
                <w:tab w:val="left" w:pos="788"/>
              </w:tabs>
              <w:jc w:val="center"/>
              <w:rPr>
                <w:color w:val="auto"/>
                <w:sz w:val="24"/>
                <w:szCs w:val="24"/>
              </w:rPr>
            </w:pPr>
            <w:r>
              <w:rPr>
                <w:rFonts w:hint="eastAsia"/>
                <w:b/>
                <w:bCs/>
                <w:color w:val="auto"/>
                <w:sz w:val="24"/>
                <w:szCs w:val="24"/>
              </w:rPr>
              <w:t>表1-3  跟踪评价相符性分析情况一览表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491"/>
              <w:gridCol w:w="2512"/>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vAlign w:val="center"/>
                </w:tcPr>
                <w:p>
                  <w:pPr>
                    <w:tabs>
                      <w:tab w:val="left" w:pos="788"/>
                    </w:tabs>
                    <w:jc w:val="center"/>
                    <w:rPr>
                      <w:b/>
                      <w:bCs/>
                      <w:color w:val="auto"/>
                      <w:szCs w:val="21"/>
                    </w:rPr>
                  </w:pPr>
                  <w:r>
                    <w:rPr>
                      <w:rFonts w:hint="eastAsia"/>
                      <w:b/>
                      <w:bCs/>
                      <w:color w:val="auto"/>
                      <w:szCs w:val="21"/>
                    </w:rPr>
                    <w:t>项目</w:t>
                  </w:r>
                </w:p>
              </w:tc>
              <w:tc>
                <w:tcPr>
                  <w:tcW w:w="3491" w:type="dxa"/>
                  <w:vAlign w:val="center"/>
                </w:tcPr>
                <w:p>
                  <w:pPr>
                    <w:tabs>
                      <w:tab w:val="left" w:pos="788"/>
                    </w:tabs>
                    <w:jc w:val="center"/>
                    <w:rPr>
                      <w:b/>
                      <w:bCs/>
                      <w:color w:val="auto"/>
                      <w:szCs w:val="21"/>
                    </w:rPr>
                  </w:pPr>
                  <w:r>
                    <w:rPr>
                      <w:rFonts w:hint="eastAsia"/>
                      <w:b/>
                      <w:bCs/>
                      <w:color w:val="auto"/>
                      <w:szCs w:val="21"/>
                    </w:rPr>
                    <w:t>跟踪评价及审查意见内容</w:t>
                  </w:r>
                </w:p>
              </w:tc>
              <w:tc>
                <w:tcPr>
                  <w:tcW w:w="2512" w:type="dxa"/>
                  <w:vAlign w:val="center"/>
                </w:tcPr>
                <w:p>
                  <w:pPr>
                    <w:tabs>
                      <w:tab w:val="left" w:pos="788"/>
                    </w:tabs>
                    <w:jc w:val="center"/>
                    <w:rPr>
                      <w:b/>
                      <w:bCs/>
                      <w:color w:val="auto"/>
                      <w:szCs w:val="21"/>
                    </w:rPr>
                  </w:pPr>
                  <w:r>
                    <w:rPr>
                      <w:rFonts w:hint="eastAsia"/>
                      <w:b/>
                      <w:bCs/>
                      <w:color w:val="auto"/>
                      <w:szCs w:val="21"/>
                    </w:rPr>
                    <w:t>本项目建设内容</w:t>
                  </w:r>
                </w:p>
              </w:tc>
              <w:tc>
                <w:tcPr>
                  <w:tcW w:w="1001" w:type="dxa"/>
                  <w:vAlign w:val="center"/>
                </w:tcPr>
                <w:p>
                  <w:pPr>
                    <w:tabs>
                      <w:tab w:val="left" w:pos="788"/>
                    </w:tabs>
                    <w:jc w:val="center"/>
                    <w:rPr>
                      <w:b/>
                      <w:bCs/>
                      <w:color w:val="auto"/>
                      <w:szCs w:val="21"/>
                    </w:rPr>
                  </w:pPr>
                  <w:r>
                    <w:rPr>
                      <w:rFonts w:hint="eastAsia"/>
                      <w:b/>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11" w:type="dxa"/>
                  <w:vMerge w:val="restart"/>
                  <w:vAlign w:val="center"/>
                </w:tcPr>
                <w:p>
                  <w:pPr>
                    <w:tabs>
                      <w:tab w:val="left" w:pos="788"/>
                    </w:tabs>
                    <w:jc w:val="center"/>
                    <w:rPr>
                      <w:color w:val="auto"/>
                      <w:szCs w:val="21"/>
                    </w:rPr>
                  </w:pPr>
                  <w:r>
                    <w:rPr>
                      <w:rFonts w:hint="eastAsia"/>
                      <w:color w:val="auto"/>
                      <w:szCs w:val="21"/>
                    </w:rPr>
                    <w:t>跟踪评价</w:t>
                  </w:r>
                </w:p>
                <w:p>
                  <w:pPr>
                    <w:tabs>
                      <w:tab w:val="left" w:pos="788"/>
                    </w:tabs>
                    <w:jc w:val="center"/>
                    <w:rPr>
                      <w:color w:val="auto"/>
                      <w:szCs w:val="21"/>
                    </w:rPr>
                  </w:pPr>
                  <w:r>
                    <w:rPr>
                      <w:rFonts w:hint="eastAsia"/>
                      <w:color w:val="auto"/>
                      <w:szCs w:val="21"/>
                    </w:rPr>
                    <w:t>审查</w:t>
                  </w:r>
                </w:p>
                <w:p>
                  <w:pPr>
                    <w:tabs>
                      <w:tab w:val="left" w:pos="788"/>
                    </w:tabs>
                    <w:jc w:val="center"/>
                    <w:rPr>
                      <w:color w:val="auto"/>
                      <w:szCs w:val="21"/>
                    </w:rPr>
                  </w:pPr>
                  <w:r>
                    <w:rPr>
                      <w:rFonts w:hint="eastAsia"/>
                      <w:color w:val="auto"/>
                      <w:szCs w:val="21"/>
                    </w:rPr>
                    <w:t>意见</w:t>
                  </w:r>
                </w:p>
              </w:tc>
              <w:tc>
                <w:tcPr>
                  <w:tcW w:w="3491" w:type="dxa"/>
                  <w:vAlign w:val="center"/>
                </w:tcPr>
                <w:p>
                  <w:pPr>
                    <w:tabs>
                      <w:tab w:val="left" w:pos="788"/>
                    </w:tabs>
                    <w:jc w:val="left"/>
                    <w:rPr>
                      <w:color w:val="auto"/>
                      <w:szCs w:val="21"/>
                    </w:rPr>
                  </w:pPr>
                  <w:r>
                    <w:rPr>
                      <w:rFonts w:hint="eastAsia"/>
                      <w:color w:val="auto"/>
                      <w:szCs w:val="21"/>
                    </w:rPr>
                    <w:t>风险应急体系不完善：开发区目前尚未编制《安徽淮北杜集经济开发区突发环境事件应急预案》，区内尚有部分企业未按要求编制应急预案。</w:t>
                  </w:r>
                </w:p>
              </w:tc>
              <w:tc>
                <w:tcPr>
                  <w:tcW w:w="2512" w:type="dxa"/>
                  <w:vAlign w:val="center"/>
                </w:tcPr>
                <w:p>
                  <w:pPr>
                    <w:tabs>
                      <w:tab w:val="left" w:pos="788"/>
                    </w:tabs>
                    <w:jc w:val="left"/>
                    <w:rPr>
                      <w:color w:val="auto"/>
                      <w:szCs w:val="21"/>
                    </w:rPr>
                  </w:pPr>
                  <w:r>
                    <w:rPr>
                      <w:rFonts w:hint="eastAsia"/>
                      <w:color w:val="auto"/>
                      <w:szCs w:val="21"/>
                    </w:rPr>
                    <w:t>本项目建成后，潜在的环境风险影响主要为漆料泄露，环评要求</w:t>
                  </w:r>
                  <w:r>
                    <w:rPr>
                      <w:rFonts w:hint="eastAsia"/>
                      <w:color w:val="auto"/>
                      <w:kern w:val="0"/>
                      <w:szCs w:val="21"/>
                    </w:rPr>
                    <w:t>设置托盘、备用桶等措施</w:t>
                  </w:r>
                  <w:r>
                    <w:rPr>
                      <w:rFonts w:hint="eastAsia"/>
                      <w:color w:val="auto"/>
                      <w:szCs w:val="21"/>
                    </w:rPr>
                    <w:t>防止突发性环境污染事故。</w:t>
                  </w:r>
                </w:p>
              </w:tc>
              <w:tc>
                <w:tcPr>
                  <w:tcW w:w="1001" w:type="dxa"/>
                  <w:vAlign w:val="center"/>
                </w:tcPr>
                <w:p>
                  <w:pPr>
                    <w:tabs>
                      <w:tab w:val="left" w:pos="788"/>
                    </w:tabs>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1" w:type="dxa"/>
                  <w:vMerge w:val="continue"/>
                  <w:vAlign w:val="center"/>
                </w:tcPr>
                <w:p>
                  <w:pPr>
                    <w:tabs>
                      <w:tab w:val="left" w:pos="788"/>
                    </w:tabs>
                    <w:jc w:val="center"/>
                    <w:rPr>
                      <w:color w:val="auto"/>
                      <w:szCs w:val="21"/>
                    </w:rPr>
                  </w:pPr>
                </w:p>
              </w:tc>
              <w:tc>
                <w:tcPr>
                  <w:tcW w:w="3491" w:type="dxa"/>
                  <w:vAlign w:val="center"/>
                </w:tcPr>
                <w:p>
                  <w:pPr>
                    <w:tabs>
                      <w:tab w:val="left" w:pos="788"/>
                    </w:tabs>
                    <w:jc w:val="left"/>
                    <w:rPr>
                      <w:color w:val="auto"/>
                      <w:szCs w:val="21"/>
                    </w:rPr>
                  </w:pPr>
                  <w:r>
                    <w:rPr>
                      <w:rFonts w:hint="eastAsia"/>
                      <w:color w:val="auto"/>
                      <w:szCs w:val="21"/>
                    </w:rPr>
                    <w:t>企业环境影响减缓措施有待加强：(1)现状开发区内部分企业废气未参照《关于印发&lt;工业炉窑大气污染物综合治理方案&gt;的通知》(环大气[2019]56号)中要求：颗粒物、二氧化硫、氮氧化物排放限值分别不高于30、200、300 毫克/立方米、《关于印发&lt;长三角地区2019-2020年秋冬大气污染综合治理攻坚行动方案&gt;的通知》(环大气[2019]97号)要求：加快推进燃气锅炉低氮改造，未出台地方排放标准的，原则上按照氮氧化物排放浓度不高于50毫克/立方米进行改造、厂区内挥发性有机物无组织排放执行《挥发性有机物无组织排放控制标准》( GB37822-2019 )等标准要求； (2)部分企业危废暂存间设置不规范。</w:t>
                  </w:r>
                </w:p>
              </w:tc>
              <w:tc>
                <w:tcPr>
                  <w:tcW w:w="2512" w:type="dxa"/>
                  <w:vAlign w:val="center"/>
                </w:tcPr>
                <w:p>
                  <w:pPr>
                    <w:tabs>
                      <w:tab w:val="left" w:pos="788"/>
                    </w:tabs>
                    <w:rPr>
                      <w:color w:val="auto"/>
                      <w:szCs w:val="21"/>
                    </w:rPr>
                  </w:pPr>
                  <w:r>
                    <w:rPr>
                      <w:rFonts w:hint="eastAsia"/>
                      <w:color w:val="auto"/>
                      <w:szCs w:val="21"/>
                    </w:rPr>
                    <w:t>（1）本项目不使用锅炉及炉窑，厂区内挥发性有机物无组织排放执行《挥发性有机物无组织排放控制标准》( GB37822-2019 )要求。</w:t>
                  </w:r>
                </w:p>
                <w:p>
                  <w:pPr>
                    <w:tabs>
                      <w:tab w:val="left" w:pos="788"/>
                    </w:tabs>
                    <w:rPr>
                      <w:color w:val="auto"/>
                      <w:szCs w:val="21"/>
                    </w:rPr>
                  </w:pPr>
                  <w:r>
                    <w:rPr>
                      <w:rFonts w:hint="eastAsia"/>
                      <w:color w:val="auto"/>
                      <w:szCs w:val="21"/>
                    </w:rPr>
                    <w:t>（2）本项目危险库建设执行《危险废物贮存污染控制标准》（GB18597-2001）及环保部公告2013年第36号文件中的修改要求</w:t>
                  </w:r>
                </w:p>
              </w:tc>
              <w:tc>
                <w:tcPr>
                  <w:tcW w:w="1001" w:type="dxa"/>
                  <w:vAlign w:val="center"/>
                </w:tcPr>
                <w:p>
                  <w:pPr>
                    <w:tabs>
                      <w:tab w:val="left" w:pos="788"/>
                    </w:tabs>
                    <w:jc w:val="center"/>
                    <w:rPr>
                      <w:color w:val="auto"/>
                      <w:szCs w:val="21"/>
                    </w:rPr>
                  </w:pPr>
                  <w:r>
                    <w:rPr>
                      <w:rFonts w:hint="eastAsia"/>
                      <w:color w:val="auto"/>
                      <w:szCs w:val="21"/>
                    </w:rPr>
                    <w:t>符合</w:t>
                  </w:r>
                </w:p>
              </w:tc>
            </w:tr>
          </w:tbl>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vMerge w:val="restar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其他符合性分析</w:t>
            </w:r>
          </w:p>
        </w:tc>
        <w:tc>
          <w:tcPr>
            <w:tcW w:w="7941" w:type="dxa"/>
            <w:gridSpan w:val="3"/>
            <w:vAlign w:val="center"/>
          </w:tcPr>
          <w:p>
            <w:pPr>
              <w:autoSpaceDE w:val="0"/>
              <w:autoSpaceDN w:val="0"/>
              <w:adjustRightInd w:val="0"/>
              <w:spacing w:line="360" w:lineRule="auto"/>
              <w:rPr>
                <w:b/>
                <w:bCs/>
                <w:color w:val="auto"/>
                <w:kern w:val="0"/>
                <w:sz w:val="24"/>
                <w:szCs w:val="24"/>
              </w:rPr>
            </w:pPr>
            <w:r>
              <w:rPr>
                <w:rFonts w:hint="eastAsia"/>
                <w:b/>
                <w:bCs/>
                <w:color w:val="auto"/>
                <w:kern w:val="0"/>
                <w:sz w:val="24"/>
                <w:szCs w:val="24"/>
              </w:rPr>
              <w:t>1、产业政策符合性分析</w:t>
            </w:r>
          </w:p>
          <w:p>
            <w:pPr>
              <w:adjustRightInd w:val="0"/>
              <w:snapToGrid w:val="0"/>
              <w:spacing w:line="360" w:lineRule="auto"/>
              <w:ind w:firstLine="480" w:firstLineChars="200"/>
              <w:jc w:val="both"/>
              <w:rPr>
                <w:color w:val="auto"/>
                <w:sz w:val="24"/>
                <w:szCs w:val="24"/>
              </w:rPr>
            </w:pPr>
            <w:r>
              <w:rPr>
                <w:rFonts w:hint="eastAsia"/>
                <w:color w:val="auto"/>
                <w:sz w:val="24"/>
                <w:szCs w:val="24"/>
              </w:rPr>
              <w:t>本项目</w:t>
            </w:r>
            <w:r>
              <w:rPr>
                <w:rFonts w:hint="eastAsia"/>
                <w:color w:val="auto"/>
                <w:sz w:val="24"/>
                <w:szCs w:val="24"/>
                <w:lang w:val="en-US" w:eastAsia="zh-CN"/>
              </w:rPr>
              <w:t>属于</w:t>
            </w:r>
            <w:r>
              <w:rPr>
                <w:rFonts w:hint="eastAsia"/>
                <w:color w:val="auto"/>
                <w:sz w:val="24"/>
                <w:szCs w:val="24"/>
              </w:rPr>
              <w:t>C3499其他未列明通用设备制造业，企业已于2022年</w:t>
            </w:r>
            <w:r>
              <w:rPr>
                <w:rFonts w:hint="eastAsia"/>
                <w:color w:val="auto"/>
                <w:sz w:val="24"/>
                <w:szCs w:val="24"/>
                <w:lang w:val="en-US" w:eastAsia="zh-CN"/>
              </w:rPr>
              <w:t>9</w:t>
            </w:r>
            <w:r>
              <w:rPr>
                <w:rFonts w:hint="eastAsia"/>
                <w:color w:val="auto"/>
                <w:sz w:val="24"/>
                <w:szCs w:val="24"/>
              </w:rPr>
              <w:t>月2</w:t>
            </w:r>
            <w:r>
              <w:rPr>
                <w:rFonts w:hint="eastAsia"/>
                <w:color w:val="auto"/>
                <w:sz w:val="24"/>
                <w:szCs w:val="24"/>
                <w:lang w:val="en-US" w:eastAsia="zh-CN"/>
              </w:rPr>
              <w:t>9</w:t>
            </w:r>
            <w:r>
              <w:rPr>
                <w:rFonts w:hint="eastAsia"/>
                <w:color w:val="auto"/>
                <w:sz w:val="24"/>
                <w:szCs w:val="24"/>
              </w:rPr>
              <w:t>日通过淮北市杜集区发展和改革委员会备案（项目编码</w:t>
            </w:r>
            <w:r>
              <w:rPr>
                <w:rFonts w:hint="eastAsia"/>
                <w:bCs/>
                <w:color w:val="auto"/>
                <w:sz w:val="24"/>
                <w:szCs w:val="24"/>
                <w:lang w:eastAsia="zh-CN"/>
              </w:rPr>
              <w:t>2209-340602-04-01-377641</w:t>
            </w:r>
            <w:r>
              <w:rPr>
                <w:rFonts w:hint="eastAsia"/>
                <w:color w:val="auto"/>
                <w:sz w:val="24"/>
                <w:szCs w:val="24"/>
              </w:rPr>
              <w:t>），对照《产业结构调整指导目录</w:t>
            </w:r>
            <w:r>
              <w:rPr>
                <w:color w:val="auto"/>
                <w:sz w:val="24"/>
                <w:szCs w:val="24"/>
              </w:rPr>
              <w:t>(2019</w:t>
            </w:r>
            <w:r>
              <w:rPr>
                <w:rFonts w:hint="eastAsia"/>
                <w:color w:val="auto"/>
                <w:sz w:val="24"/>
                <w:szCs w:val="24"/>
              </w:rPr>
              <w:t>年本</w:t>
            </w:r>
            <w:r>
              <w:rPr>
                <w:color w:val="auto"/>
                <w:sz w:val="24"/>
                <w:szCs w:val="24"/>
              </w:rPr>
              <w:t>)</w:t>
            </w:r>
            <w:r>
              <w:rPr>
                <w:rFonts w:hint="eastAsia"/>
                <w:color w:val="auto"/>
                <w:sz w:val="24"/>
                <w:szCs w:val="24"/>
              </w:rPr>
              <w:t xml:space="preserve">》及《国家发展改革委关于修改&lt;产业结构调整指导目录（2019年本）&gt;的决定》，项目不属于其中鼓励类、限制类及淘汰类项目。因此，符合国家产业政策要求。 </w:t>
            </w:r>
          </w:p>
          <w:p>
            <w:pPr>
              <w:adjustRightInd w:val="0"/>
              <w:snapToGrid w:val="0"/>
              <w:spacing w:line="360" w:lineRule="auto"/>
              <w:ind w:firstLine="480" w:firstLineChars="200"/>
              <w:jc w:val="left"/>
              <w:rPr>
                <w:color w:val="auto"/>
                <w:sz w:val="24"/>
                <w:szCs w:val="24"/>
              </w:rPr>
            </w:pPr>
            <w:r>
              <w:rPr>
                <w:rFonts w:hint="eastAsia"/>
                <w:color w:val="auto"/>
                <w:sz w:val="24"/>
                <w:szCs w:val="24"/>
              </w:rPr>
              <w:t>对照《环境保护综合名录（2021年版）》本项目不在“高污染、高环境风险”产品名录内，因此本项目产品与与《环境保护综合名录（2021年版）》相符。</w:t>
            </w:r>
          </w:p>
          <w:p>
            <w:pPr>
              <w:adjustRightInd w:val="0"/>
              <w:snapToGrid w:val="0"/>
              <w:spacing w:line="360" w:lineRule="auto"/>
              <w:ind w:firstLine="480" w:firstLineChars="200"/>
              <w:jc w:val="left"/>
              <w:rPr>
                <w:color w:val="auto"/>
                <w:sz w:val="24"/>
                <w:szCs w:val="24"/>
              </w:rPr>
            </w:pPr>
            <w:r>
              <w:rPr>
                <w:rFonts w:hint="eastAsia"/>
                <w:color w:val="auto"/>
                <w:sz w:val="24"/>
                <w:szCs w:val="24"/>
              </w:rPr>
              <w:t>根据生态环境部《关于加强高耗能、高排放建设项目生态环境源头防控的指导意见》（环环评〔2021〕45号），本项目不属于“两高”项目。</w:t>
            </w:r>
          </w:p>
          <w:p>
            <w:pPr>
              <w:adjustRightInd w:val="0"/>
              <w:snapToGrid w:val="0"/>
              <w:spacing w:line="360" w:lineRule="auto"/>
              <w:ind w:firstLine="480" w:firstLineChars="200"/>
              <w:jc w:val="left"/>
              <w:rPr>
                <w:color w:val="auto"/>
                <w:sz w:val="24"/>
                <w:szCs w:val="24"/>
              </w:rPr>
            </w:pPr>
            <w:r>
              <w:rPr>
                <w:rFonts w:hint="eastAsia"/>
                <w:color w:val="auto"/>
                <w:sz w:val="24"/>
                <w:szCs w:val="24"/>
              </w:rPr>
              <w:t>对照国土资源部、国家发改委关于发布实施《限制用地项目目录（</w:t>
            </w:r>
            <w:r>
              <w:rPr>
                <w:color w:val="auto"/>
                <w:sz w:val="24"/>
                <w:szCs w:val="24"/>
              </w:rPr>
              <w:t xml:space="preserve">2012 </w:t>
            </w:r>
            <w:r>
              <w:rPr>
                <w:rFonts w:hint="eastAsia"/>
                <w:color w:val="auto"/>
                <w:sz w:val="24"/>
                <w:szCs w:val="24"/>
              </w:rPr>
              <w:t>年本）》和《禁止用地项目目录（</w:t>
            </w:r>
            <w:r>
              <w:rPr>
                <w:color w:val="auto"/>
                <w:sz w:val="24"/>
                <w:szCs w:val="24"/>
              </w:rPr>
              <w:t>2012</w:t>
            </w:r>
            <w:r>
              <w:rPr>
                <w:rFonts w:hint="eastAsia"/>
                <w:color w:val="auto"/>
                <w:sz w:val="24"/>
                <w:szCs w:val="24"/>
              </w:rPr>
              <w:t>年本）》的通知，本项目不在限制用地项目目录和禁止用地项目目录内。</w:t>
            </w:r>
          </w:p>
          <w:p>
            <w:pPr>
              <w:adjustRightInd w:val="0"/>
              <w:snapToGrid w:val="0"/>
              <w:spacing w:line="360" w:lineRule="auto"/>
              <w:ind w:firstLine="480" w:firstLineChars="200"/>
              <w:jc w:val="left"/>
              <w:rPr>
                <w:color w:val="auto"/>
                <w:sz w:val="24"/>
                <w:szCs w:val="24"/>
              </w:rPr>
            </w:pPr>
            <w:r>
              <w:rPr>
                <w:color w:val="auto"/>
                <w:sz w:val="24"/>
                <w:szCs w:val="24"/>
              </w:rPr>
              <w:t>因此，本项目的建设符合国家和安徽省的相关产业政策。</w:t>
            </w:r>
          </w:p>
          <w:p>
            <w:pPr>
              <w:adjustRightInd w:val="0"/>
              <w:snapToGrid w:val="0"/>
              <w:spacing w:line="360" w:lineRule="auto"/>
              <w:jc w:val="left"/>
              <w:rPr>
                <w:b/>
                <w:bCs/>
                <w:color w:val="auto"/>
                <w:kern w:val="0"/>
                <w:sz w:val="24"/>
                <w:szCs w:val="24"/>
              </w:rPr>
            </w:pPr>
            <w:r>
              <w:rPr>
                <w:rFonts w:hint="eastAsia"/>
                <w:b/>
                <w:bCs/>
                <w:color w:val="auto"/>
                <w:kern w:val="0"/>
                <w:sz w:val="24"/>
                <w:szCs w:val="24"/>
              </w:rPr>
              <w:t>2、选址合理性分析</w:t>
            </w:r>
          </w:p>
          <w:p>
            <w:pPr>
              <w:adjustRightInd w:val="0"/>
              <w:snapToGrid w:val="0"/>
              <w:spacing w:line="360" w:lineRule="auto"/>
              <w:ind w:firstLine="480" w:firstLineChars="200"/>
              <w:jc w:val="left"/>
              <w:rPr>
                <w:rFonts w:hint="eastAsia"/>
                <w:color w:val="auto"/>
                <w:sz w:val="24"/>
                <w:szCs w:val="24"/>
              </w:rPr>
            </w:pPr>
            <w:r>
              <w:rPr>
                <w:rFonts w:hint="eastAsia"/>
                <w:color w:val="auto"/>
                <w:sz w:val="24"/>
                <w:szCs w:val="24"/>
              </w:rPr>
              <w:t>本项目位于</w:t>
            </w:r>
            <w:r>
              <w:rPr>
                <w:rFonts w:hint="eastAsia"/>
                <w:color w:val="auto"/>
                <w:sz w:val="24"/>
                <w:szCs w:val="24"/>
                <w:lang w:eastAsia="zh-CN"/>
              </w:rPr>
              <w:t>杜集经济开发区富强路与青春路交叉口东北侧3号</w:t>
            </w:r>
            <w:r>
              <w:rPr>
                <w:rFonts w:hint="eastAsia"/>
                <w:color w:val="auto"/>
                <w:sz w:val="24"/>
                <w:szCs w:val="24"/>
              </w:rPr>
              <w:t>，现厂址处为空地，厂址北侧</w:t>
            </w:r>
            <w:r>
              <w:rPr>
                <w:rFonts w:hint="eastAsia"/>
                <w:color w:val="auto"/>
                <w:sz w:val="24"/>
                <w:szCs w:val="24"/>
                <w:lang w:val="en-US" w:eastAsia="zh-CN"/>
              </w:rPr>
              <w:t>为</w:t>
            </w:r>
            <w:r>
              <w:rPr>
                <w:rFonts w:hint="eastAsia"/>
                <w:color w:val="auto"/>
                <w:sz w:val="24"/>
                <w:szCs w:val="24"/>
              </w:rPr>
              <w:t>安徽中冶淮海装配式建筑有限公司</w:t>
            </w:r>
            <w:r>
              <w:rPr>
                <w:rFonts w:hint="eastAsia"/>
                <w:color w:val="auto"/>
                <w:sz w:val="24"/>
                <w:szCs w:val="24"/>
                <w:lang w:val="en-US" w:eastAsia="zh-CN"/>
              </w:rPr>
              <w:t>和安徽路特威智能机械工程有限公司</w:t>
            </w:r>
            <w:r>
              <w:rPr>
                <w:rFonts w:hint="eastAsia"/>
                <w:color w:val="auto"/>
                <w:sz w:val="24"/>
                <w:szCs w:val="24"/>
              </w:rPr>
              <w:t>，东侧为</w:t>
            </w:r>
            <w:r>
              <w:rPr>
                <w:rFonts w:hint="eastAsia"/>
                <w:color w:val="auto"/>
                <w:sz w:val="24"/>
                <w:szCs w:val="24"/>
                <w:lang w:eastAsia="zh-CN"/>
              </w:rPr>
              <w:t>安徽</w:t>
            </w:r>
            <w:r>
              <w:rPr>
                <w:rFonts w:hint="eastAsia"/>
                <w:color w:val="auto"/>
                <w:sz w:val="24"/>
                <w:szCs w:val="24"/>
              </w:rPr>
              <w:t>乐康源健康科技有限公司，南侧为青春路，路</w:t>
            </w:r>
            <w:r>
              <w:rPr>
                <w:rFonts w:hint="eastAsia"/>
                <w:color w:val="auto"/>
                <w:sz w:val="24"/>
                <w:szCs w:val="24"/>
                <w:lang w:val="en-US" w:eastAsia="zh-CN"/>
              </w:rPr>
              <w:t>南</w:t>
            </w:r>
            <w:r>
              <w:rPr>
                <w:rFonts w:hint="eastAsia"/>
                <w:color w:val="auto"/>
                <w:sz w:val="24"/>
                <w:szCs w:val="24"/>
              </w:rPr>
              <w:t>为淮北宇诺机械设备有限公司、西侧为淮北北华玻璃制品有限公司。对照</w:t>
            </w:r>
            <w:r>
              <w:rPr>
                <w:rFonts w:hint="eastAsia"/>
                <w:color w:val="auto"/>
                <w:sz w:val="24"/>
                <w:szCs w:val="24"/>
                <w:lang w:eastAsia="zh-CN"/>
              </w:rPr>
              <w:t>《安徽淮北杜集经济技术开发区总体规划》（2007-2020年）</w:t>
            </w:r>
            <w:r>
              <w:rPr>
                <w:rFonts w:hint="eastAsia"/>
                <w:color w:val="auto"/>
                <w:sz w:val="24"/>
                <w:szCs w:val="24"/>
              </w:rPr>
              <w:t>可知该处土地用途为工业用地，项目选址合理。</w:t>
            </w:r>
          </w:p>
          <w:p>
            <w:pPr>
              <w:adjustRightInd w:val="0"/>
              <w:snapToGrid w:val="0"/>
              <w:spacing w:line="360" w:lineRule="auto"/>
              <w:ind w:firstLine="480" w:firstLineChars="200"/>
              <w:jc w:val="left"/>
              <w:rPr>
                <w:rFonts w:hint="eastAsia"/>
                <w:color w:val="auto"/>
                <w:sz w:val="24"/>
                <w:szCs w:val="24"/>
              </w:rPr>
            </w:pPr>
            <w:r>
              <w:rPr>
                <w:rFonts w:hint="eastAsia"/>
                <w:color w:val="auto"/>
                <w:sz w:val="24"/>
                <w:szCs w:val="24"/>
                <w:lang w:val="en-US" w:eastAsia="zh-CN"/>
              </w:rPr>
              <w:t>项目周边环境状况图见附图2，杜集经济开发区总体规划图见附图3。</w:t>
            </w:r>
          </w:p>
          <w:p>
            <w:pPr>
              <w:adjustRightInd w:val="0"/>
              <w:snapToGrid w:val="0"/>
              <w:spacing w:line="360" w:lineRule="auto"/>
              <w:jc w:val="left"/>
              <w:rPr>
                <w:b/>
                <w:bCs/>
                <w:color w:val="auto"/>
                <w:kern w:val="0"/>
                <w:sz w:val="24"/>
                <w:szCs w:val="24"/>
              </w:rPr>
            </w:pPr>
            <w:r>
              <w:rPr>
                <w:rFonts w:hint="eastAsia"/>
                <w:b/>
                <w:bCs/>
                <w:color w:val="auto"/>
                <w:kern w:val="0"/>
                <w:sz w:val="24"/>
                <w:szCs w:val="24"/>
              </w:rPr>
              <w:t>3、环境相容性分析</w:t>
            </w:r>
          </w:p>
          <w:p>
            <w:pPr>
              <w:adjustRightInd w:val="0"/>
              <w:snapToGrid w:val="0"/>
              <w:spacing w:line="360" w:lineRule="auto"/>
              <w:ind w:firstLine="480" w:firstLineChars="200"/>
              <w:jc w:val="left"/>
              <w:rPr>
                <w:color w:val="auto"/>
                <w:sz w:val="24"/>
                <w:szCs w:val="24"/>
              </w:rPr>
            </w:pPr>
            <w:r>
              <w:rPr>
                <w:rFonts w:hint="eastAsia"/>
                <w:color w:val="auto"/>
                <w:sz w:val="24"/>
                <w:szCs w:val="24"/>
              </w:rPr>
              <w:t>本项目位于</w:t>
            </w:r>
            <w:r>
              <w:rPr>
                <w:rFonts w:hint="eastAsia"/>
                <w:color w:val="auto"/>
                <w:sz w:val="24"/>
                <w:szCs w:val="24"/>
                <w:lang w:eastAsia="zh-CN"/>
              </w:rPr>
              <w:t>杜集经济开发区富强路与青春路交叉口东北侧3号</w:t>
            </w:r>
            <w:r>
              <w:rPr>
                <w:rFonts w:hint="eastAsia"/>
                <w:color w:val="auto"/>
                <w:sz w:val="24"/>
                <w:szCs w:val="24"/>
              </w:rPr>
              <w:t>。现厂址处为空地，项目四周均为已建厂房</w:t>
            </w:r>
            <w:r>
              <w:rPr>
                <w:rFonts w:hint="eastAsia"/>
                <w:color w:val="auto"/>
                <w:sz w:val="24"/>
                <w:szCs w:val="24"/>
                <w:lang w:eastAsia="zh-CN"/>
              </w:rPr>
              <w:t>，</w:t>
            </w:r>
            <w:r>
              <w:rPr>
                <w:rFonts w:hint="eastAsia"/>
                <w:color w:val="auto"/>
                <w:sz w:val="24"/>
                <w:szCs w:val="24"/>
              </w:rPr>
              <w:t>厂址北侧</w:t>
            </w:r>
            <w:r>
              <w:rPr>
                <w:rFonts w:hint="eastAsia"/>
                <w:color w:val="auto"/>
                <w:sz w:val="24"/>
                <w:szCs w:val="24"/>
                <w:lang w:val="en-US" w:eastAsia="zh-CN"/>
              </w:rPr>
              <w:t>为</w:t>
            </w:r>
            <w:r>
              <w:rPr>
                <w:rFonts w:hint="eastAsia"/>
                <w:color w:val="auto"/>
                <w:sz w:val="24"/>
                <w:szCs w:val="24"/>
              </w:rPr>
              <w:t>安徽中冶淮海装配式建筑有限公司</w:t>
            </w:r>
            <w:r>
              <w:rPr>
                <w:rFonts w:hint="eastAsia"/>
                <w:color w:val="auto"/>
                <w:sz w:val="24"/>
                <w:szCs w:val="24"/>
                <w:lang w:val="en-US" w:eastAsia="zh-CN"/>
              </w:rPr>
              <w:t>和安徽路特威智能机械工程有限公司</w:t>
            </w:r>
            <w:r>
              <w:rPr>
                <w:rFonts w:hint="eastAsia"/>
                <w:color w:val="auto"/>
                <w:sz w:val="24"/>
                <w:szCs w:val="24"/>
              </w:rPr>
              <w:t>，东侧为</w:t>
            </w:r>
            <w:r>
              <w:rPr>
                <w:rFonts w:hint="eastAsia"/>
                <w:color w:val="auto"/>
                <w:sz w:val="24"/>
                <w:szCs w:val="24"/>
                <w:lang w:eastAsia="zh-CN"/>
              </w:rPr>
              <w:t>安徽</w:t>
            </w:r>
            <w:r>
              <w:rPr>
                <w:rFonts w:hint="eastAsia"/>
                <w:color w:val="auto"/>
                <w:sz w:val="24"/>
                <w:szCs w:val="24"/>
              </w:rPr>
              <w:t>乐康源健康科技有限公司，南侧为青春路，路</w:t>
            </w:r>
            <w:r>
              <w:rPr>
                <w:rFonts w:hint="eastAsia"/>
                <w:color w:val="auto"/>
                <w:sz w:val="24"/>
                <w:szCs w:val="24"/>
                <w:lang w:val="en-US" w:eastAsia="zh-CN"/>
              </w:rPr>
              <w:t>南</w:t>
            </w:r>
            <w:r>
              <w:rPr>
                <w:rFonts w:hint="eastAsia"/>
                <w:color w:val="auto"/>
                <w:sz w:val="24"/>
                <w:szCs w:val="24"/>
              </w:rPr>
              <w:t>为淮北宇诺机械设备有限公司、西侧为淮北北华玻璃制品有限公司。根据项目周围现有已入驻企业类型可知，均为污染物排污量较低的企业。项目所在区域不属于有显著污染的区域，不属于有害废弃物以及粉尘、有害气体、放射性物质和其他扩散性污染源不能有效清除的地址，项目周边企业的运营不会对本项目产生明显影响。</w:t>
            </w:r>
          </w:p>
          <w:p>
            <w:pPr>
              <w:adjustRightInd w:val="0"/>
              <w:snapToGrid w:val="0"/>
              <w:spacing w:line="360" w:lineRule="auto"/>
              <w:jc w:val="left"/>
              <w:rPr>
                <w:b/>
                <w:bCs/>
                <w:color w:val="auto"/>
                <w:kern w:val="0"/>
                <w:sz w:val="24"/>
                <w:szCs w:val="24"/>
              </w:rPr>
            </w:pPr>
            <w:r>
              <w:rPr>
                <w:rFonts w:hint="eastAsia"/>
                <w:b/>
                <w:bCs/>
                <w:color w:val="auto"/>
                <w:kern w:val="0"/>
                <w:sz w:val="24"/>
                <w:szCs w:val="24"/>
              </w:rPr>
              <w:t>4、“三线一单”及分区管控符合性分析</w:t>
            </w:r>
          </w:p>
          <w:p>
            <w:pPr>
              <w:adjustRightInd w:val="0"/>
              <w:snapToGrid w:val="0"/>
              <w:spacing w:line="360" w:lineRule="auto"/>
              <w:ind w:firstLine="480" w:firstLineChars="200"/>
              <w:jc w:val="left"/>
              <w:rPr>
                <w:b/>
                <w:bCs/>
                <w:color w:val="auto"/>
                <w:sz w:val="24"/>
                <w:szCs w:val="24"/>
              </w:rPr>
            </w:pPr>
            <w:r>
              <w:rPr>
                <w:rFonts w:hint="eastAsia"/>
                <w:color w:val="auto"/>
                <w:sz w:val="24"/>
                <w:szCs w:val="24"/>
              </w:rPr>
              <w:t>本项目的“三线一单”符合性分析如下表1-4。</w:t>
            </w:r>
          </w:p>
          <w:p>
            <w:pPr>
              <w:tabs>
                <w:tab w:val="left" w:pos="788"/>
              </w:tabs>
              <w:jc w:val="center"/>
              <w:rPr>
                <w:b/>
                <w:bCs/>
                <w:color w:val="auto"/>
                <w:szCs w:val="21"/>
              </w:rPr>
            </w:pPr>
            <w:r>
              <w:rPr>
                <w:rFonts w:hint="eastAsia"/>
                <w:b/>
                <w:bCs/>
                <w:color w:val="auto"/>
                <w:sz w:val="24"/>
                <w:szCs w:val="24"/>
              </w:rPr>
              <w:t>表1-4  “三线一单”符合性分析</w:t>
            </w:r>
          </w:p>
          <w:tbl>
            <w:tblPr>
              <w:tblStyle w:val="34"/>
              <w:tblW w:w="4981"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3974"/>
              <w:gridCol w:w="3207"/>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 w:type="pct"/>
                  <w:vAlign w:val="center"/>
                </w:tcPr>
                <w:p>
                  <w:pPr>
                    <w:autoSpaceDE w:val="0"/>
                    <w:autoSpaceDN w:val="0"/>
                    <w:adjustRightInd w:val="0"/>
                    <w:snapToGrid w:val="0"/>
                    <w:jc w:val="center"/>
                    <w:rPr>
                      <w:b/>
                      <w:bCs/>
                      <w:color w:val="auto"/>
                      <w:szCs w:val="21"/>
                    </w:rPr>
                  </w:pPr>
                  <w:r>
                    <w:rPr>
                      <w:b/>
                      <w:bCs/>
                      <w:color w:val="auto"/>
                      <w:szCs w:val="21"/>
                    </w:rPr>
                    <w:t>内容</w:t>
                  </w:r>
                </w:p>
              </w:tc>
              <w:tc>
                <w:tcPr>
                  <w:tcW w:w="2584" w:type="pct"/>
                  <w:vAlign w:val="center"/>
                </w:tcPr>
                <w:p>
                  <w:pPr>
                    <w:autoSpaceDE w:val="0"/>
                    <w:autoSpaceDN w:val="0"/>
                    <w:adjustRightInd w:val="0"/>
                    <w:snapToGrid w:val="0"/>
                    <w:jc w:val="center"/>
                    <w:rPr>
                      <w:b/>
                      <w:bCs/>
                      <w:color w:val="auto"/>
                      <w:szCs w:val="21"/>
                    </w:rPr>
                  </w:pPr>
                  <w:r>
                    <w:rPr>
                      <w:b/>
                      <w:bCs/>
                      <w:color w:val="auto"/>
                      <w:szCs w:val="21"/>
                    </w:rPr>
                    <w:t>相关要求</w:t>
                  </w:r>
                </w:p>
              </w:tc>
              <w:tc>
                <w:tcPr>
                  <w:tcW w:w="2085" w:type="pct"/>
                  <w:vAlign w:val="center"/>
                </w:tcPr>
                <w:p>
                  <w:pPr>
                    <w:autoSpaceDE w:val="0"/>
                    <w:autoSpaceDN w:val="0"/>
                    <w:adjustRightInd w:val="0"/>
                    <w:snapToGrid w:val="0"/>
                    <w:jc w:val="center"/>
                    <w:rPr>
                      <w:b/>
                      <w:bCs/>
                      <w:color w:val="auto"/>
                      <w:szCs w:val="21"/>
                    </w:rPr>
                  </w:pPr>
                  <w:r>
                    <w:rPr>
                      <w:b/>
                      <w:bCs/>
                      <w:color w:val="auto"/>
                      <w:szCs w:val="21"/>
                    </w:rPr>
                    <w:t>符合性分析</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330" w:type="pct"/>
                  <w:vMerge w:val="restart"/>
                  <w:vAlign w:val="center"/>
                </w:tcPr>
                <w:p>
                  <w:pPr>
                    <w:autoSpaceDE w:val="0"/>
                    <w:autoSpaceDN w:val="0"/>
                    <w:adjustRightInd w:val="0"/>
                    <w:snapToGrid w:val="0"/>
                    <w:jc w:val="center"/>
                    <w:rPr>
                      <w:color w:val="auto"/>
                      <w:szCs w:val="21"/>
                    </w:rPr>
                  </w:pPr>
                  <w:r>
                    <w:rPr>
                      <w:color w:val="auto"/>
                      <w:szCs w:val="21"/>
                    </w:rPr>
                    <w:t>生态保护红线</w:t>
                  </w:r>
                </w:p>
              </w:tc>
              <w:tc>
                <w:tcPr>
                  <w:tcW w:w="2584" w:type="pct"/>
                  <w:vAlign w:val="center"/>
                </w:tcPr>
                <w:p>
                  <w:pPr>
                    <w:autoSpaceDE w:val="0"/>
                    <w:autoSpaceDN w:val="0"/>
                    <w:adjustRightInd w:val="0"/>
                    <w:snapToGrid w:val="0"/>
                    <w:jc w:val="left"/>
                    <w:rPr>
                      <w:color w:val="auto"/>
                      <w:szCs w:val="21"/>
                    </w:rPr>
                  </w:pPr>
                  <w:r>
                    <w:rPr>
                      <w:color w:val="auto"/>
                      <w:szCs w:val="21"/>
                    </w:rPr>
                    <w:t>根据“安徽省人民政府关于发布安徽省生态保护红线的通知”（皖政秘〔2018〕120号）及《安徽省生态保护红线》可知：安徽省生态保护红线基本空间格局为“两屏两轴”：“两屏”为皖西山地生态屏障和皖南山地丘陵生态屏障，主要生态功能为水源涵养、水土保持与生物多样性维护；“两轴”为长江干流及沿江湿地生态廊道、淮河干流及沿淮湿地生态廊道，主要生态功能为湿地生物多样性维护。</w:t>
                  </w:r>
                </w:p>
              </w:tc>
              <w:tc>
                <w:tcPr>
                  <w:tcW w:w="2085" w:type="pct"/>
                  <w:vMerge w:val="restart"/>
                  <w:vAlign w:val="center"/>
                </w:tcPr>
                <w:p>
                  <w:pPr>
                    <w:autoSpaceDE w:val="0"/>
                    <w:autoSpaceDN w:val="0"/>
                    <w:adjustRightInd w:val="0"/>
                    <w:snapToGrid w:val="0"/>
                    <w:rPr>
                      <w:color w:val="auto"/>
                      <w:szCs w:val="21"/>
                    </w:rPr>
                  </w:pPr>
                  <w:r>
                    <w:rPr>
                      <w:color w:val="auto"/>
                      <w:szCs w:val="21"/>
                    </w:rPr>
                    <w:t>项目位于淮北杜集经济开发区，</w:t>
                  </w:r>
                  <w:r>
                    <w:rPr>
                      <w:rStyle w:val="41"/>
                      <w:rFonts w:hint="eastAsia"/>
                      <w:color w:val="auto"/>
                      <w:kern w:val="0"/>
                      <w:szCs w:val="20"/>
                    </w:rPr>
                    <w:t>项目不占用安徽省及淮北市生态保护红线，</w:t>
                  </w:r>
                  <w:r>
                    <w:rPr>
                      <w:color w:val="auto"/>
                      <w:szCs w:val="21"/>
                    </w:rPr>
                    <w:t>故符合生态红线区域保护规划。</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330" w:type="pct"/>
                  <w:vMerge w:val="continue"/>
                  <w:vAlign w:val="center"/>
                </w:tcPr>
                <w:p>
                  <w:pPr>
                    <w:autoSpaceDE w:val="0"/>
                    <w:autoSpaceDN w:val="0"/>
                    <w:adjustRightInd w:val="0"/>
                    <w:snapToGrid w:val="0"/>
                    <w:rPr>
                      <w:color w:val="auto"/>
                    </w:rPr>
                  </w:pPr>
                </w:p>
              </w:tc>
              <w:tc>
                <w:tcPr>
                  <w:tcW w:w="2584" w:type="pct"/>
                  <w:vAlign w:val="center"/>
                </w:tcPr>
                <w:p>
                  <w:pPr>
                    <w:autoSpaceDE w:val="0"/>
                    <w:autoSpaceDN w:val="0"/>
                    <w:adjustRightInd w:val="0"/>
                    <w:snapToGrid w:val="0"/>
                    <w:rPr>
                      <w:color w:val="auto"/>
                      <w:szCs w:val="21"/>
                    </w:rPr>
                  </w:pPr>
                  <w:r>
                    <w:rPr>
                      <w:rFonts w:hint="eastAsia"/>
                      <w:color w:val="auto"/>
                      <w:szCs w:val="21"/>
                    </w:rPr>
                    <w:t>根据2020年10月淮北市“三线一单”文件内容，淮北市内涉及的生态保护红线区规定内容有“安徽大方寺省级自然保护区（五柳风景名胜区）及相山区安徽相山国家森林公园，是淮北市生态红线及一般生态空间，是需要优先保护的区域”。</w:t>
                  </w:r>
                </w:p>
              </w:tc>
              <w:tc>
                <w:tcPr>
                  <w:tcW w:w="2085" w:type="pct"/>
                  <w:vMerge w:val="continue"/>
                  <w:vAlign w:val="center"/>
                </w:tcPr>
                <w:p>
                  <w:pPr>
                    <w:autoSpaceDE w:val="0"/>
                    <w:autoSpaceDN w:val="0"/>
                    <w:adjustRightInd w:val="0"/>
                    <w:snapToGrid w:val="0"/>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 w:type="pct"/>
                  <w:vAlign w:val="center"/>
                </w:tcPr>
                <w:p>
                  <w:pPr>
                    <w:autoSpaceDE w:val="0"/>
                    <w:autoSpaceDN w:val="0"/>
                    <w:adjustRightInd w:val="0"/>
                    <w:snapToGrid w:val="0"/>
                    <w:jc w:val="center"/>
                    <w:rPr>
                      <w:color w:val="auto"/>
                      <w:szCs w:val="21"/>
                    </w:rPr>
                  </w:pPr>
                  <w:r>
                    <w:rPr>
                      <w:color w:val="auto"/>
                      <w:szCs w:val="21"/>
                    </w:rPr>
                    <w:t>资源利用上限</w:t>
                  </w:r>
                </w:p>
              </w:tc>
              <w:tc>
                <w:tcPr>
                  <w:tcW w:w="2584" w:type="pct"/>
                  <w:vAlign w:val="center"/>
                </w:tcPr>
                <w:p>
                  <w:pPr>
                    <w:autoSpaceDE w:val="0"/>
                    <w:autoSpaceDN w:val="0"/>
                    <w:adjustRightInd w:val="0"/>
                    <w:snapToGrid w:val="0"/>
                    <w:jc w:val="left"/>
                    <w:rPr>
                      <w:color w:val="auto"/>
                      <w:szCs w:val="21"/>
                    </w:rPr>
                  </w:pPr>
                  <w:r>
                    <w:rPr>
                      <w:color w:val="auto"/>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085" w:type="pct"/>
                  <w:vAlign w:val="center"/>
                </w:tcPr>
                <w:p>
                  <w:pPr>
                    <w:autoSpaceDE w:val="0"/>
                    <w:autoSpaceDN w:val="0"/>
                    <w:adjustRightInd w:val="0"/>
                    <w:snapToGrid w:val="0"/>
                    <w:rPr>
                      <w:color w:val="auto"/>
                      <w:szCs w:val="21"/>
                    </w:rPr>
                  </w:pPr>
                  <w:r>
                    <w:rPr>
                      <w:color w:val="auto"/>
                      <w:szCs w:val="21"/>
                    </w:rPr>
                    <w:t>本项目为新建项目，运营过程中主要资源为水和电，水由当地</w:t>
                  </w:r>
                  <w:r>
                    <w:rPr>
                      <w:rFonts w:hint="eastAsia"/>
                      <w:color w:val="auto"/>
                      <w:szCs w:val="21"/>
                    </w:rPr>
                    <w:t>供水管网</w:t>
                  </w:r>
                  <w:r>
                    <w:rPr>
                      <w:color w:val="auto"/>
                      <w:szCs w:val="21"/>
                    </w:rPr>
                    <w:t>统一供水，电力由当地电网供应，</w:t>
                  </w:r>
                  <w:r>
                    <w:rPr>
                      <w:rFonts w:hint="eastAsia"/>
                      <w:color w:val="auto"/>
                      <w:szCs w:val="21"/>
                    </w:rPr>
                    <w:t>项目所耗水电资源较少，</w:t>
                  </w:r>
                  <w:r>
                    <w:rPr>
                      <w:color w:val="auto"/>
                      <w:szCs w:val="21"/>
                    </w:rPr>
                    <w:t>项目用地为工业用地，不占用新的土地资源，本项目不会突破当地资源利用上</w:t>
                  </w:r>
                  <w:r>
                    <w:rPr>
                      <w:rFonts w:hint="eastAsia"/>
                      <w:color w:val="auto"/>
                      <w:szCs w:val="21"/>
                    </w:rPr>
                    <w:t>限</w:t>
                  </w:r>
                  <w:r>
                    <w:rPr>
                      <w:color w:val="auto"/>
                      <w:szCs w:val="21"/>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 w:type="pct"/>
                  <w:vAlign w:val="center"/>
                </w:tcPr>
                <w:p>
                  <w:pPr>
                    <w:autoSpaceDE w:val="0"/>
                    <w:autoSpaceDN w:val="0"/>
                    <w:adjustRightInd w:val="0"/>
                    <w:snapToGrid w:val="0"/>
                    <w:jc w:val="center"/>
                    <w:rPr>
                      <w:color w:val="auto"/>
                      <w:szCs w:val="21"/>
                    </w:rPr>
                  </w:pPr>
                  <w:r>
                    <w:rPr>
                      <w:color w:val="auto"/>
                      <w:szCs w:val="21"/>
                    </w:rPr>
                    <w:t>环境质量底线</w:t>
                  </w:r>
                </w:p>
              </w:tc>
              <w:tc>
                <w:tcPr>
                  <w:tcW w:w="2584" w:type="pct"/>
                  <w:vAlign w:val="center"/>
                </w:tcPr>
                <w:p>
                  <w:pPr>
                    <w:autoSpaceDE w:val="0"/>
                    <w:autoSpaceDN w:val="0"/>
                    <w:adjustRightInd w:val="0"/>
                    <w:snapToGrid w:val="0"/>
                    <w:jc w:val="center"/>
                    <w:rPr>
                      <w:color w:val="auto"/>
                      <w:szCs w:val="21"/>
                    </w:rPr>
                  </w:pPr>
                  <w:r>
                    <w:rPr>
                      <w:color w:val="auto"/>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085" w:type="pct"/>
                  <w:vAlign w:val="center"/>
                </w:tcPr>
                <w:p>
                  <w:pPr>
                    <w:autoSpaceDE w:val="0"/>
                    <w:autoSpaceDN w:val="0"/>
                    <w:adjustRightInd w:val="0"/>
                    <w:snapToGrid w:val="0"/>
                    <w:rPr>
                      <w:color w:val="auto"/>
                      <w:szCs w:val="21"/>
                    </w:rPr>
                  </w:pPr>
                  <w:r>
                    <w:rPr>
                      <w:rFonts w:hint="eastAsia"/>
                      <w:color w:val="auto"/>
                      <w:szCs w:val="21"/>
                    </w:rPr>
                    <w:t>依据《</w:t>
                  </w:r>
                  <w:r>
                    <w:rPr>
                      <w:color w:val="auto"/>
                      <w:szCs w:val="21"/>
                    </w:rPr>
                    <w:t>202</w:t>
                  </w:r>
                  <w:r>
                    <w:rPr>
                      <w:rFonts w:hint="eastAsia"/>
                      <w:color w:val="auto"/>
                      <w:szCs w:val="21"/>
                    </w:rPr>
                    <w:t>1</w:t>
                  </w:r>
                  <w:r>
                    <w:rPr>
                      <w:color w:val="auto"/>
                      <w:szCs w:val="21"/>
                    </w:rPr>
                    <w:t>年度淮北市生态环境状况公报</w:t>
                  </w:r>
                  <w:r>
                    <w:rPr>
                      <w:rFonts w:hint="eastAsia"/>
                      <w:color w:val="auto"/>
                      <w:szCs w:val="21"/>
                    </w:rPr>
                    <w:t>》</w:t>
                  </w:r>
                  <w:r>
                    <w:rPr>
                      <w:color w:val="auto"/>
                      <w:szCs w:val="21"/>
                    </w:rPr>
                    <w:t>可知</w:t>
                  </w:r>
                  <w:r>
                    <w:rPr>
                      <w:rFonts w:hint="eastAsia"/>
                      <w:color w:val="auto"/>
                      <w:szCs w:val="21"/>
                    </w:rPr>
                    <w:t>项目区域内大气环境、地表水环境和声环境质量状况如下</w:t>
                  </w:r>
                  <w:r>
                    <w:rPr>
                      <w:color w:val="auto"/>
                      <w:szCs w:val="21"/>
                    </w:rPr>
                    <w:t>：项目评价区域的</w:t>
                  </w:r>
                  <w:r>
                    <w:rPr>
                      <w:rFonts w:hint="eastAsia"/>
                      <w:color w:val="auto"/>
                      <w:szCs w:val="21"/>
                    </w:rPr>
                    <w:t>PM</w:t>
                  </w:r>
                  <w:r>
                    <w:rPr>
                      <w:rFonts w:hint="eastAsia"/>
                      <w:color w:val="auto"/>
                      <w:szCs w:val="21"/>
                      <w:vertAlign w:val="subscript"/>
                    </w:rPr>
                    <w:t>2.5</w:t>
                  </w:r>
                  <w:r>
                    <w:rPr>
                      <w:rFonts w:hint="eastAsia"/>
                      <w:color w:val="auto"/>
                      <w:szCs w:val="21"/>
                    </w:rPr>
                    <w:t>、PM</w:t>
                  </w:r>
                  <w:r>
                    <w:rPr>
                      <w:rFonts w:hint="eastAsia"/>
                      <w:color w:val="auto"/>
                      <w:szCs w:val="21"/>
                      <w:vertAlign w:val="subscript"/>
                    </w:rPr>
                    <w:t>10</w:t>
                  </w:r>
                  <w:r>
                    <w:rPr>
                      <w:rFonts w:hint="eastAsia"/>
                      <w:color w:val="auto"/>
                      <w:szCs w:val="21"/>
                    </w:rPr>
                    <w:t>和O</w:t>
                  </w:r>
                  <w:r>
                    <w:rPr>
                      <w:rFonts w:hint="eastAsia"/>
                      <w:color w:val="auto"/>
                      <w:szCs w:val="21"/>
                      <w:vertAlign w:val="subscript"/>
                    </w:rPr>
                    <w:t>3</w:t>
                  </w:r>
                  <w:r>
                    <w:rPr>
                      <w:rFonts w:hint="eastAsia"/>
                      <w:color w:val="auto"/>
                      <w:szCs w:val="21"/>
                    </w:rPr>
                    <w:t>年平均质量浓度均不</w:t>
                  </w:r>
                  <w:r>
                    <w:rPr>
                      <w:color w:val="auto"/>
                      <w:szCs w:val="21"/>
                    </w:rPr>
                    <w:t>满足《环境空气质量标准》</w:t>
                  </w:r>
                  <w:r>
                    <w:rPr>
                      <w:rFonts w:hint="eastAsia"/>
                      <w:color w:val="auto"/>
                      <w:szCs w:val="21"/>
                    </w:rPr>
                    <w:t>（GB3096-2012）</w:t>
                  </w:r>
                  <w:r>
                    <w:rPr>
                      <w:color w:val="auto"/>
                      <w:szCs w:val="21"/>
                    </w:rPr>
                    <w:t>二级标准</w:t>
                  </w:r>
                  <w:r>
                    <w:rPr>
                      <w:rFonts w:hint="eastAsia"/>
                      <w:color w:val="auto"/>
                      <w:szCs w:val="21"/>
                    </w:rPr>
                    <w:t>级修改单</w:t>
                  </w:r>
                  <w:r>
                    <w:rPr>
                      <w:color w:val="auto"/>
                      <w:szCs w:val="21"/>
                    </w:rPr>
                    <w:t>要求；</w:t>
                  </w:r>
                  <w:r>
                    <w:rPr>
                      <w:rFonts w:hint="eastAsia"/>
                      <w:color w:val="auto"/>
                      <w:szCs w:val="21"/>
                    </w:rPr>
                    <w:t>本项目排放的废气经过各环保设施处理后均能够稳定达标排放，对周围空气质量影响较小；本项目生活污水经化粪池处理达到《污水综合排放标准》（GB8978-96）表4中三级标准及龙湖污水处理厂接管标准后经开发区污水管网排入龙湖污水处理厂处理，项目的实施不会降低现有环境功能等级</w:t>
                  </w:r>
                  <w:r>
                    <w:rPr>
                      <w:rFonts w:hint="eastAsia"/>
                      <w:color w:val="auto"/>
                      <w:szCs w:val="21"/>
                      <w:lang w:eastAsia="zh-CN"/>
                    </w:rPr>
                    <w:t>；</w:t>
                  </w:r>
                  <w:r>
                    <w:rPr>
                      <w:rFonts w:hint="eastAsia"/>
                      <w:color w:val="auto"/>
                      <w:szCs w:val="21"/>
                    </w:rPr>
                    <w:t>建设单位对高噪声设备采取一定的措施，投产后厂界噪声能够达到《工业企业厂界环境噪声排放标准》（GB12348-2008）中的3类标准限制要求；项目产生的固体废物均能够等得到合理处置。因此，拟建项目的建设运营不会突破区域环境质量底线。</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 w:type="pct"/>
                  <w:vAlign w:val="center"/>
                </w:tcPr>
                <w:p>
                  <w:pPr>
                    <w:autoSpaceDE w:val="0"/>
                    <w:autoSpaceDN w:val="0"/>
                    <w:adjustRightInd w:val="0"/>
                    <w:snapToGrid w:val="0"/>
                    <w:jc w:val="center"/>
                    <w:rPr>
                      <w:color w:val="auto"/>
                      <w:szCs w:val="21"/>
                    </w:rPr>
                  </w:pPr>
                  <w:r>
                    <w:rPr>
                      <w:color w:val="auto"/>
                      <w:szCs w:val="21"/>
                    </w:rPr>
                    <w:t>生态环境准入清单</w:t>
                  </w:r>
                </w:p>
              </w:tc>
              <w:tc>
                <w:tcPr>
                  <w:tcW w:w="2584" w:type="pct"/>
                  <w:vAlign w:val="center"/>
                </w:tcPr>
                <w:p>
                  <w:pPr>
                    <w:autoSpaceDE w:val="0"/>
                    <w:autoSpaceDN w:val="0"/>
                    <w:adjustRightInd w:val="0"/>
                    <w:snapToGrid w:val="0"/>
                    <w:rPr>
                      <w:color w:val="auto"/>
                      <w:szCs w:val="21"/>
                    </w:rPr>
                  </w:pPr>
                  <w:r>
                    <w:rPr>
                      <w:color w:val="auto"/>
                      <w:szCs w:val="21"/>
                    </w:rPr>
                    <w:t>生态环境准入清单是在梳理现行适用法律法规、政策文件，衔接相关规划计划、管理要求的基础上，结合自然资源禀赋、环境承载能力、现有环境问题、环境质量改善目标等，编制的以清单方式突出区域差别环境准入。安徽省将全省划分为1002个环境管控单元，建立了“1+5+16+N”的四级生态环境准入清单。针对细化后的环境管控单元，从空间布局约束、污染物排放管控、环境风险防控和资源利用效率要求等方面，制定差异化的生态环境准入清单。</w:t>
                  </w:r>
                </w:p>
              </w:tc>
              <w:tc>
                <w:tcPr>
                  <w:tcW w:w="2085" w:type="pct"/>
                  <w:vAlign w:val="center"/>
                </w:tcPr>
                <w:p>
                  <w:pPr>
                    <w:pStyle w:val="24"/>
                    <w:ind w:firstLine="0"/>
                    <w:jc w:val="both"/>
                    <w:rPr>
                      <w:rFonts w:ascii="Times New Roman" w:cs="Times New Roman"/>
                      <w:color w:val="auto"/>
                      <w:kern w:val="2"/>
                      <w:sz w:val="21"/>
                      <w:szCs w:val="21"/>
                    </w:rPr>
                  </w:pPr>
                  <w:r>
                    <w:rPr>
                      <w:rFonts w:ascii="Times New Roman" w:cs="Times New Roman"/>
                      <w:color w:val="auto"/>
                      <w:kern w:val="2"/>
                      <w:sz w:val="21"/>
                      <w:szCs w:val="21"/>
                    </w:rPr>
                    <w:t>根据杜集经济开发区规划要求，本项目属于</w:t>
                  </w:r>
                  <w:r>
                    <w:rPr>
                      <w:rFonts w:hint="eastAsia" w:ascii="Times New Roman" w:cs="Times New Roman"/>
                      <w:color w:val="auto"/>
                      <w:kern w:val="2"/>
                      <w:sz w:val="21"/>
                      <w:szCs w:val="21"/>
                      <w:lang w:val="en-US" w:eastAsia="zh-CN"/>
                    </w:rPr>
                    <w:t>开发区允许进入类项目</w:t>
                  </w:r>
                  <w:r>
                    <w:rPr>
                      <w:rFonts w:hint="eastAsia" w:ascii="Times New Roman" w:cs="Times New Roman"/>
                      <w:color w:val="auto"/>
                      <w:kern w:val="2"/>
                      <w:sz w:val="21"/>
                      <w:szCs w:val="21"/>
                    </w:rPr>
                    <w:t>；</w:t>
                  </w:r>
                  <w:r>
                    <w:rPr>
                      <w:rFonts w:ascii="Times New Roman" w:cs="Times New Roman"/>
                      <w:color w:val="auto"/>
                      <w:sz w:val="21"/>
                      <w:szCs w:val="21"/>
                    </w:rPr>
                    <w:t>对照国家发展改革委、商务部《市场准入负面清单》（202</w:t>
                  </w:r>
                  <w:r>
                    <w:rPr>
                      <w:rFonts w:hint="eastAsia" w:ascii="Times New Roman" w:cs="Times New Roman"/>
                      <w:color w:val="auto"/>
                      <w:sz w:val="21"/>
                      <w:szCs w:val="21"/>
                    </w:rPr>
                    <w:t>2</w:t>
                  </w:r>
                  <w:r>
                    <w:rPr>
                      <w:rFonts w:ascii="Times New Roman" w:cs="Times New Roman"/>
                      <w:color w:val="auto"/>
                      <w:sz w:val="21"/>
                      <w:szCs w:val="21"/>
                    </w:rPr>
                    <w:t xml:space="preserve"> 年版），本项目不属于负面清单之列</w:t>
                  </w:r>
                  <w:r>
                    <w:rPr>
                      <w:rFonts w:hint="eastAsia" w:ascii="Times New Roman" w:cs="Times New Roman"/>
                      <w:color w:val="auto"/>
                      <w:sz w:val="21"/>
                      <w:szCs w:val="21"/>
                    </w:rPr>
                    <w:t>；对照《淮北市“三线一单”生态环境准入清单》，</w:t>
                  </w:r>
                  <w:r>
                    <w:rPr>
                      <w:rFonts w:ascii="Times New Roman" w:cs="Times New Roman"/>
                      <w:color w:val="auto"/>
                      <w:sz w:val="21"/>
                      <w:szCs w:val="21"/>
                    </w:rPr>
                    <w:t>本项目不属于</w:t>
                  </w:r>
                  <w:r>
                    <w:rPr>
                      <w:rFonts w:hint="eastAsia" w:ascii="Times New Roman" w:cs="Times New Roman"/>
                      <w:color w:val="auto"/>
                      <w:sz w:val="21"/>
                      <w:szCs w:val="21"/>
                    </w:rPr>
                    <w:t>准入清单中禁止及限制项目。</w:t>
                  </w:r>
                  <w:r>
                    <w:rPr>
                      <w:rStyle w:val="41"/>
                      <w:rFonts w:hint="eastAsia" w:ascii="Times New Roman" w:cs="Times New Roman"/>
                      <w:color w:val="auto"/>
                      <w:szCs w:val="20"/>
                    </w:rPr>
                    <w:t>综上本项目</w:t>
                  </w:r>
                  <w:r>
                    <w:rPr>
                      <w:rStyle w:val="41"/>
                      <w:rFonts w:ascii="Times New Roman" w:cs="Times New Roman"/>
                      <w:color w:val="auto"/>
                      <w:szCs w:val="20"/>
                    </w:rPr>
                    <w:t>与生态环境准入清单不冲突。</w:t>
                  </w:r>
                </w:p>
              </w:tc>
            </w:tr>
          </w:tbl>
          <w:p>
            <w:pPr>
              <w:spacing w:line="360" w:lineRule="auto"/>
              <w:ind w:firstLine="480" w:firstLineChars="200"/>
              <w:rPr>
                <w:color w:val="auto"/>
                <w:sz w:val="24"/>
                <w:szCs w:val="24"/>
              </w:rPr>
            </w:pPr>
            <w:r>
              <w:rPr>
                <w:color w:val="auto"/>
                <w:sz w:val="24"/>
                <w:szCs w:val="24"/>
              </w:rPr>
              <w:t>《安徽省生态环境厅关于印发安徽省“三线一单”生态环境分区管控管理办法（暂行）的通知》，对于重点管控单元，突出污染物排放控制和环境风险防控，以守住环境质量底线、积极发展社会经济为导向，强化环境质量改善目标约束。淮北市“三线一单”对于重点管控单元，着重从现有源排放削减、新增源等量或倍量替代、排放标准加严、区域污染联防联控或污染物允许排放量等方面提出污染物排放管控要求；从土地用途管控、环境基础设施布局优化、环境事故风险防控、有毒有害污染物和易燃易爆物质环境风险防控等方面提出环境风险防控要求；从水资源开发利用效率、地下水开采禁止或者限制要求，土地资源集约利用要求，能源利用效率、禁燃区要求等方面提出资源开发效率要求，并提出相关基础设施建设和管理的要求。</w:t>
            </w:r>
          </w:p>
          <w:p>
            <w:pPr>
              <w:spacing w:line="360" w:lineRule="auto"/>
              <w:ind w:firstLine="480" w:firstLineChars="200"/>
              <w:rPr>
                <w:color w:val="auto"/>
                <w:sz w:val="24"/>
                <w:szCs w:val="24"/>
              </w:rPr>
            </w:pPr>
            <w:r>
              <w:rPr>
                <w:color w:val="auto"/>
                <w:sz w:val="24"/>
                <w:szCs w:val="24"/>
              </w:rPr>
              <w:t>本项目所在</w:t>
            </w:r>
            <w:r>
              <w:rPr>
                <w:rFonts w:hint="eastAsia"/>
                <w:color w:val="auto"/>
                <w:sz w:val="24"/>
                <w:szCs w:val="24"/>
              </w:rPr>
              <w:t>地</w:t>
            </w:r>
            <w:r>
              <w:rPr>
                <w:color w:val="auto"/>
                <w:sz w:val="24"/>
                <w:szCs w:val="24"/>
              </w:rPr>
              <w:t>为淮北</w:t>
            </w:r>
            <w:r>
              <w:rPr>
                <w:rFonts w:hint="eastAsia"/>
                <w:color w:val="auto"/>
                <w:sz w:val="24"/>
                <w:szCs w:val="24"/>
              </w:rPr>
              <w:t>杜集经济开发区内</w:t>
            </w:r>
            <w:r>
              <w:rPr>
                <w:color w:val="auto"/>
                <w:sz w:val="24"/>
                <w:szCs w:val="24"/>
              </w:rPr>
              <w:t>，属于重点管控单元--淮北市大气环境重点管控区--高排放重点管控区。</w:t>
            </w:r>
            <w:r>
              <w:rPr>
                <w:rFonts w:hint="eastAsia"/>
                <w:color w:val="auto"/>
                <w:sz w:val="24"/>
                <w:szCs w:val="24"/>
              </w:rPr>
              <w:t>本项目下料、焊接、</w:t>
            </w:r>
            <w:r>
              <w:rPr>
                <w:rFonts w:hint="eastAsia"/>
                <w:color w:val="auto"/>
                <w:sz w:val="24"/>
                <w:szCs w:val="24"/>
                <w:lang w:eastAsia="zh-CN"/>
              </w:rPr>
              <w:t>抛丸</w:t>
            </w:r>
            <w:r>
              <w:rPr>
                <w:rFonts w:hint="eastAsia"/>
                <w:color w:val="auto"/>
                <w:sz w:val="24"/>
                <w:szCs w:val="24"/>
              </w:rPr>
              <w:t>工序产生的粉尘经布袋除尘器处理后通过不低于15米高排气筒排放</w:t>
            </w:r>
            <w:r>
              <w:rPr>
                <w:rFonts w:hint="eastAsia" w:cs="Times New Roman"/>
                <w:color w:val="auto"/>
                <w:sz w:val="24"/>
                <w:szCs w:val="24"/>
                <w:lang w:eastAsia="zh-CN"/>
              </w:rPr>
              <w:t>；</w:t>
            </w:r>
            <w:r>
              <w:rPr>
                <w:rFonts w:hint="eastAsia"/>
                <w:color w:val="auto"/>
                <w:sz w:val="24"/>
                <w:szCs w:val="24"/>
              </w:rPr>
              <w:t>喷漆和晾干产生的废气采用过滤棉+二级活性炭（活性炭纤维+活性炭颗粒）吸附工艺处理</w:t>
            </w:r>
            <w:r>
              <w:rPr>
                <w:color w:val="auto"/>
                <w:sz w:val="24"/>
                <w:szCs w:val="24"/>
              </w:rPr>
              <w:t>后</w:t>
            </w:r>
            <w:r>
              <w:rPr>
                <w:rFonts w:hint="eastAsia"/>
                <w:color w:val="auto"/>
                <w:sz w:val="24"/>
                <w:szCs w:val="24"/>
              </w:rPr>
              <w:t>经</w:t>
            </w:r>
            <w:r>
              <w:rPr>
                <w:color w:val="auto"/>
                <w:sz w:val="24"/>
                <w:szCs w:val="24"/>
              </w:rPr>
              <w:t>不低于15米高排气筒</w:t>
            </w:r>
            <w:r>
              <w:rPr>
                <w:rFonts w:hint="default" w:ascii="Times New Roman" w:hAnsi="Times New Roman" w:cs="Times New Roman"/>
                <w:color w:val="auto"/>
                <w:sz w:val="24"/>
                <w:szCs w:val="24"/>
              </w:rPr>
              <w:t>（DA00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r>
              <w:rPr>
                <w:color w:val="auto"/>
                <w:sz w:val="24"/>
                <w:szCs w:val="24"/>
              </w:rPr>
              <w:t>排放</w:t>
            </w:r>
            <w:r>
              <w:rPr>
                <w:rFonts w:hint="eastAsia"/>
                <w:color w:val="auto"/>
                <w:sz w:val="24"/>
                <w:szCs w:val="24"/>
              </w:rPr>
              <w:t>。</w:t>
            </w:r>
            <w:r>
              <w:rPr>
                <w:color w:val="auto"/>
                <w:sz w:val="24"/>
                <w:szCs w:val="24"/>
              </w:rPr>
              <w:t>固废物</w:t>
            </w:r>
            <w:r>
              <w:rPr>
                <w:rFonts w:hint="eastAsia"/>
                <w:color w:val="auto"/>
                <w:sz w:val="24"/>
                <w:szCs w:val="24"/>
              </w:rPr>
              <w:t>也</w:t>
            </w:r>
            <w:r>
              <w:rPr>
                <w:color w:val="auto"/>
                <w:sz w:val="24"/>
                <w:szCs w:val="24"/>
              </w:rPr>
              <w:t>得到合理处理处置，项目建设符合《</w:t>
            </w:r>
            <w:r>
              <w:rPr>
                <w:rFonts w:hint="eastAsia"/>
                <w:color w:val="auto"/>
                <w:sz w:val="24"/>
                <w:szCs w:val="24"/>
                <w:lang w:val="en-US" w:eastAsia="zh-CN"/>
              </w:rPr>
              <w:t>安</w:t>
            </w:r>
            <w:r>
              <w:rPr>
                <w:color w:val="auto"/>
                <w:sz w:val="24"/>
                <w:szCs w:val="24"/>
              </w:rPr>
              <w:t>徽省生态环境厅关于印发安徽省“三线一单”生态环境分区管控管理办法（暂行）的通知》要求。</w:t>
            </w:r>
          </w:p>
          <w:p>
            <w:pPr>
              <w:spacing w:line="360" w:lineRule="auto"/>
              <w:ind w:firstLine="480" w:firstLineChars="200"/>
              <w:rPr>
                <w:rFonts w:hint="eastAsia"/>
                <w:color w:val="auto"/>
                <w:sz w:val="24"/>
                <w:szCs w:val="24"/>
              </w:rPr>
            </w:pPr>
            <w:r>
              <w:rPr>
                <w:rFonts w:hint="eastAsia"/>
                <w:color w:val="auto"/>
                <w:sz w:val="24"/>
                <w:szCs w:val="24"/>
              </w:rPr>
              <w:t>综上，本项目建设符合“三线一单”及分区管控的相关要求。</w:t>
            </w:r>
          </w:p>
          <w:p>
            <w:pPr>
              <w:pStyle w:val="2"/>
              <w:spacing w:line="360" w:lineRule="auto"/>
              <w:rPr>
                <w:rFonts w:hint="default" w:eastAsia="宋体"/>
                <w:color w:val="auto"/>
                <w:lang w:val="en-US" w:eastAsia="zh-CN"/>
              </w:rPr>
            </w:pPr>
            <w:r>
              <w:rPr>
                <w:rFonts w:hint="eastAsia"/>
                <w:color w:val="auto"/>
                <w:sz w:val="24"/>
                <w:szCs w:val="24"/>
                <w:lang w:val="en-US" w:eastAsia="zh-CN"/>
              </w:rPr>
              <w:t>本项目与生态红线的关系见附图4，淮北市环境管控单元见附图5。</w:t>
            </w:r>
          </w:p>
          <w:p>
            <w:pPr>
              <w:autoSpaceDE w:val="0"/>
              <w:autoSpaceDN w:val="0"/>
              <w:adjustRightInd w:val="0"/>
              <w:spacing w:line="360" w:lineRule="auto"/>
              <w:rPr>
                <w:b/>
                <w:bCs/>
                <w:color w:val="auto"/>
                <w:kern w:val="0"/>
                <w:sz w:val="24"/>
                <w:szCs w:val="24"/>
              </w:rPr>
            </w:pPr>
            <w:r>
              <w:rPr>
                <w:rFonts w:hint="eastAsia"/>
                <w:b/>
                <w:bCs/>
                <w:color w:val="auto"/>
                <w:kern w:val="0"/>
                <w:sz w:val="24"/>
                <w:szCs w:val="24"/>
              </w:rPr>
              <w:t>5、相关产业政策符合性分析</w:t>
            </w:r>
          </w:p>
          <w:p>
            <w:pPr>
              <w:spacing w:line="360" w:lineRule="auto"/>
              <w:ind w:firstLine="482" w:firstLineChars="200"/>
              <w:rPr>
                <w:b/>
                <w:bCs/>
                <w:color w:val="auto"/>
                <w:kern w:val="0"/>
                <w:sz w:val="24"/>
                <w:szCs w:val="24"/>
              </w:rPr>
            </w:pPr>
            <w:r>
              <w:rPr>
                <w:rFonts w:hint="eastAsia"/>
                <w:b/>
                <w:bCs/>
                <w:color w:val="auto"/>
                <w:kern w:val="0"/>
                <w:sz w:val="24"/>
                <w:szCs w:val="24"/>
              </w:rPr>
              <w:t>（1）</w:t>
            </w:r>
            <w:r>
              <w:rPr>
                <w:b/>
                <w:bCs/>
                <w:color w:val="auto"/>
                <w:kern w:val="0"/>
                <w:sz w:val="24"/>
                <w:szCs w:val="24"/>
              </w:rPr>
              <w:t>与《安徽省挥发性有机物污染整治工作方案》相符性分析</w:t>
            </w:r>
          </w:p>
          <w:p>
            <w:pPr>
              <w:spacing w:line="360" w:lineRule="auto"/>
              <w:ind w:firstLine="480" w:firstLineChars="200"/>
              <w:rPr>
                <w:color w:val="auto"/>
                <w:sz w:val="24"/>
                <w:szCs w:val="24"/>
              </w:rPr>
            </w:pPr>
            <w:r>
              <w:rPr>
                <w:rFonts w:hint="eastAsia"/>
                <w:color w:val="auto"/>
                <w:sz w:val="24"/>
                <w:szCs w:val="24"/>
              </w:rPr>
              <w:t>本项目</w:t>
            </w:r>
            <w:r>
              <w:rPr>
                <w:color w:val="auto"/>
                <w:sz w:val="24"/>
                <w:szCs w:val="24"/>
              </w:rPr>
              <w:t>与《安徽省挥发性有机物污染整治工作方案》相符性分析见下表1-5。</w:t>
            </w:r>
          </w:p>
          <w:p>
            <w:pPr>
              <w:spacing w:line="360" w:lineRule="auto"/>
              <w:ind w:firstLine="482" w:firstLineChars="200"/>
              <w:jc w:val="center"/>
              <w:rPr>
                <w:b/>
                <w:color w:val="auto"/>
                <w:sz w:val="24"/>
                <w:szCs w:val="24"/>
              </w:rPr>
            </w:pPr>
            <w:r>
              <w:rPr>
                <w:b/>
                <w:color w:val="auto"/>
                <w:sz w:val="24"/>
                <w:szCs w:val="24"/>
              </w:rPr>
              <w:t>表1-5 与《安徽省挥发性有机物污染整治工作方案》相符性分析</w:t>
            </w:r>
          </w:p>
          <w:tbl>
            <w:tblPr>
              <w:tblStyle w:val="34"/>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371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85" w:type="dxa"/>
                  <w:vAlign w:val="center"/>
                </w:tcPr>
                <w:p>
                  <w:pPr>
                    <w:adjustRightInd w:val="0"/>
                    <w:snapToGrid w:val="0"/>
                    <w:jc w:val="center"/>
                    <w:rPr>
                      <w:b/>
                      <w:color w:val="auto"/>
                      <w:szCs w:val="21"/>
                    </w:rPr>
                  </w:pPr>
                  <w:r>
                    <w:rPr>
                      <w:b/>
                      <w:color w:val="auto"/>
                      <w:szCs w:val="21"/>
                    </w:rPr>
                    <w:t>安徽省挥发性有机物污染整治工作方案</w:t>
                  </w:r>
                </w:p>
              </w:tc>
              <w:tc>
                <w:tcPr>
                  <w:tcW w:w="3710" w:type="dxa"/>
                  <w:vAlign w:val="center"/>
                </w:tcPr>
                <w:p>
                  <w:pPr>
                    <w:adjustRightInd w:val="0"/>
                    <w:snapToGrid w:val="0"/>
                    <w:jc w:val="center"/>
                    <w:rPr>
                      <w:b/>
                      <w:color w:val="auto"/>
                      <w:szCs w:val="21"/>
                    </w:rPr>
                  </w:pPr>
                  <w:r>
                    <w:rPr>
                      <w:b/>
                      <w:color w:val="auto"/>
                      <w:szCs w:val="21"/>
                    </w:rPr>
                    <w:t>本项目情况</w:t>
                  </w:r>
                </w:p>
              </w:tc>
              <w:tc>
                <w:tcPr>
                  <w:tcW w:w="850" w:type="dxa"/>
                  <w:vAlign w:val="center"/>
                </w:tcPr>
                <w:p>
                  <w:pPr>
                    <w:adjustRightInd w:val="0"/>
                    <w:snapToGrid w:val="0"/>
                    <w:jc w:val="center"/>
                    <w:rPr>
                      <w:b/>
                      <w:color w:val="auto"/>
                      <w:szCs w:val="21"/>
                    </w:rPr>
                  </w:pPr>
                  <w:r>
                    <w:rPr>
                      <w:b/>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85" w:type="dxa"/>
                  <w:vAlign w:val="center"/>
                </w:tcPr>
                <w:p>
                  <w:pPr>
                    <w:autoSpaceDE w:val="0"/>
                    <w:autoSpaceDN w:val="0"/>
                    <w:adjustRightInd w:val="0"/>
                    <w:snapToGrid w:val="0"/>
                    <w:rPr>
                      <w:color w:val="auto"/>
                      <w:szCs w:val="21"/>
                    </w:rPr>
                  </w:pPr>
                  <w:r>
                    <w:rPr>
                      <w:color w:val="auto"/>
                      <w:szCs w:val="21"/>
                    </w:rPr>
                    <w:t>六、具体措施</w:t>
                  </w:r>
                </w:p>
                <w:p>
                  <w:pPr>
                    <w:autoSpaceDE w:val="0"/>
                    <w:autoSpaceDN w:val="0"/>
                    <w:adjustRightInd w:val="0"/>
                    <w:snapToGrid w:val="0"/>
                    <w:jc w:val="left"/>
                    <w:rPr>
                      <w:color w:val="auto"/>
                      <w:szCs w:val="21"/>
                    </w:rPr>
                  </w:pPr>
                  <w:r>
                    <w:rPr>
                      <w:color w:val="auto"/>
                      <w:szCs w:val="21"/>
                    </w:rPr>
                    <w:t>（一）优化产业布局。.....在城市建成区、自然保护区、水源保护区、风景名胜区、森林公园、重要湿地、生态敏感区和其他重要生态功能区实行强制性保护，禁止新建VOCs高污染企业。</w:t>
                  </w:r>
                </w:p>
              </w:tc>
              <w:tc>
                <w:tcPr>
                  <w:tcW w:w="3710" w:type="dxa"/>
                  <w:vAlign w:val="center"/>
                </w:tcPr>
                <w:p>
                  <w:pPr>
                    <w:autoSpaceDE w:val="0"/>
                    <w:autoSpaceDN w:val="0"/>
                    <w:adjustRightInd w:val="0"/>
                    <w:snapToGrid w:val="0"/>
                    <w:jc w:val="left"/>
                    <w:rPr>
                      <w:color w:val="auto"/>
                      <w:szCs w:val="21"/>
                    </w:rPr>
                  </w:pPr>
                  <w:r>
                    <w:rPr>
                      <w:color w:val="auto"/>
                      <w:szCs w:val="21"/>
                    </w:rPr>
                    <w:t>本项目位于</w:t>
                  </w:r>
                  <w:r>
                    <w:rPr>
                      <w:rFonts w:hint="eastAsia"/>
                      <w:color w:val="auto"/>
                      <w:szCs w:val="21"/>
                    </w:rPr>
                    <w:t>安徽省淮北市杜集经济开发区</w:t>
                  </w:r>
                  <w:r>
                    <w:rPr>
                      <w:color w:val="auto"/>
                      <w:szCs w:val="21"/>
                    </w:rPr>
                    <w:t>内</w:t>
                  </w:r>
                  <w:r>
                    <w:rPr>
                      <w:rFonts w:hint="eastAsia"/>
                      <w:color w:val="auto"/>
                      <w:szCs w:val="21"/>
                    </w:rPr>
                    <w:t>，</w:t>
                  </w:r>
                  <w:r>
                    <w:rPr>
                      <w:color w:val="auto"/>
                      <w:szCs w:val="21"/>
                    </w:rPr>
                    <w:t>不属于VOCs高污染企业。</w:t>
                  </w:r>
                </w:p>
              </w:tc>
              <w:tc>
                <w:tcPr>
                  <w:tcW w:w="850" w:type="dxa"/>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85" w:type="dxa"/>
                  <w:vAlign w:val="center"/>
                </w:tcPr>
                <w:p>
                  <w:pPr>
                    <w:autoSpaceDE w:val="0"/>
                    <w:autoSpaceDN w:val="0"/>
                    <w:adjustRightInd w:val="0"/>
                    <w:snapToGrid w:val="0"/>
                    <w:rPr>
                      <w:color w:val="auto"/>
                      <w:szCs w:val="21"/>
                    </w:rPr>
                  </w:pPr>
                  <w:r>
                    <w:rPr>
                      <w:color w:val="auto"/>
                      <w:szCs w:val="21"/>
                    </w:rPr>
                    <w:t>3.严格建设项目准入。.....新建、建设VOCs排放量大的企业应入工业园区并符合规划要求，必须建设挥发性有机物污染治理设施，安装废气收集、回收或净化装置，原则上总净化效率不得低于90%。建立VOCs排放总量控制制度。重点行业建设项目报批环评文件时应附VOCs等量替代的来源说明，并落实相应的有机废气治理措施。</w:t>
                  </w:r>
                </w:p>
              </w:tc>
              <w:tc>
                <w:tcPr>
                  <w:tcW w:w="3710" w:type="dxa"/>
                  <w:vAlign w:val="center"/>
                </w:tcPr>
                <w:p>
                  <w:pPr>
                    <w:autoSpaceDE w:val="0"/>
                    <w:autoSpaceDN w:val="0"/>
                    <w:adjustRightInd w:val="0"/>
                    <w:snapToGrid w:val="0"/>
                    <w:rPr>
                      <w:color w:val="auto"/>
                      <w:szCs w:val="21"/>
                    </w:rPr>
                  </w:pPr>
                  <w:r>
                    <w:rPr>
                      <w:color w:val="auto"/>
                      <w:szCs w:val="21"/>
                    </w:rPr>
                    <w:t>本项目位于</w:t>
                  </w:r>
                  <w:r>
                    <w:rPr>
                      <w:rFonts w:hint="eastAsia"/>
                      <w:color w:val="auto"/>
                      <w:szCs w:val="21"/>
                    </w:rPr>
                    <w:t>安徽省淮北市杜集经济开发区</w:t>
                  </w:r>
                  <w:r>
                    <w:rPr>
                      <w:color w:val="auto"/>
                      <w:szCs w:val="21"/>
                    </w:rPr>
                    <w:t>内，</w:t>
                  </w:r>
                  <w:r>
                    <w:rPr>
                      <w:rFonts w:hint="eastAsia"/>
                      <w:color w:val="auto"/>
                      <w:szCs w:val="21"/>
                    </w:rPr>
                    <w:t>不属于VOCs排放量大的企业。环评要求</w:t>
                  </w:r>
                  <w:r>
                    <w:rPr>
                      <w:color w:val="auto"/>
                      <w:szCs w:val="21"/>
                    </w:rPr>
                    <w:t>建设挥发性有机物污染治理设施，安装废气收集、净化</w:t>
                  </w:r>
                  <w:r>
                    <w:rPr>
                      <w:rFonts w:hint="eastAsia"/>
                      <w:color w:val="auto"/>
                      <w:szCs w:val="21"/>
                    </w:rPr>
                    <w:t>处理</w:t>
                  </w:r>
                  <w:r>
                    <w:rPr>
                      <w:color w:val="auto"/>
                      <w:szCs w:val="21"/>
                    </w:rPr>
                    <w:t>装置，</w:t>
                  </w:r>
                  <w:r>
                    <w:rPr>
                      <w:rFonts w:hint="eastAsia"/>
                      <w:color w:val="auto"/>
                      <w:szCs w:val="21"/>
                    </w:rPr>
                    <w:t>要求</w:t>
                  </w:r>
                  <w:r>
                    <w:rPr>
                      <w:color w:val="auto"/>
                      <w:szCs w:val="21"/>
                    </w:rPr>
                    <w:t>总净化效率不得低于90%</w:t>
                  </w:r>
                  <w:r>
                    <w:rPr>
                      <w:rFonts w:hint="eastAsia"/>
                      <w:color w:val="auto"/>
                      <w:szCs w:val="21"/>
                    </w:rPr>
                    <w:t>，申请总量控制指标。</w:t>
                  </w:r>
                </w:p>
              </w:tc>
              <w:tc>
                <w:tcPr>
                  <w:tcW w:w="850" w:type="dxa"/>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85" w:type="dxa"/>
                  <w:vAlign w:val="center"/>
                </w:tcPr>
                <w:p>
                  <w:pPr>
                    <w:autoSpaceDE w:val="0"/>
                    <w:autoSpaceDN w:val="0"/>
                    <w:adjustRightInd w:val="0"/>
                    <w:snapToGrid w:val="0"/>
                    <w:jc w:val="left"/>
                    <w:rPr>
                      <w:color w:val="auto"/>
                      <w:szCs w:val="21"/>
                    </w:rPr>
                  </w:pPr>
                  <w:r>
                    <w:rPr>
                      <w:color w:val="auto"/>
                      <w:szCs w:val="21"/>
                    </w:rPr>
                    <w:t>（四）强化污染治理。严格按照《挥发性有机物（VOCs）污染防治技术政策》要求，科学制定重点行业、重点企业污染防治技术方案。采用密闭式生产和环保型原辅材料、生产工艺和装备，着力从源头控制VOCs废气的产生和无组织排放。加大VOCs废气的回收利用，优先在生产系统内回用。对浓度和性状差异大的废气应根据废气的产生量、污染物的组分和性质、浓度、温度、压力等因素进行综合分析，合理选择废气回收或末端治理工艺路线，科学治理，达标排放。要妥善处置次生污染物，防范二次污染。要加强基础工作。</w:t>
                  </w:r>
                </w:p>
              </w:tc>
              <w:tc>
                <w:tcPr>
                  <w:tcW w:w="3710" w:type="dxa"/>
                  <w:vAlign w:val="center"/>
                </w:tcPr>
                <w:p>
                  <w:pPr>
                    <w:pStyle w:val="2"/>
                    <w:spacing w:line="240" w:lineRule="auto"/>
                    <w:ind w:left="0" w:leftChars="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根据本项目使用的酸醇调和漆的的成分检测报告，本项目使用的</w:t>
                  </w:r>
                  <w:r>
                    <w:rPr>
                      <w:rFonts w:hint="eastAsia" w:ascii="Times New Roman" w:cs="Times New Roman"/>
                      <w:color w:val="auto"/>
                      <w:sz w:val="21"/>
                      <w:szCs w:val="21"/>
                      <w:lang w:val="en-US" w:eastAsia="zh-CN"/>
                    </w:rPr>
                    <w:t>四种涂料</w:t>
                  </w:r>
                  <w:r>
                    <w:rPr>
                      <w:rFonts w:hint="default" w:ascii="Times New Roman" w:hAnsi="Times New Roman" w:cs="Times New Roman"/>
                      <w:color w:val="auto"/>
                      <w:sz w:val="21"/>
                      <w:szCs w:val="21"/>
                    </w:rPr>
                    <w:t>挥发性有机化合物（VOC）含量</w:t>
                  </w:r>
                  <w:r>
                    <w:rPr>
                      <w:rFonts w:hint="eastAsia" w:ascii="Times New Roman" w:cs="Times New Roman"/>
                      <w:color w:val="auto"/>
                      <w:sz w:val="21"/>
                      <w:szCs w:val="21"/>
                      <w:lang w:val="en-US" w:eastAsia="zh-CN"/>
                    </w:rPr>
                    <w:t>最高的是</w:t>
                  </w:r>
                  <w:r>
                    <w:rPr>
                      <w:rFonts w:hint="default" w:ascii="Times New Roman" w:hAnsi="Times New Roman" w:cs="Times New Roman"/>
                      <w:color w:val="auto"/>
                      <w:sz w:val="21"/>
                      <w:szCs w:val="21"/>
                    </w:rPr>
                    <w:t>酸醇调和漆</w:t>
                  </w:r>
                  <w:r>
                    <w:rPr>
                      <w:rFonts w:hint="eastAsia" w:ascii="Times New Roman" w:cs="Times New Roman"/>
                      <w:color w:val="auto"/>
                      <w:sz w:val="21"/>
                      <w:szCs w:val="21"/>
                      <w:lang w:eastAsia="zh-CN"/>
                    </w:rPr>
                    <w:t>：</w:t>
                  </w:r>
                  <w:r>
                    <w:rPr>
                      <w:rFonts w:hint="default" w:ascii="Times New Roman" w:hAnsi="Times New Roman" w:cs="Times New Roman"/>
                      <w:color w:val="auto"/>
                      <w:sz w:val="21"/>
                      <w:szCs w:val="21"/>
                    </w:rPr>
                    <w:t>478g/L，低于2019年2月原淮北市环境保护局发布的《VOCs环境整治专项行动方案》中工程机械涂料水性漆即用状态下VOCs含量低于550克/升的要求，同时满足《工业防护涂料中有害物质限量》（GB30981-2020）[表2中机械设备涂料、工程机械和农业机械涂料（含零部件涂料)、面漆]（面漆：≤550g/L）、《低挥发性有机化合物含量涂料产品技术要求》（GB/T38597-2020）[表2中工业防护涂料、机械设备涂料、工程机械和农业机械涂料（含零部件涂料)、面漆、单组分]（面漆、单组分：≤480g/L）的要求。</w:t>
                  </w:r>
                </w:p>
                <w:p>
                  <w:pPr>
                    <w:autoSpaceDE w:val="0"/>
                    <w:autoSpaceDN w:val="0"/>
                    <w:adjustRightInd w:val="0"/>
                    <w:snapToGrid w:val="0"/>
                    <w:jc w:val="left"/>
                    <w:rPr>
                      <w:rFonts w:hint="eastAsia" w:eastAsia="宋体"/>
                      <w:color w:val="auto"/>
                      <w:szCs w:val="21"/>
                      <w:lang w:eastAsia="zh-CN"/>
                    </w:rPr>
                  </w:pPr>
                  <w:r>
                    <w:rPr>
                      <w:rFonts w:hint="eastAsia"/>
                      <w:color w:val="auto"/>
                      <w:szCs w:val="21"/>
                    </w:rPr>
                    <w:t>本项目使用</w:t>
                  </w:r>
                  <w:r>
                    <w:rPr>
                      <w:color w:val="auto"/>
                      <w:szCs w:val="21"/>
                    </w:rPr>
                    <w:t>的</w:t>
                  </w:r>
                  <w:r>
                    <w:rPr>
                      <w:rFonts w:hint="eastAsia"/>
                      <w:color w:val="auto"/>
                      <w:szCs w:val="21"/>
                    </w:rPr>
                    <w:t>漆料</w:t>
                  </w:r>
                  <w:r>
                    <w:rPr>
                      <w:color w:val="auto"/>
                      <w:szCs w:val="21"/>
                    </w:rPr>
                    <w:t>为低VOCs</w:t>
                  </w:r>
                  <w:r>
                    <w:rPr>
                      <w:rFonts w:hint="eastAsia"/>
                      <w:color w:val="auto"/>
                      <w:szCs w:val="21"/>
                    </w:rPr>
                    <w:t>含量的水性涂料，且存储在封闭的原料仓库内，喷漆晾干工序在全封闭喷漆房内进行，喷漆晾干产生的有机废气采用两级活性炭（活性炭纤维+活性炭颗粒）吸附处理，无储罐，</w:t>
                  </w:r>
                  <w:r>
                    <w:rPr>
                      <w:color w:val="auto"/>
                      <w:szCs w:val="21"/>
                    </w:rPr>
                    <w:t>加强企业内部管理，明确VOCs处理装置的管理和监控方案，提升现场管理水平，确保VOCs处理装置长期有效运行</w:t>
                  </w:r>
                  <w:r>
                    <w:rPr>
                      <w:rFonts w:hint="eastAsia"/>
                      <w:color w:val="auto"/>
                      <w:szCs w:val="21"/>
                    </w:rPr>
                    <w:t>，</w:t>
                  </w:r>
                  <w:r>
                    <w:rPr>
                      <w:color w:val="auto"/>
                      <w:szCs w:val="21"/>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auto"/>
                      <w:szCs w:val="21"/>
                    </w:rPr>
                    <w:t>；废活性炭封闭收集后暂存于危废暂存间，定期交由有资质单位处理</w:t>
                  </w:r>
                  <w:r>
                    <w:rPr>
                      <w:rFonts w:hint="eastAsia"/>
                      <w:color w:val="auto"/>
                      <w:szCs w:val="21"/>
                      <w:lang w:eastAsia="zh-CN"/>
                    </w:rPr>
                    <w:t>。</w:t>
                  </w:r>
                </w:p>
              </w:tc>
              <w:tc>
                <w:tcPr>
                  <w:tcW w:w="850" w:type="dxa"/>
                  <w:vAlign w:val="center"/>
                </w:tcPr>
                <w:p>
                  <w:pPr>
                    <w:adjustRightInd w:val="0"/>
                    <w:snapToGrid w:val="0"/>
                    <w:jc w:val="center"/>
                    <w:rPr>
                      <w:color w:val="auto"/>
                      <w:szCs w:val="21"/>
                    </w:rPr>
                  </w:pPr>
                  <w:r>
                    <w:rPr>
                      <w:color w:val="auto"/>
                      <w:szCs w:val="21"/>
                    </w:rPr>
                    <w:t>符合</w:t>
                  </w:r>
                </w:p>
              </w:tc>
            </w:tr>
          </w:tbl>
          <w:p>
            <w:pPr>
              <w:spacing w:line="360" w:lineRule="auto"/>
              <w:ind w:firstLine="482" w:firstLineChars="200"/>
              <w:rPr>
                <w:b/>
                <w:bCs/>
                <w:color w:val="auto"/>
                <w:sz w:val="24"/>
                <w:szCs w:val="24"/>
              </w:rPr>
            </w:pPr>
            <w:r>
              <w:rPr>
                <w:rFonts w:hint="eastAsia"/>
                <w:b/>
                <w:bCs/>
                <w:color w:val="auto"/>
                <w:sz w:val="24"/>
                <w:szCs w:val="24"/>
              </w:rPr>
              <w:t>（2）与《安徽省2021年应对气候变化和大气污染防治重点工作任务》相符性</w:t>
            </w:r>
          </w:p>
          <w:p>
            <w:pPr>
              <w:spacing w:line="360" w:lineRule="auto"/>
              <w:ind w:firstLine="480" w:firstLineChars="200"/>
              <w:rPr>
                <w:color w:val="auto"/>
                <w:sz w:val="24"/>
                <w:szCs w:val="24"/>
              </w:rPr>
            </w:pPr>
            <w:r>
              <w:rPr>
                <w:rFonts w:hint="eastAsia"/>
                <w:color w:val="auto"/>
                <w:sz w:val="24"/>
                <w:szCs w:val="24"/>
              </w:rPr>
              <w:t>本项目</w:t>
            </w:r>
            <w:r>
              <w:rPr>
                <w:color w:val="auto"/>
                <w:sz w:val="24"/>
                <w:szCs w:val="24"/>
              </w:rPr>
              <w:t>与《安徽省2021年应对气候变化和大气污染防治重点工作任务》相符性分析见下表1-</w:t>
            </w:r>
            <w:r>
              <w:rPr>
                <w:rFonts w:hint="eastAsia"/>
                <w:color w:val="auto"/>
                <w:sz w:val="24"/>
                <w:szCs w:val="24"/>
              </w:rPr>
              <w:t>6</w:t>
            </w:r>
            <w:r>
              <w:rPr>
                <w:color w:val="auto"/>
                <w:sz w:val="24"/>
                <w:szCs w:val="24"/>
              </w:rPr>
              <w:t>。</w:t>
            </w:r>
          </w:p>
          <w:p>
            <w:pPr>
              <w:pStyle w:val="82"/>
              <w:spacing w:line="360" w:lineRule="auto"/>
              <w:rPr>
                <w:color w:val="auto"/>
                <w:sz w:val="24"/>
                <w:szCs w:val="24"/>
              </w:rPr>
            </w:pPr>
            <w:r>
              <w:rPr>
                <w:color w:val="auto"/>
                <w:sz w:val="24"/>
                <w:szCs w:val="24"/>
              </w:rPr>
              <w:t>表1-</w:t>
            </w:r>
            <w:r>
              <w:rPr>
                <w:rFonts w:hint="eastAsia"/>
                <w:color w:val="auto"/>
                <w:sz w:val="24"/>
                <w:szCs w:val="24"/>
              </w:rPr>
              <w:t>6</w:t>
            </w:r>
            <w:r>
              <w:rPr>
                <w:color w:val="auto"/>
                <w:sz w:val="24"/>
                <w:szCs w:val="24"/>
              </w:rPr>
              <w:t>与《安徽省2021年应对气候变化和大气污染防治重点工作任务》相符性分析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255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02" w:type="dxa"/>
                  <w:vAlign w:val="center"/>
                </w:tcPr>
                <w:p>
                  <w:pPr>
                    <w:pStyle w:val="83"/>
                    <w:rPr>
                      <w:rFonts w:cs="Times New Roman"/>
                      <w:b/>
                      <w:bCs/>
                      <w:color w:val="auto"/>
                      <w:sz w:val="21"/>
                      <w:szCs w:val="21"/>
                    </w:rPr>
                  </w:pPr>
                  <w:r>
                    <w:rPr>
                      <w:rFonts w:cs="Times New Roman"/>
                      <w:b/>
                      <w:bCs/>
                      <w:color w:val="auto"/>
                      <w:sz w:val="21"/>
                      <w:szCs w:val="21"/>
                    </w:rPr>
                    <w:t>相关要求</w:t>
                  </w:r>
                </w:p>
              </w:tc>
              <w:tc>
                <w:tcPr>
                  <w:tcW w:w="2551" w:type="dxa"/>
                  <w:vAlign w:val="center"/>
                </w:tcPr>
                <w:p>
                  <w:pPr>
                    <w:pStyle w:val="83"/>
                    <w:rPr>
                      <w:rFonts w:cs="Times New Roman"/>
                      <w:b/>
                      <w:bCs/>
                      <w:color w:val="auto"/>
                      <w:sz w:val="21"/>
                      <w:szCs w:val="21"/>
                    </w:rPr>
                  </w:pPr>
                  <w:r>
                    <w:rPr>
                      <w:rFonts w:cs="Times New Roman"/>
                      <w:b/>
                      <w:bCs/>
                      <w:color w:val="auto"/>
                      <w:sz w:val="21"/>
                      <w:szCs w:val="21"/>
                    </w:rPr>
                    <w:t>本项目情况</w:t>
                  </w:r>
                </w:p>
              </w:tc>
              <w:tc>
                <w:tcPr>
                  <w:tcW w:w="962" w:type="dxa"/>
                  <w:vAlign w:val="center"/>
                </w:tcPr>
                <w:p>
                  <w:pPr>
                    <w:pStyle w:val="83"/>
                    <w:rPr>
                      <w:rFonts w:cs="Times New Roman"/>
                      <w:b/>
                      <w:bCs/>
                      <w:color w:val="auto"/>
                      <w:sz w:val="21"/>
                      <w:szCs w:val="21"/>
                    </w:rPr>
                  </w:pPr>
                  <w:r>
                    <w:rPr>
                      <w:rFonts w:cs="Times New Roman"/>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02" w:type="dxa"/>
                  <w:vAlign w:val="center"/>
                </w:tcPr>
                <w:p>
                  <w:pPr>
                    <w:pStyle w:val="83"/>
                    <w:jc w:val="left"/>
                    <w:rPr>
                      <w:rFonts w:cs="Times New Roman"/>
                      <w:color w:val="auto"/>
                      <w:sz w:val="21"/>
                      <w:szCs w:val="21"/>
                    </w:rPr>
                  </w:pPr>
                  <w:r>
                    <w:rPr>
                      <w:rFonts w:cs="Times New Roman"/>
                      <w:color w:val="auto"/>
                      <w:sz w:val="21"/>
                      <w:szCs w:val="21"/>
                    </w:rPr>
                    <w:t>加快推动VOCs精细化治理。实施VOCs产品源头替代工程，严格落实《油墨中可挥发性有机化合物含量的限值》等国家产品 VOCs含量限值标准，推进家具制造、汽车制造、印刷和记录媒介、橡胶和塑料制品等行业低VOCs含量原辅材料替代。实施重点企业 VOCs综合治理工程，编制执行“一企一策”，推进治污设施改造升级。继续加强无组织排放管控，9月底前，各地集中开展一次VOCs整治专项执法行动。省级及以上开发区和省级化工园区，年内完成至少一轮走航监测、红外热成像等智能监测。提升涉VOCs企业“双随机一公开”执法水平。</w:t>
                  </w:r>
                </w:p>
              </w:tc>
              <w:tc>
                <w:tcPr>
                  <w:tcW w:w="2551" w:type="dxa"/>
                  <w:vAlign w:val="center"/>
                </w:tcPr>
                <w:p>
                  <w:pPr>
                    <w:pStyle w:val="83"/>
                    <w:jc w:val="left"/>
                    <w:rPr>
                      <w:rFonts w:cs="Times New Roman"/>
                      <w:color w:val="auto"/>
                      <w:sz w:val="21"/>
                      <w:szCs w:val="21"/>
                    </w:rPr>
                  </w:pPr>
                  <w:r>
                    <w:rPr>
                      <w:rFonts w:hint="eastAsia" w:cs="Times New Roman"/>
                      <w:color w:val="auto"/>
                      <w:sz w:val="21"/>
                      <w:szCs w:val="21"/>
                    </w:rPr>
                    <w:t>本项目使用</w:t>
                  </w:r>
                  <w:r>
                    <w:rPr>
                      <w:rFonts w:cs="Times New Roman"/>
                      <w:color w:val="auto"/>
                      <w:sz w:val="21"/>
                      <w:szCs w:val="21"/>
                    </w:rPr>
                    <w:t>的</w:t>
                  </w:r>
                  <w:r>
                    <w:rPr>
                      <w:rFonts w:hint="eastAsia" w:cs="Times New Roman"/>
                      <w:color w:val="auto"/>
                      <w:sz w:val="21"/>
                      <w:szCs w:val="21"/>
                    </w:rPr>
                    <w:t>漆料</w:t>
                  </w:r>
                  <w:r>
                    <w:rPr>
                      <w:rFonts w:cs="Times New Roman"/>
                      <w:color w:val="auto"/>
                      <w:sz w:val="21"/>
                      <w:szCs w:val="21"/>
                    </w:rPr>
                    <w:t>为低VOCs</w:t>
                  </w:r>
                  <w:r>
                    <w:rPr>
                      <w:rFonts w:hint="eastAsia" w:cs="Times New Roman"/>
                      <w:color w:val="auto"/>
                      <w:sz w:val="21"/>
                      <w:szCs w:val="21"/>
                    </w:rPr>
                    <w:t>含量水性涂料，且存储在封闭的原料仓库内，喷漆晾干工序在全封闭喷漆房内进行，喷漆晾干产生的有机废气采用两级活性炭（活性炭纤维+活性炭颗粒）吸附处理，无储罐，</w:t>
                  </w:r>
                  <w:r>
                    <w:rPr>
                      <w:rFonts w:cs="Times New Roman"/>
                      <w:color w:val="auto"/>
                      <w:sz w:val="21"/>
                      <w:szCs w:val="21"/>
                    </w:rPr>
                    <w:t>执行“一企一策”，推进治污设施改造升级</w:t>
                  </w:r>
                  <w:r>
                    <w:rPr>
                      <w:rFonts w:hint="eastAsia" w:cs="Times New Roman"/>
                      <w:color w:val="auto"/>
                      <w:sz w:val="21"/>
                      <w:szCs w:val="21"/>
                    </w:rPr>
                    <w:t>，</w:t>
                  </w:r>
                  <w:r>
                    <w:rPr>
                      <w:rFonts w:cs="Times New Roman"/>
                      <w:color w:val="auto"/>
                      <w:sz w:val="21"/>
                      <w:szCs w:val="21"/>
                    </w:rPr>
                    <w:t>加强无组织排放管控</w:t>
                  </w:r>
                </w:p>
              </w:tc>
              <w:tc>
                <w:tcPr>
                  <w:tcW w:w="962" w:type="dxa"/>
                  <w:vAlign w:val="center"/>
                </w:tcPr>
                <w:p>
                  <w:pPr>
                    <w:pStyle w:val="83"/>
                    <w:rPr>
                      <w:rFonts w:cs="Times New Roman"/>
                      <w:color w:val="auto"/>
                      <w:sz w:val="21"/>
                      <w:szCs w:val="21"/>
                    </w:rPr>
                  </w:pPr>
                  <w:r>
                    <w:rPr>
                      <w:rFonts w:cs="Times New Roman"/>
                      <w:color w:val="auto"/>
                      <w:sz w:val="21"/>
                      <w:szCs w:val="21"/>
                    </w:rPr>
                    <w:t>符合</w:t>
                  </w:r>
                </w:p>
              </w:tc>
            </w:tr>
          </w:tbl>
          <w:p>
            <w:pPr>
              <w:spacing w:line="360" w:lineRule="auto"/>
              <w:ind w:firstLine="482" w:firstLineChars="200"/>
              <w:rPr>
                <w:b/>
                <w:color w:val="auto"/>
                <w:sz w:val="24"/>
                <w:szCs w:val="24"/>
              </w:rPr>
            </w:pPr>
            <w:r>
              <w:rPr>
                <w:rFonts w:hint="eastAsia"/>
                <w:b/>
                <w:color w:val="auto"/>
                <w:sz w:val="24"/>
                <w:szCs w:val="24"/>
              </w:rPr>
              <w:t>（3）与《安徽省大气办关于深入开展挥发性有机物污染治理工作的通知》相符性分析</w:t>
            </w:r>
          </w:p>
          <w:p>
            <w:pPr>
              <w:spacing w:line="360" w:lineRule="auto"/>
              <w:ind w:firstLine="480" w:firstLineChars="200"/>
              <w:rPr>
                <w:color w:val="auto"/>
                <w:sz w:val="24"/>
                <w:szCs w:val="24"/>
              </w:rPr>
            </w:pPr>
            <w:r>
              <w:rPr>
                <w:rFonts w:hint="eastAsia"/>
                <w:color w:val="auto"/>
                <w:sz w:val="24"/>
                <w:szCs w:val="24"/>
              </w:rPr>
              <w:t>本项目</w:t>
            </w:r>
            <w:r>
              <w:rPr>
                <w:color w:val="auto"/>
                <w:sz w:val="24"/>
                <w:szCs w:val="24"/>
              </w:rPr>
              <w:t>与《安徽省大气办关于深入开展挥发性有机物污染治理工作的通知》见下表1-</w:t>
            </w:r>
            <w:r>
              <w:rPr>
                <w:rFonts w:hint="eastAsia"/>
                <w:color w:val="auto"/>
                <w:sz w:val="24"/>
                <w:szCs w:val="24"/>
              </w:rPr>
              <w:t>7</w:t>
            </w:r>
            <w:r>
              <w:rPr>
                <w:color w:val="auto"/>
                <w:sz w:val="24"/>
                <w:szCs w:val="24"/>
              </w:rPr>
              <w:t>。</w:t>
            </w:r>
          </w:p>
          <w:p>
            <w:pPr>
              <w:pStyle w:val="82"/>
              <w:rPr>
                <w:color w:val="auto"/>
                <w:sz w:val="24"/>
                <w:szCs w:val="24"/>
              </w:rPr>
            </w:pPr>
            <w:r>
              <w:rPr>
                <w:color w:val="auto"/>
                <w:sz w:val="24"/>
                <w:szCs w:val="24"/>
              </w:rPr>
              <w:t>表1-</w:t>
            </w:r>
            <w:r>
              <w:rPr>
                <w:rFonts w:hint="eastAsia"/>
                <w:color w:val="auto"/>
                <w:sz w:val="24"/>
                <w:szCs w:val="24"/>
              </w:rPr>
              <w:t>7</w:t>
            </w:r>
            <w:r>
              <w:rPr>
                <w:color w:val="auto"/>
                <w:sz w:val="24"/>
                <w:szCs w:val="24"/>
              </w:rPr>
              <w:t>与《安徽省大气办关于深入开展挥发性有机物污染治理工作的通知》相符性分析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gridCol w:w="245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36" w:type="dxa"/>
                  <w:vAlign w:val="center"/>
                </w:tcPr>
                <w:p>
                  <w:pPr>
                    <w:pStyle w:val="83"/>
                    <w:rPr>
                      <w:rFonts w:cs="Times New Roman"/>
                      <w:b/>
                      <w:bCs/>
                      <w:color w:val="auto"/>
                      <w:sz w:val="21"/>
                      <w:szCs w:val="21"/>
                    </w:rPr>
                  </w:pPr>
                  <w:r>
                    <w:rPr>
                      <w:rFonts w:cs="Times New Roman"/>
                      <w:b/>
                      <w:bCs/>
                      <w:color w:val="auto"/>
                      <w:sz w:val="21"/>
                      <w:szCs w:val="21"/>
                    </w:rPr>
                    <w:t>相关要求</w:t>
                  </w:r>
                </w:p>
              </w:tc>
              <w:tc>
                <w:tcPr>
                  <w:tcW w:w="2092" w:type="dxa"/>
                  <w:vAlign w:val="center"/>
                </w:tcPr>
                <w:p>
                  <w:pPr>
                    <w:pStyle w:val="83"/>
                    <w:rPr>
                      <w:rFonts w:cs="Times New Roman"/>
                      <w:b/>
                      <w:bCs/>
                      <w:color w:val="auto"/>
                      <w:sz w:val="21"/>
                      <w:szCs w:val="21"/>
                    </w:rPr>
                  </w:pPr>
                  <w:r>
                    <w:rPr>
                      <w:rFonts w:cs="Times New Roman"/>
                      <w:b/>
                      <w:bCs/>
                      <w:color w:val="auto"/>
                      <w:sz w:val="21"/>
                      <w:szCs w:val="21"/>
                    </w:rPr>
                    <w:t>本项目情况</w:t>
                  </w:r>
                </w:p>
              </w:tc>
              <w:tc>
                <w:tcPr>
                  <w:tcW w:w="940" w:type="dxa"/>
                  <w:vAlign w:val="center"/>
                </w:tcPr>
                <w:p>
                  <w:pPr>
                    <w:pStyle w:val="83"/>
                    <w:rPr>
                      <w:rFonts w:cs="Times New Roman"/>
                      <w:b/>
                      <w:bCs/>
                      <w:color w:val="auto"/>
                      <w:sz w:val="21"/>
                      <w:szCs w:val="21"/>
                    </w:rPr>
                  </w:pPr>
                  <w:r>
                    <w:rPr>
                      <w:rFonts w:cs="Times New Roman"/>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36" w:type="dxa"/>
                  <w:vAlign w:val="center"/>
                </w:tcPr>
                <w:p>
                  <w:pPr>
                    <w:pStyle w:val="83"/>
                    <w:rPr>
                      <w:rFonts w:cs="Times New Roman"/>
                      <w:color w:val="auto"/>
                      <w:sz w:val="21"/>
                      <w:szCs w:val="21"/>
                    </w:rPr>
                  </w:pPr>
                  <w:r>
                    <w:rPr>
                      <w:rFonts w:cs="Times New Roman"/>
                      <w:color w:val="auto"/>
                      <w:sz w:val="21"/>
                      <w:szCs w:val="21"/>
                    </w:rPr>
                    <w:t>重点推进源头削减。鼓励支持使用涂料、油墨、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2092" w:type="dxa"/>
                  <w:vAlign w:val="center"/>
                </w:tcPr>
                <w:p>
                  <w:pPr>
                    <w:pStyle w:val="83"/>
                    <w:jc w:val="both"/>
                    <w:rPr>
                      <w:rFonts w:cs="Times New Roman"/>
                      <w:color w:val="auto"/>
                      <w:sz w:val="21"/>
                      <w:szCs w:val="21"/>
                    </w:rPr>
                  </w:pPr>
                  <w:r>
                    <w:rPr>
                      <w:rFonts w:hint="eastAsia" w:cs="Times New Roman"/>
                      <w:color w:val="auto"/>
                      <w:sz w:val="21"/>
                      <w:szCs w:val="21"/>
                    </w:rPr>
                    <w:t>本项目使用</w:t>
                  </w:r>
                  <w:r>
                    <w:rPr>
                      <w:rFonts w:cs="Times New Roman"/>
                      <w:color w:val="auto"/>
                      <w:sz w:val="21"/>
                      <w:szCs w:val="21"/>
                    </w:rPr>
                    <w:t>的</w:t>
                  </w:r>
                  <w:r>
                    <w:rPr>
                      <w:rFonts w:hint="eastAsia" w:cs="Times New Roman"/>
                      <w:color w:val="auto"/>
                      <w:sz w:val="21"/>
                      <w:szCs w:val="21"/>
                    </w:rPr>
                    <w:t>漆料</w:t>
                  </w:r>
                  <w:r>
                    <w:rPr>
                      <w:rFonts w:cs="Times New Roman"/>
                      <w:color w:val="auto"/>
                      <w:sz w:val="21"/>
                      <w:szCs w:val="21"/>
                    </w:rPr>
                    <w:t>为低VOCs</w:t>
                  </w:r>
                  <w:r>
                    <w:rPr>
                      <w:rFonts w:hint="eastAsia" w:cs="Times New Roman"/>
                      <w:color w:val="auto"/>
                      <w:sz w:val="21"/>
                      <w:szCs w:val="21"/>
                    </w:rPr>
                    <w:t>含量水性涂料，且存储在封闭的原料仓库内，喷漆晾干工序在全封闭喷漆房内进行，喷漆晾干产生的有机废气采用两级活性炭（活性炭纤维+活性炭颗粒）吸附处理</w:t>
                  </w:r>
                </w:p>
              </w:tc>
              <w:tc>
                <w:tcPr>
                  <w:tcW w:w="940" w:type="dxa"/>
                  <w:vAlign w:val="center"/>
                </w:tcPr>
                <w:p>
                  <w:pPr>
                    <w:pStyle w:val="83"/>
                    <w:rPr>
                      <w:rFonts w:cs="Times New Roman"/>
                      <w:color w:val="auto"/>
                      <w:sz w:val="21"/>
                      <w:szCs w:val="21"/>
                    </w:rPr>
                  </w:pPr>
                  <w:r>
                    <w:rPr>
                      <w:rFonts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36" w:type="dxa"/>
                  <w:vAlign w:val="center"/>
                </w:tcPr>
                <w:p>
                  <w:pPr>
                    <w:pStyle w:val="83"/>
                    <w:jc w:val="both"/>
                    <w:rPr>
                      <w:rFonts w:cs="Times New Roman"/>
                      <w:color w:val="auto"/>
                      <w:sz w:val="21"/>
                      <w:szCs w:val="21"/>
                    </w:rPr>
                  </w:pPr>
                  <w:r>
                    <w:rPr>
                      <w:rFonts w:cs="Times New Roman"/>
                      <w:color w:val="auto"/>
                      <w:sz w:val="21"/>
                      <w:szCs w:val="21"/>
                    </w:rPr>
                    <w:t>制定“一企一案”。借鉴上海市等先发地区重点行业VOCs综合治理企业“一厂一方案”编制经验，各地分行业分级指导企业编制优化“一企一案”，明确企业VOCs综合治理任务时间节点和工作目标。重点梳理石化、化工、工业涂装、包装印刷、油品储运销等重点领域重点行业，VOCs年排放量超过1吨的企业，督促9月30日前完成方案编制完善工作。243家涉VOCs省级重点企业（含省重点排污单位名录企业）及年排放量超过10吨的企业，8月31日前对方案进行评估完善，及时核实治理效果，并报至省大气办备案。</w:t>
                  </w:r>
                </w:p>
              </w:tc>
              <w:tc>
                <w:tcPr>
                  <w:tcW w:w="2092" w:type="dxa"/>
                  <w:vAlign w:val="center"/>
                </w:tcPr>
                <w:p>
                  <w:pPr>
                    <w:pStyle w:val="83"/>
                    <w:jc w:val="both"/>
                    <w:rPr>
                      <w:rFonts w:cs="Times New Roman"/>
                      <w:color w:val="auto"/>
                      <w:sz w:val="21"/>
                      <w:szCs w:val="21"/>
                    </w:rPr>
                  </w:pPr>
                  <w:r>
                    <w:rPr>
                      <w:rFonts w:hint="eastAsia" w:cs="Times New Roman"/>
                      <w:color w:val="auto"/>
                      <w:sz w:val="21"/>
                      <w:szCs w:val="21"/>
                    </w:rPr>
                    <w:t>本项目使用</w:t>
                  </w:r>
                  <w:r>
                    <w:rPr>
                      <w:rFonts w:cs="Times New Roman"/>
                      <w:color w:val="auto"/>
                      <w:sz w:val="21"/>
                      <w:szCs w:val="21"/>
                    </w:rPr>
                    <w:t>的</w:t>
                  </w:r>
                  <w:r>
                    <w:rPr>
                      <w:rFonts w:hint="eastAsia" w:cs="Times New Roman"/>
                      <w:color w:val="auto"/>
                      <w:sz w:val="21"/>
                      <w:szCs w:val="21"/>
                    </w:rPr>
                    <w:t>漆料</w:t>
                  </w:r>
                  <w:r>
                    <w:rPr>
                      <w:rFonts w:cs="Times New Roman"/>
                      <w:color w:val="auto"/>
                      <w:sz w:val="21"/>
                      <w:szCs w:val="21"/>
                    </w:rPr>
                    <w:t>为低VOCs</w:t>
                  </w:r>
                  <w:r>
                    <w:rPr>
                      <w:rFonts w:hint="eastAsia" w:cs="Times New Roman"/>
                      <w:color w:val="auto"/>
                      <w:sz w:val="21"/>
                      <w:szCs w:val="21"/>
                    </w:rPr>
                    <w:t>含量水性涂料，且存储在封闭的原料仓库内，喷漆晾干工序在全封闭喷漆房内进行，喷漆晾干产生的有机废气采用两级活性炭（活性炭纤维+活性炭颗粒）吸附处理</w:t>
                  </w:r>
                  <w:r>
                    <w:rPr>
                      <w:rFonts w:cs="Times New Roman"/>
                      <w:color w:val="auto"/>
                      <w:sz w:val="21"/>
                      <w:szCs w:val="21"/>
                    </w:rPr>
                    <w:t>。</w:t>
                  </w:r>
                  <w:r>
                    <w:rPr>
                      <w:rFonts w:hint="eastAsia" w:cs="Times New Roman"/>
                      <w:color w:val="auto"/>
                      <w:sz w:val="21"/>
                      <w:szCs w:val="21"/>
                    </w:rPr>
                    <w:t>按要求</w:t>
                  </w:r>
                  <w:r>
                    <w:rPr>
                      <w:rFonts w:cs="Times New Roman"/>
                      <w:color w:val="auto"/>
                      <w:sz w:val="21"/>
                      <w:szCs w:val="21"/>
                    </w:rPr>
                    <w:t>制定“一企一案”</w:t>
                  </w:r>
                </w:p>
              </w:tc>
              <w:tc>
                <w:tcPr>
                  <w:tcW w:w="940" w:type="dxa"/>
                  <w:vAlign w:val="center"/>
                </w:tcPr>
                <w:p>
                  <w:pPr>
                    <w:pStyle w:val="83"/>
                    <w:rPr>
                      <w:rFonts w:cs="Times New Roman"/>
                      <w:color w:val="auto"/>
                      <w:sz w:val="21"/>
                      <w:szCs w:val="21"/>
                    </w:rPr>
                  </w:pPr>
                  <w:r>
                    <w:rPr>
                      <w:rFonts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536" w:type="dxa"/>
                  <w:vAlign w:val="center"/>
                </w:tcPr>
                <w:p>
                  <w:pPr>
                    <w:pStyle w:val="83"/>
                    <w:jc w:val="both"/>
                    <w:rPr>
                      <w:rFonts w:cs="Times New Roman"/>
                      <w:color w:val="auto"/>
                      <w:sz w:val="21"/>
                      <w:szCs w:val="21"/>
                    </w:rPr>
                  </w:pPr>
                  <w:r>
                    <w:rPr>
                      <w:rFonts w:cs="Times New Roman"/>
                      <w:color w:val="auto"/>
                      <w:sz w:val="21"/>
                      <w:szCs w:val="21"/>
                    </w:rPr>
                    <w:t>实施排污许可。建立健全以排污许可核发为中心的VOCs管控依据，在石油、化工、工业涂装、包装印刷、油品储运销五大领域全面推行排污许可制度，不断规范涉VOCs工业企业的排污许可登记管理，落实企业VOCs源头削减、过程控制和末端污染治理工作，推进企业自行监测、台账落实和定期报告的具体规定落地，严厉处罚无证和不按证排污行为。</w:t>
                  </w:r>
                </w:p>
              </w:tc>
              <w:tc>
                <w:tcPr>
                  <w:tcW w:w="2092" w:type="dxa"/>
                  <w:vAlign w:val="center"/>
                </w:tcPr>
                <w:p>
                  <w:pPr>
                    <w:pStyle w:val="83"/>
                    <w:jc w:val="both"/>
                    <w:rPr>
                      <w:rFonts w:cs="Times New Roman"/>
                      <w:color w:val="auto"/>
                      <w:sz w:val="21"/>
                      <w:szCs w:val="21"/>
                    </w:rPr>
                  </w:pPr>
                  <w:r>
                    <w:rPr>
                      <w:rFonts w:cs="Times New Roman"/>
                      <w:color w:val="auto"/>
                      <w:sz w:val="21"/>
                      <w:szCs w:val="21"/>
                    </w:rPr>
                    <w:t>本项目建成后将按照要求申领排污许可证，落实企业VOCs源头削减、过程控制和末端污染治理工作，推进企业自行监测、台账落实和定期报告的具体规定落地，并按照排污许可证的要求进行管理和日常监测。</w:t>
                  </w:r>
                </w:p>
              </w:tc>
              <w:tc>
                <w:tcPr>
                  <w:tcW w:w="940" w:type="dxa"/>
                  <w:vAlign w:val="center"/>
                </w:tcPr>
                <w:p>
                  <w:pPr>
                    <w:pStyle w:val="83"/>
                    <w:rPr>
                      <w:rFonts w:cs="Times New Roman"/>
                      <w:color w:val="auto"/>
                      <w:sz w:val="21"/>
                      <w:szCs w:val="21"/>
                    </w:rPr>
                  </w:pPr>
                  <w:r>
                    <w:rPr>
                      <w:rFonts w:cs="Times New Roman"/>
                      <w:color w:val="auto"/>
                      <w:sz w:val="21"/>
                      <w:szCs w:val="21"/>
                    </w:rPr>
                    <w:t>符合</w:t>
                  </w:r>
                </w:p>
              </w:tc>
            </w:tr>
          </w:tbl>
          <w:p>
            <w:pPr>
              <w:autoSpaceDE w:val="0"/>
              <w:autoSpaceDN w:val="0"/>
              <w:adjustRightInd w:val="0"/>
              <w:snapToGrid w:val="0"/>
              <w:spacing w:line="500" w:lineRule="exact"/>
              <w:ind w:firstLine="420" w:firstLineChars="200"/>
              <w:jc w:val="left"/>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vAlign w:val="center"/>
          </w:tcPr>
          <w:p>
            <w:pPr>
              <w:adjustRightInd w:val="0"/>
              <w:snapToGrid w:val="0"/>
              <w:jc w:val="center"/>
              <w:rPr>
                <w:rFonts w:ascii="宋体" w:hAnsi="宋体" w:cs="宋体"/>
                <w:color w:val="auto"/>
                <w:szCs w:val="21"/>
              </w:rPr>
            </w:pPr>
          </w:p>
        </w:tc>
        <w:tc>
          <w:tcPr>
            <w:tcW w:w="7941" w:type="dxa"/>
            <w:gridSpan w:val="3"/>
            <w:vAlign w:val="center"/>
          </w:tcPr>
          <w:p>
            <w:pPr>
              <w:autoSpaceDE w:val="0"/>
              <w:autoSpaceDN w:val="0"/>
              <w:adjustRightInd w:val="0"/>
              <w:snapToGrid w:val="0"/>
              <w:spacing w:line="360" w:lineRule="auto"/>
              <w:rPr>
                <w:b/>
                <w:color w:val="auto"/>
                <w:sz w:val="24"/>
                <w:szCs w:val="24"/>
              </w:rPr>
            </w:pPr>
            <w:r>
              <w:rPr>
                <w:rFonts w:hint="eastAsia"/>
                <w:b/>
                <w:color w:val="auto"/>
                <w:szCs w:val="21"/>
              </w:rPr>
              <w:t>（</w:t>
            </w:r>
            <w:r>
              <w:rPr>
                <w:rFonts w:hint="eastAsia"/>
                <w:b/>
                <w:color w:val="auto"/>
                <w:sz w:val="24"/>
                <w:szCs w:val="24"/>
              </w:rPr>
              <w:t>4）与中共中央、国务院《关于深入打好污染防治攻坚战的意见》符合性分析</w:t>
            </w:r>
          </w:p>
          <w:p>
            <w:pPr>
              <w:pStyle w:val="30"/>
              <w:spacing w:line="360" w:lineRule="auto"/>
              <w:ind w:firstLine="482" w:firstLineChars="200"/>
              <w:jc w:val="center"/>
              <w:rPr>
                <w:b/>
                <w:color w:val="auto"/>
                <w:sz w:val="24"/>
                <w:szCs w:val="24"/>
              </w:rPr>
            </w:pPr>
            <w:r>
              <w:rPr>
                <w:b/>
                <w:color w:val="auto"/>
                <w:sz w:val="24"/>
                <w:szCs w:val="24"/>
              </w:rPr>
              <w:t>表1-</w:t>
            </w:r>
            <w:r>
              <w:rPr>
                <w:rFonts w:hint="eastAsia"/>
                <w:b/>
                <w:color w:val="auto"/>
                <w:sz w:val="24"/>
                <w:szCs w:val="24"/>
              </w:rPr>
              <w:t xml:space="preserve">8 </w:t>
            </w:r>
            <w:r>
              <w:rPr>
                <w:b/>
                <w:color w:val="auto"/>
                <w:sz w:val="24"/>
                <w:szCs w:val="24"/>
              </w:rPr>
              <w:t xml:space="preserve"> 与《</w:t>
            </w:r>
            <w:r>
              <w:rPr>
                <w:rFonts w:hint="eastAsia"/>
                <w:b/>
                <w:color w:val="auto"/>
                <w:sz w:val="24"/>
                <w:szCs w:val="24"/>
              </w:rPr>
              <w:t>关于深入打好污染防治攻坚战的意见</w:t>
            </w:r>
            <w:r>
              <w:rPr>
                <w:b/>
                <w:color w:val="auto"/>
                <w:sz w:val="24"/>
                <w:szCs w:val="24"/>
              </w:rPr>
              <w:t>》相符性分析</w:t>
            </w:r>
          </w:p>
          <w:tbl>
            <w:tblPr>
              <w:tblStyle w:val="34"/>
              <w:tblW w:w="7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812"/>
              <w:gridCol w:w="20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gridSpan w:val="2"/>
                  <w:tcBorders>
                    <w:tl2br w:val="nil"/>
                    <w:tr2bl w:val="nil"/>
                  </w:tcBorders>
                  <w:vAlign w:val="center"/>
                </w:tcPr>
                <w:p>
                  <w:pPr>
                    <w:pStyle w:val="30"/>
                    <w:spacing w:line="240" w:lineRule="auto"/>
                    <w:jc w:val="center"/>
                    <w:rPr>
                      <w:b/>
                      <w:bCs/>
                      <w:color w:val="auto"/>
                      <w:szCs w:val="21"/>
                    </w:rPr>
                  </w:pPr>
                  <w:r>
                    <w:rPr>
                      <w:b/>
                      <w:bCs/>
                      <w:color w:val="auto"/>
                      <w:szCs w:val="21"/>
                    </w:rPr>
                    <w:t>文件要求</w:t>
                  </w:r>
                </w:p>
              </w:tc>
              <w:tc>
                <w:tcPr>
                  <w:tcW w:w="2038" w:type="dxa"/>
                  <w:tcBorders>
                    <w:tl2br w:val="nil"/>
                    <w:tr2bl w:val="nil"/>
                  </w:tcBorders>
                  <w:vAlign w:val="center"/>
                </w:tcPr>
                <w:p>
                  <w:pPr>
                    <w:pStyle w:val="30"/>
                    <w:spacing w:line="240" w:lineRule="auto"/>
                    <w:jc w:val="center"/>
                    <w:rPr>
                      <w:b/>
                      <w:bCs/>
                      <w:color w:val="auto"/>
                      <w:szCs w:val="21"/>
                    </w:rPr>
                  </w:pPr>
                  <w:r>
                    <w:rPr>
                      <w:b/>
                      <w:bCs/>
                      <w:color w:val="auto"/>
                      <w:szCs w:val="21"/>
                    </w:rPr>
                    <w:t>项目情况</w:t>
                  </w:r>
                </w:p>
              </w:tc>
              <w:tc>
                <w:tcPr>
                  <w:tcW w:w="961" w:type="dxa"/>
                  <w:tcBorders>
                    <w:tl2br w:val="nil"/>
                    <w:tr2bl w:val="nil"/>
                  </w:tcBorders>
                  <w:vAlign w:val="center"/>
                </w:tcPr>
                <w:p>
                  <w:pPr>
                    <w:spacing w:line="240" w:lineRule="auto"/>
                    <w:jc w:val="center"/>
                    <w:rPr>
                      <w:b/>
                      <w:bCs/>
                      <w:color w:val="auto"/>
                      <w:szCs w:val="21"/>
                    </w:rPr>
                  </w:pPr>
                  <w:r>
                    <w:rPr>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57" w:type="dxa"/>
                  <w:tcBorders>
                    <w:tl2br w:val="nil"/>
                    <w:tr2bl w:val="nil"/>
                  </w:tcBorders>
                  <w:vAlign w:val="center"/>
                </w:tcPr>
                <w:p>
                  <w:pPr>
                    <w:pStyle w:val="30"/>
                    <w:spacing w:line="260" w:lineRule="exact"/>
                    <w:jc w:val="left"/>
                    <w:rPr>
                      <w:b w:val="0"/>
                      <w:bCs w:val="0"/>
                      <w:color w:val="auto"/>
                      <w:szCs w:val="21"/>
                    </w:rPr>
                  </w:pPr>
                  <w:r>
                    <w:rPr>
                      <w:rFonts w:hint="eastAsia" w:ascii="宋体" w:hAnsi="宋体" w:cs="宋体"/>
                      <w:b w:val="0"/>
                      <w:bCs w:val="0"/>
                      <w:color w:val="auto"/>
                      <w:szCs w:val="21"/>
                      <w:shd w:val="clear" w:color="auto" w:fill="FFFFFF"/>
                    </w:rPr>
                    <w:t>二、加快推动绿色低碳发展</w:t>
                  </w:r>
                </w:p>
              </w:tc>
              <w:tc>
                <w:tcPr>
                  <w:tcW w:w="3812" w:type="dxa"/>
                  <w:tcBorders>
                    <w:tl2br w:val="nil"/>
                    <w:tr2bl w:val="nil"/>
                  </w:tcBorders>
                  <w:vAlign w:val="center"/>
                </w:tcPr>
                <w:p>
                  <w:pPr>
                    <w:pStyle w:val="30"/>
                    <w:spacing w:line="260" w:lineRule="exact"/>
                    <w:jc w:val="left"/>
                    <w:rPr>
                      <w:b w:val="0"/>
                      <w:bCs w:val="0"/>
                      <w:color w:val="auto"/>
                      <w:szCs w:val="21"/>
                    </w:rPr>
                  </w:pPr>
                  <w:r>
                    <w:rPr>
                      <w:rFonts w:hint="eastAsia"/>
                      <w:b w:val="0"/>
                      <w:bCs w:val="0"/>
                      <w:color w:val="auto"/>
                      <w:szCs w:val="21"/>
                    </w:rPr>
                    <w:t>（七）坚决遏制高耗能高排放项目盲目发展。严把高耗能高排放项目准入关口，严格落实污染物排放区域削减要求，对不符合规定的项目坚决停批停建。依法依规淘汰落后产能和化解过剩产能。推动高炉－转炉长流程炼钢转型为电炉短流程炼钢。重点区域严禁新增钢铁、焦化、水泥熟料、平板玻璃、电解铝、氧化铝、煤化工产能，合理控制煤制油气产能规模，严控新增炼油产能。</w:t>
                  </w:r>
                </w:p>
              </w:tc>
              <w:tc>
                <w:tcPr>
                  <w:tcW w:w="2038" w:type="dxa"/>
                  <w:tcBorders>
                    <w:tl2br w:val="nil"/>
                    <w:tr2bl w:val="nil"/>
                  </w:tcBorders>
                  <w:vAlign w:val="center"/>
                </w:tcPr>
                <w:p>
                  <w:pPr>
                    <w:pStyle w:val="30"/>
                    <w:spacing w:line="260" w:lineRule="exact"/>
                    <w:rPr>
                      <w:color w:val="auto"/>
                      <w:szCs w:val="21"/>
                    </w:rPr>
                  </w:pPr>
                  <w:r>
                    <w:rPr>
                      <w:rFonts w:hint="eastAsia"/>
                      <w:color w:val="auto"/>
                      <w:szCs w:val="21"/>
                    </w:rPr>
                    <w:t>本项目不属于高耗能高排放项目</w:t>
                  </w:r>
                </w:p>
              </w:tc>
              <w:tc>
                <w:tcPr>
                  <w:tcW w:w="961" w:type="dxa"/>
                  <w:tcBorders>
                    <w:tl2br w:val="nil"/>
                    <w:tr2bl w:val="nil"/>
                  </w:tcBorders>
                  <w:vAlign w:val="center"/>
                </w:tcPr>
                <w:p>
                  <w:pPr>
                    <w:pStyle w:val="30"/>
                    <w:spacing w:line="260" w:lineRule="exact"/>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pPr>
                    <w:pStyle w:val="30"/>
                    <w:spacing w:line="260" w:lineRule="exact"/>
                    <w:jc w:val="center"/>
                    <w:rPr>
                      <w:b w:val="0"/>
                      <w:bCs w:val="0"/>
                      <w:color w:val="auto"/>
                      <w:szCs w:val="21"/>
                    </w:rPr>
                  </w:pPr>
                  <w:r>
                    <w:rPr>
                      <w:rFonts w:hint="eastAsia" w:ascii="宋体" w:hAnsi="宋体" w:cs="宋体"/>
                      <w:b w:val="0"/>
                      <w:bCs w:val="0"/>
                      <w:color w:val="auto"/>
                      <w:szCs w:val="21"/>
                      <w:shd w:val="clear" w:color="auto" w:fill="FFFFFF"/>
                    </w:rPr>
                    <w:t>三、深入打好蓝天保卫战</w:t>
                  </w:r>
                </w:p>
              </w:tc>
              <w:tc>
                <w:tcPr>
                  <w:tcW w:w="3812" w:type="dxa"/>
                  <w:tcBorders>
                    <w:tl2br w:val="nil"/>
                    <w:tr2bl w:val="nil"/>
                  </w:tcBorders>
                  <w:vAlign w:val="center"/>
                </w:tcPr>
                <w:p>
                  <w:pPr>
                    <w:pStyle w:val="30"/>
                    <w:spacing w:line="260" w:lineRule="exact"/>
                    <w:rPr>
                      <w:b w:val="0"/>
                      <w:bCs w:val="0"/>
                      <w:color w:val="auto"/>
                      <w:szCs w:val="21"/>
                    </w:rPr>
                  </w:pPr>
                  <w:r>
                    <w:rPr>
                      <w:rFonts w:hint="eastAsia"/>
                      <w:b w:val="0"/>
                      <w:bCs w:val="0"/>
                      <w:color w:val="auto"/>
                      <w:szCs w:val="21"/>
                    </w:rPr>
                    <w:t>（十一）着力打好重污染天气消除攻坚战。聚焦秋冬季细颗粒物污染，加大重点区域、重点行业结构调整和污染治理力度。科学调整大气污染防治重点区域范围，构建省市县三级重污染天气应急预案体系，实施重点行业企业绩效分级管理，依法严厉打击不落实应急减排措施行为。到2025年，全国重度及以上污染天数比率控制在1%以内。</w:t>
                  </w:r>
                </w:p>
              </w:tc>
              <w:tc>
                <w:tcPr>
                  <w:tcW w:w="2038" w:type="dxa"/>
                  <w:tcBorders>
                    <w:tl2br w:val="nil"/>
                    <w:tr2bl w:val="nil"/>
                  </w:tcBorders>
                  <w:vAlign w:val="center"/>
                </w:tcPr>
                <w:p>
                  <w:pPr>
                    <w:pStyle w:val="30"/>
                    <w:spacing w:line="260" w:lineRule="exact"/>
                    <w:rPr>
                      <w:color w:val="auto"/>
                      <w:szCs w:val="21"/>
                    </w:rPr>
                  </w:pPr>
                  <w:r>
                    <w:rPr>
                      <w:rFonts w:hint="eastAsia"/>
                      <w:color w:val="auto"/>
                      <w:szCs w:val="21"/>
                    </w:rPr>
                    <w:t>科学制定大气污染减排措施：企业喷漆、晾干车间封闭，下料、焊接、</w:t>
                  </w:r>
                  <w:r>
                    <w:rPr>
                      <w:rFonts w:hint="eastAsia"/>
                      <w:color w:val="auto"/>
                      <w:szCs w:val="21"/>
                      <w:lang w:val="en-US" w:eastAsia="zh-CN"/>
                    </w:rPr>
                    <w:t>抛丸</w:t>
                  </w:r>
                  <w:r>
                    <w:rPr>
                      <w:rFonts w:hint="eastAsia"/>
                      <w:color w:val="auto"/>
                      <w:szCs w:val="21"/>
                    </w:rPr>
                    <w:t>设置集气系统并配置高效除尘器，喷漆产生的</w:t>
                  </w:r>
                  <w:r>
                    <w:rPr>
                      <w:rFonts w:hint="eastAsia"/>
                      <w:color w:val="auto"/>
                      <w:szCs w:val="21"/>
                      <w:lang w:val="en-US" w:eastAsia="zh-CN"/>
                    </w:rPr>
                    <w:t>颗粒物</w:t>
                  </w:r>
                  <w:r>
                    <w:rPr>
                      <w:rFonts w:hint="eastAsia"/>
                      <w:color w:val="auto"/>
                      <w:szCs w:val="21"/>
                    </w:rPr>
                    <w:t>通过“过滤棉”处理后有组织排放</w:t>
                  </w:r>
                </w:p>
              </w:tc>
              <w:tc>
                <w:tcPr>
                  <w:tcW w:w="961" w:type="dxa"/>
                  <w:tcBorders>
                    <w:tl2br w:val="nil"/>
                    <w:tr2bl w:val="nil"/>
                  </w:tcBorders>
                  <w:vAlign w:val="center"/>
                </w:tcPr>
                <w:p>
                  <w:pPr>
                    <w:pStyle w:val="30"/>
                    <w:spacing w:line="260" w:lineRule="exact"/>
                    <w:jc w:val="center"/>
                    <w:rPr>
                      <w:color w:val="auto"/>
                      <w:szCs w:val="21"/>
                    </w:rPr>
                  </w:pPr>
                  <w:r>
                    <w:rPr>
                      <w:rFonts w:hint="eastAsia"/>
                      <w:color w:val="auto"/>
                      <w:szCs w:val="21"/>
                    </w:rPr>
                    <w:t>符合</w:t>
                  </w:r>
                </w:p>
              </w:tc>
            </w:tr>
          </w:tbl>
          <w:p>
            <w:pPr>
              <w:widowControl/>
              <w:spacing w:line="360" w:lineRule="auto"/>
              <w:jc w:val="left"/>
              <w:rPr>
                <w:b/>
                <w:color w:val="auto"/>
                <w:sz w:val="24"/>
                <w:szCs w:val="24"/>
              </w:rPr>
            </w:pPr>
            <w:r>
              <w:rPr>
                <w:rFonts w:hint="eastAsia"/>
                <w:b/>
                <w:color w:val="auto"/>
                <w:sz w:val="24"/>
                <w:szCs w:val="24"/>
              </w:rPr>
              <w:t>（5）</w:t>
            </w:r>
            <w:r>
              <w:rPr>
                <w:b/>
                <w:color w:val="auto"/>
                <w:sz w:val="24"/>
                <w:szCs w:val="24"/>
              </w:rPr>
              <w:t>与《2021-2022年秋冬季大气污染综合治理攻坚方案》相符性分析</w:t>
            </w:r>
          </w:p>
          <w:p>
            <w:pPr>
              <w:widowControl/>
              <w:spacing w:line="360" w:lineRule="auto"/>
              <w:jc w:val="center"/>
              <w:rPr>
                <w:b/>
                <w:color w:val="auto"/>
                <w:sz w:val="24"/>
                <w:szCs w:val="24"/>
              </w:rPr>
            </w:pPr>
            <w:r>
              <w:rPr>
                <w:rFonts w:hint="eastAsia"/>
                <w:b/>
                <w:color w:val="auto"/>
                <w:sz w:val="24"/>
                <w:szCs w:val="24"/>
              </w:rPr>
              <w:t xml:space="preserve">表1-9 </w:t>
            </w:r>
            <w:r>
              <w:rPr>
                <w:b/>
                <w:color w:val="auto"/>
                <w:sz w:val="24"/>
                <w:szCs w:val="24"/>
              </w:rPr>
              <w:t>与《2021-2022年秋冬季大气污染综合治理攻坚方案》相符性分析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521"/>
              <w:gridCol w:w="179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9" w:type="pct"/>
                  <w:vAlign w:val="center"/>
                </w:tcPr>
                <w:p>
                  <w:pPr>
                    <w:jc w:val="center"/>
                    <w:rPr>
                      <w:b/>
                      <w:bCs/>
                      <w:color w:val="auto"/>
                      <w:szCs w:val="21"/>
                      <w:lang w:bidi="ar"/>
                    </w:rPr>
                  </w:pPr>
                  <w:r>
                    <w:rPr>
                      <w:b/>
                      <w:bCs/>
                      <w:color w:val="auto"/>
                      <w:szCs w:val="21"/>
                      <w:lang w:bidi="ar"/>
                    </w:rPr>
                    <w:t>序号</w:t>
                  </w:r>
                </w:p>
              </w:tc>
              <w:tc>
                <w:tcPr>
                  <w:tcW w:w="2930" w:type="pct"/>
                  <w:vAlign w:val="center"/>
                </w:tcPr>
                <w:p>
                  <w:pPr>
                    <w:jc w:val="center"/>
                    <w:rPr>
                      <w:b/>
                      <w:bCs/>
                      <w:color w:val="auto"/>
                      <w:szCs w:val="21"/>
                      <w:lang w:bidi="ar"/>
                    </w:rPr>
                  </w:pPr>
                  <w:r>
                    <w:rPr>
                      <w:b/>
                      <w:bCs/>
                      <w:color w:val="auto"/>
                      <w:szCs w:val="21"/>
                      <w:lang w:bidi="ar"/>
                    </w:rPr>
                    <w:t>《2021-2022年秋冬季大气污染综合治理攻坚方案》</w:t>
                  </w:r>
                </w:p>
              </w:tc>
              <w:tc>
                <w:tcPr>
                  <w:tcW w:w="1164" w:type="pct"/>
                  <w:vAlign w:val="center"/>
                </w:tcPr>
                <w:p>
                  <w:pPr>
                    <w:jc w:val="center"/>
                    <w:rPr>
                      <w:b/>
                      <w:bCs/>
                      <w:color w:val="auto"/>
                      <w:szCs w:val="21"/>
                      <w:lang w:bidi="ar"/>
                    </w:rPr>
                  </w:pPr>
                  <w:r>
                    <w:rPr>
                      <w:b/>
                      <w:bCs/>
                      <w:color w:val="auto"/>
                      <w:szCs w:val="21"/>
                      <w:lang w:bidi="ar"/>
                    </w:rPr>
                    <w:t>项目情况</w:t>
                  </w:r>
                </w:p>
              </w:tc>
              <w:tc>
                <w:tcPr>
                  <w:tcW w:w="497" w:type="pct"/>
                  <w:vAlign w:val="center"/>
                </w:tcPr>
                <w:p>
                  <w:pPr>
                    <w:jc w:val="center"/>
                    <w:rPr>
                      <w:b/>
                      <w:bCs/>
                      <w:color w:val="auto"/>
                      <w:szCs w:val="21"/>
                      <w:lang w:bidi="ar"/>
                    </w:rPr>
                  </w:pPr>
                  <w:r>
                    <w:rPr>
                      <w:b/>
                      <w:bCs/>
                      <w:color w:val="auto"/>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Align w:val="center"/>
                </w:tcPr>
                <w:p>
                  <w:pPr>
                    <w:adjustRightInd w:val="0"/>
                    <w:snapToGrid w:val="0"/>
                    <w:jc w:val="center"/>
                    <w:rPr>
                      <w:color w:val="auto"/>
                      <w:szCs w:val="21"/>
                      <w:lang w:bidi="ar"/>
                    </w:rPr>
                  </w:pPr>
                  <w:r>
                    <w:rPr>
                      <w:color w:val="auto"/>
                      <w:szCs w:val="21"/>
                      <w:lang w:bidi="ar"/>
                    </w:rPr>
                    <w:t>1</w:t>
                  </w:r>
                </w:p>
              </w:tc>
              <w:tc>
                <w:tcPr>
                  <w:tcW w:w="2930" w:type="pct"/>
                  <w:vAlign w:val="center"/>
                </w:tcPr>
                <w:p>
                  <w:pPr>
                    <w:pStyle w:val="11"/>
                    <w:ind w:left="0" w:leftChars="0" w:firstLine="0" w:firstLineChars="0"/>
                    <w:jc w:val="left"/>
                    <w:rPr>
                      <w:rFonts w:ascii="Times New Roman" w:hAnsi="Times New Roman"/>
                      <w:color w:val="auto"/>
                      <w:sz w:val="21"/>
                      <w:szCs w:val="21"/>
                      <w:lang w:bidi="ar"/>
                    </w:rPr>
                  </w:pPr>
                  <w:r>
                    <w:rPr>
                      <w:rFonts w:ascii="Times New Roman" w:hAnsi="Times New Roman"/>
                      <w:color w:val="auto"/>
                      <w:sz w:val="21"/>
                      <w:szCs w:val="21"/>
                      <w:lang w:bidi="ar"/>
                    </w:rPr>
                    <w:t>（一）坚决遏制“两高”项目盲目发展</w:t>
                  </w:r>
                  <w:r>
                    <w:rPr>
                      <w:rFonts w:hint="eastAsia" w:ascii="Times New Roman" w:hAnsi="Times New Roman"/>
                      <w:color w:val="auto"/>
                      <w:sz w:val="21"/>
                      <w:szCs w:val="21"/>
                      <w:lang w:bidi="ar"/>
                    </w:rPr>
                    <w:t>。</w:t>
                  </w:r>
                  <w:r>
                    <w:rPr>
                      <w:rFonts w:ascii="Times New Roman" w:hAnsi="Times New Roman"/>
                      <w:color w:val="auto"/>
                      <w:sz w:val="21"/>
                      <w:szCs w:val="21"/>
                      <w:lang w:bidi="ar"/>
                    </w:rPr>
                    <w:t>各地要深入贯彻落实党中央、国务院关于坚决遏制“两高”项目盲目发展相关决策部署，按照《关于加强高耗能、高排放建设项目生态环境源头防控的指导意见》等文件要求，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严厉打击“两高”企业无证排污、不按证排污等各类违法行为，及时曝光违反排污许可制度的典型案例。</w:t>
                  </w:r>
                </w:p>
              </w:tc>
              <w:tc>
                <w:tcPr>
                  <w:tcW w:w="1164" w:type="pct"/>
                  <w:vAlign w:val="center"/>
                </w:tcPr>
                <w:p>
                  <w:pPr>
                    <w:jc w:val="left"/>
                    <w:rPr>
                      <w:color w:val="auto"/>
                      <w:szCs w:val="21"/>
                      <w:lang w:bidi="ar"/>
                    </w:rPr>
                  </w:pPr>
                  <w:r>
                    <w:rPr>
                      <w:color w:val="auto"/>
                      <w:szCs w:val="21"/>
                      <w:lang w:bidi="ar"/>
                    </w:rPr>
                    <w:t>本项目不属于</w:t>
                  </w:r>
                  <w:r>
                    <w:rPr>
                      <w:rFonts w:hint="eastAsia"/>
                      <w:color w:val="auto"/>
                      <w:szCs w:val="21"/>
                      <w:lang w:bidi="ar"/>
                    </w:rPr>
                    <w:t>“</w:t>
                  </w:r>
                  <w:r>
                    <w:rPr>
                      <w:color w:val="auto"/>
                      <w:szCs w:val="21"/>
                      <w:lang w:bidi="ar"/>
                    </w:rPr>
                    <w:t>两高</w:t>
                  </w:r>
                  <w:r>
                    <w:rPr>
                      <w:rFonts w:hint="eastAsia"/>
                      <w:color w:val="auto"/>
                      <w:szCs w:val="21"/>
                      <w:lang w:bidi="ar"/>
                    </w:rPr>
                    <w:t>”</w:t>
                  </w:r>
                  <w:r>
                    <w:rPr>
                      <w:color w:val="auto"/>
                      <w:szCs w:val="21"/>
                      <w:lang w:bidi="ar"/>
                    </w:rPr>
                    <w:t>项目</w:t>
                  </w:r>
                </w:p>
              </w:tc>
              <w:tc>
                <w:tcPr>
                  <w:tcW w:w="497" w:type="pct"/>
                  <w:vAlign w:val="center"/>
                </w:tcPr>
                <w:p>
                  <w:pPr>
                    <w:jc w:val="center"/>
                    <w:rPr>
                      <w:color w:val="auto"/>
                      <w:szCs w:val="21"/>
                      <w:lang w:bidi="ar"/>
                    </w:rPr>
                  </w:pPr>
                  <w:r>
                    <w:rPr>
                      <w:color w:val="auto"/>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22" w:type="dxa"/>
                  <w:vAlign w:val="center"/>
                </w:tcPr>
                <w:p>
                  <w:pPr>
                    <w:adjustRightInd w:val="0"/>
                    <w:snapToGrid w:val="0"/>
                    <w:jc w:val="center"/>
                    <w:rPr>
                      <w:color w:val="auto"/>
                      <w:szCs w:val="21"/>
                      <w:lang w:bidi="ar"/>
                    </w:rPr>
                  </w:pPr>
                  <w:r>
                    <w:rPr>
                      <w:color w:val="auto"/>
                      <w:szCs w:val="21"/>
                      <w:lang w:bidi="ar"/>
                    </w:rPr>
                    <w:t>2</w:t>
                  </w:r>
                </w:p>
              </w:tc>
              <w:tc>
                <w:tcPr>
                  <w:tcW w:w="4455" w:type="dxa"/>
                  <w:vAlign w:val="center"/>
                </w:tcPr>
                <w:p>
                  <w:pPr>
                    <w:pStyle w:val="11"/>
                    <w:ind w:left="0" w:leftChars="0" w:firstLine="0" w:firstLineChars="0"/>
                    <w:jc w:val="left"/>
                    <w:rPr>
                      <w:rFonts w:ascii="Times New Roman" w:hAnsi="Times New Roman"/>
                      <w:color w:val="auto"/>
                      <w:sz w:val="21"/>
                      <w:szCs w:val="21"/>
                      <w:lang w:bidi="ar"/>
                    </w:rPr>
                  </w:pPr>
                  <w:r>
                    <w:rPr>
                      <w:rFonts w:ascii="Times New Roman" w:hAnsi="Times New Roman"/>
                      <w:color w:val="auto"/>
                      <w:sz w:val="21"/>
                      <w:szCs w:val="21"/>
                      <w:lang w:bidi="ar"/>
                    </w:rPr>
                    <w:t>（五）扎实推进VOCs治理突出问题排查整治</w:t>
                  </w:r>
                  <w:r>
                    <w:rPr>
                      <w:rFonts w:hint="eastAsia" w:ascii="Times New Roman" w:hAnsi="Times New Roman"/>
                      <w:color w:val="auto"/>
                      <w:sz w:val="21"/>
                      <w:szCs w:val="21"/>
                      <w:lang w:bidi="ar"/>
                    </w:rPr>
                    <w:t>。</w:t>
                  </w:r>
                  <w:r>
                    <w:rPr>
                      <w:rFonts w:ascii="Times New Roman" w:hAnsi="Times New Roman"/>
                      <w:color w:val="auto"/>
                      <w:sz w:val="21"/>
                      <w:szCs w:val="21"/>
                      <w:lang w:bidi="ar"/>
                    </w:rPr>
                    <w:t>严格落实《关于加快解决当前挥发性有机物治理突出问题的通知》有关要求，高质量完成排查治理工作。2021年10月底前，以石化、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VOCs治理工作的针对性和有效性，做到“夏病冬治”。加强国家和地方涂料、</w:t>
                  </w:r>
                  <w:r>
                    <w:rPr>
                      <w:rFonts w:hint="eastAsia" w:ascii="Times New Roman" w:hAnsi="Times New Roman"/>
                      <w:color w:val="auto"/>
                      <w:sz w:val="21"/>
                      <w:szCs w:val="21"/>
                      <w:lang w:bidi="ar"/>
                    </w:rPr>
                    <w:t>漆料</w:t>
                  </w:r>
                  <w:r>
                    <w:rPr>
                      <w:rFonts w:ascii="Times New Roman" w:hAnsi="Times New Roman"/>
                      <w:color w:val="auto"/>
                      <w:sz w:val="21"/>
                      <w:szCs w:val="21"/>
                      <w:lang w:bidi="ar"/>
                    </w:rPr>
                    <w:t>、胶粘剂、清洗剂等产品VOCs含量限值标准执行情况的监督检查。培育树立一批VOCs治理的标杆企业，加大宣传力度，形成带动效应。</w:t>
                  </w:r>
                </w:p>
              </w:tc>
              <w:tc>
                <w:tcPr>
                  <w:tcW w:w="1770" w:type="dxa"/>
                  <w:vAlign w:val="center"/>
                </w:tcPr>
                <w:p>
                  <w:pPr>
                    <w:rPr>
                      <w:color w:val="auto"/>
                      <w:szCs w:val="21"/>
                      <w:lang w:bidi="ar"/>
                    </w:rPr>
                  </w:pPr>
                  <w:r>
                    <w:rPr>
                      <w:rFonts w:hint="eastAsia" w:ascii="宋体" w:hAnsi="宋体" w:cs="宋体"/>
                      <w:color w:val="auto"/>
                      <w:szCs w:val="21"/>
                    </w:rPr>
                    <w:t>项目产生的VOCs通过“</w:t>
                  </w:r>
                  <w:r>
                    <w:rPr>
                      <w:rFonts w:hint="eastAsia" w:ascii="宋体" w:hAnsi="宋体" w:cs="宋体"/>
                      <w:bCs/>
                      <w:color w:val="auto"/>
                      <w:szCs w:val="21"/>
                    </w:rPr>
                    <w:t>过滤棉+二级活性炭</w:t>
                  </w:r>
                  <w:r>
                    <w:rPr>
                      <w:rFonts w:hint="eastAsia"/>
                      <w:color w:val="auto"/>
                      <w:szCs w:val="21"/>
                    </w:rPr>
                    <w:t>（活性炭纤维+活性炭颗粒）</w:t>
                  </w:r>
                  <w:r>
                    <w:rPr>
                      <w:rFonts w:hint="eastAsia" w:ascii="宋体" w:hAnsi="宋体" w:cs="宋体"/>
                      <w:bCs/>
                      <w:color w:val="auto"/>
                      <w:szCs w:val="21"/>
                    </w:rPr>
                    <w:t>吸附</w:t>
                  </w:r>
                  <w:r>
                    <w:rPr>
                      <w:rFonts w:hint="eastAsia" w:ascii="宋体" w:hAnsi="宋体" w:cs="宋体"/>
                      <w:color w:val="auto"/>
                      <w:szCs w:val="21"/>
                    </w:rPr>
                    <w:t>”处理后有组织排放，对周边大气环境影响较小。</w:t>
                  </w:r>
                </w:p>
              </w:tc>
              <w:tc>
                <w:tcPr>
                  <w:tcW w:w="756" w:type="dxa"/>
                  <w:vAlign w:val="center"/>
                </w:tcPr>
                <w:p>
                  <w:pPr>
                    <w:jc w:val="center"/>
                    <w:rPr>
                      <w:color w:val="auto"/>
                      <w:szCs w:val="21"/>
                      <w:lang w:bidi="ar"/>
                    </w:rPr>
                  </w:pPr>
                  <w:r>
                    <w:rPr>
                      <w:color w:val="auto"/>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vAlign w:val="center"/>
                </w:tcPr>
                <w:p>
                  <w:pPr>
                    <w:adjustRightInd w:val="0"/>
                    <w:snapToGrid w:val="0"/>
                    <w:jc w:val="center"/>
                    <w:rPr>
                      <w:color w:val="auto"/>
                      <w:szCs w:val="21"/>
                      <w:lang w:bidi="ar"/>
                    </w:rPr>
                  </w:pPr>
                  <w:r>
                    <w:rPr>
                      <w:color w:val="auto"/>
                      <w:szCs w:val="21"/>
                      <w:lang w:bidi="ar"/>
                    </w:rPr>
                    <w:t>3</w:t>
                  </w:r>
                </w:p>
              </w:tc>
              <w:tc>
                <w:tcPr>
                  <w:tcW w:w="4455" w:type="dxa"/>
                  <w:vAlign w:val="center"/>
                </w:tcPr>
                <w:p>
                  <w:pPr>
                    <w:widowControl/>
                    <w:adjustRightInd w:val="0"/>
                    <w:snapToGrid w:val="0"/>
                    <w:jc w:val="left"/>
                    <w:rPr>
                      <w:color w:val="auto"/>
                      <w:szCs w:val="21"/>
                      <w:lang w:bidi="ar"/>
                    </w:rPr>
                  </w:pPr>
                  <w:r>
                    <w:rPr>
                      <w:color w:val="auto"/>
                      <w:szCs w:val="21"/>
                      <w:lang w:bidi="ar"/>
                    </w:rPr>
                    <w:t>（十）有效应对重污染天气</w:t>
                  </w:r>
                  <w:r>
                    <w:rPr>
                      <w:rFonts w:hint="eastAsia"/>
                      <w:color w:val="auto"/>
                      <w:szCs w:val="21"/>
                      <w:lang w:bidi="ar"/>
                    </w:rPr>
                    <w:t>。</w:t>
                  </w:r>
                  <w:r>
                    <w:rPr>
                      <w:color w:val="auto"/>
                      <w:szCs w:val="21"/>
                      <w:lang w:bidi="ar"/>
                    </w:rPr>
                    <w:t>持续优化绩效分级应急减排工作。各地应严格按照《重污染天气重点行业绩效分级及减排措施》及其补充说明的相关要求，持续推进重点行业绩效分级工作，并针对地方特色行业，结合实际污染排放水平自行制定绩效分级标准，实施差异化减排措施。在此基础上，进一步完善应急减排清单，梳理保障民生、保障城市正常运转或涉及国家战略性产业等保障类企业名单，细化除小微涉气企业外的非保障类企业管控措施。做到减排清单涉气企业覆盖全、保障类企业名单真实有效、非保障类企业管控措施可落地、可核查。落实《关于进一步做好水泥常态化错峰生产的通知》要求，做好水泥行业错峰生产工作。各地须进一步规范应急减排措施。对于单独发放排污许可证的企业，须作为独立企业制定应急减排措施，不得将多个独立排污许可证企业生产工序合并共同制定应急减排措施。应急减排措施应按生产线计，避免采取降低生产负荷、缩短生产时长等不符合应急减排要求的方式。各地在绩效分级过程中，应加强中控数据记录的管理，重点行业关键数据均应纳入中控数据记录。加强空气质量预测预报能力建设。各地应持续提升空气质量预测预报准确性，依法及时启动重污染天气预警，采取应急减排措施。同时，加大监督执法力度，督促减排措施落实落地。同时，当预测到区域将出现大范围重污染天气时，各省（市）及时发布相应级别预警，组织相关城市开展区域应急联动。</w:t>
                  </w:r>
                </w:p>
              </w:tc>
              <w:tc>
                <w:tcPr>
                  <w:tcW w:w="1770" w:type="dxa"/>
                  <w:vAlign w:val="center"/>
                </w:tcPr>
                <w:p>
                  <w:pPr>
                    <w:jc w:val="left"/>
                    <w:rPr>
                      <w:color w:val="auto"/>
                      <w:szCs w:val="21"/>
                      <w:lang w:bidi="ar"/>
                    </w:rPr>
                  </w:pPr>
                  <w:r>
                    <w:rPr>
                      <w:rFonts w:hint="eastAsia"/>
                      <w:color w:val="auto"/>
                      <w:szCs w:val="21"/>
                      <w:lang w:bidi="ar"/>
                    </w:rPr>
                    <w:t>项目按照</w:t>
                  </w:r>
                  <w:r>
                    <w:rPr>
                      <w:color w:val="auto"/>
                      <w:szCs w:val="21"/>
                      <w:lang w:bidi="ar"/>
                    </w:rPr>
                    <w:t>《重污染天气重点行业绩效分级及减排措施》及其补充说明的相关要求</w:t>
                  </w:r>
                  <w:r>
                    <w:rPr>
                      <w:rFonts w:hint="eastAsia"/>
                      <w:color w:val="auto"/>
                      <w:szCs w:val="21"/>
                      <w:lang w:bidi="ar"/>
                    </w:rPr>
                    <w:t>进行生产</w:t>
                  </w:r>
                </w:p>
              </w:tc>
              <w:tc>
                <w:tcPr>
                  <w:tcW w:w="756" w:type="dxa"/>
                  <w:vAlign w:val="center"/>
                </w:tcPr>
                <w:p>
                  <w:pPr>
                    <w:jc w:val="center"/>
                    <w:rPr>
                      <w:color w:val="auto"/>
                      <w:szCs w:val="21"/>
                      <w:lang w:bidi="ar"/>
                    </w:rPr>
                  </w:pPr>
                  <w:r>
                    <w:rPr>
                      <w:color w:val="auto"/>
                      <w:szCs w:val="21"/>
                      <w:lang w:bidi="ar"/>
                    </w:rPr>
                    <w:t>相符</w:t>
                  </w:r>
                </w:p>
              </w:tc>
            </w:tr>
          </w:tbl>
          <w:p>
            <w:pPr>
              <w:pStyle w:val="2"/>
              <w:spacing w:line="360" w:lineRule="auto"/>
              <w:ind w:firstLine="480" w:firstLineChars="200"/>
              <w:rPr>
                <w:rFonts w:hAnsi="宋体"/>
                <w:b/>
                <w:bCs/>
                <w:color w:val="auto"/>
                <w:sz w:val="24"/>
                <w:szCs w:val="24"/>
              </w:rPr>
            </w:pPr>
            <w:r>
              <w:rPr>
                <w:rFonts w:hint="eastAsia"/>
                <w:color w:val="auto"/>
                <w:sz w:val="24"/>
                <w:szCs w:val="24"/>
              </w:rPr>
              <w:t>拟建工程</w:t>
            </w:r>
            <w:r>
              <w:rPr>
                <w:rFonts w:hint="eastAsia" w:ascii="Times New Roman" w:cs="Times New Roman"/>
                <w:color w:val="auto"/>
                <w:sz w:val="24"/>
                <w:szCs w:val="24"/>
              </w:rPr>
              <w:t>符合《</w:t>
            </w:r>
            <w:r>
              <w:rPr>
                <w:rFonts w:ascii="Times New Roman" w:cs="Times New Roman"/>
                <w:color w:val="auto"/>
                <w:sz w:val="24"/>
                <w:szCs w:val="24"/>
              </w:rPr>
              <w:t>2021-2022年秋冬季大气污染综合治理攻坚方案</w:t>
            </w:r>
            <w:r>
              <w:rPr>
                <w:rFonts w:hint="eastAsia" w:ascii="Times New Roman" w:cs="Times New Roman"/>
                <w:color w:val="auto"/>
                <w:sz w:val="24"/>
                <w:szCs w:val="24"/>
              </w:rPr>
              <w:t>》要求</w:t>
            </w:r>
          </w:p>
          <w:p>
            <w:pPr>
              <w:pStyle w:val="2"/>
              <w:spacing w:line="360" w:lineRule="auto"/>
              <w:ind w:firstLine="0"/>
              <w:rPr>
                <w:rFonts w:hAnsi="宋体"/>
                <w:b/>
                <w:bCs/>
                <w:color w:val="auto"/>
                <w:sz w:val="24"/>
                <w:szCs w:val="24"/>
              </w:rPr>
            </w:pPr>
            <w:r>
              <w:rPr>
                <w:rFonts w:hint="eastAsia" w:hAnsi="宋体"/>
                <w:b/>
                <w:bCs/>
                <w:color w:val="auto"/>
                <w:sz w:val="24"/>
                <w:szCs w:val="24"/>
              </w:rPr>
              <w:t>（6）与《关于印发&lt;2020年挥发性有机物治理攻坚方案&gt;的通知》（环大气【2020】33号，2020年06月23日）符合性分析</w:t>
            </w:r>
          </w:p>
          <w:p>
            <w:pPr>
              <w:adjustRightInd w:val="0"/>
              <w:snapToGrid w:val="0"/>
              <w:jc w:val="center"/>
              <w:rPr>
                <w:rFonts w:hAnsi="宋体" w:cs="宋体"/>
                <w:b/>
                <w:bCs/>
                <w:color w:val="auto"/>
                <w:sz w:val="24"/>
                <w:szCs w:val="24"/>
                <w:lang w:bidi="en-US"/>
              </w:rPr>
            </w:pPr>
            <w:r>
              <w:rPr>
                <w:rFonts w:hint="eastAsia" w:hAnsi="宋体" w:cs="宋体"/>
                <w:b/>
                <w:bCs/>
                <w:color w:val="auto"/>
                <w:sz w:val="24"/>
                <w:szCs w:val="24"/>
                <w:lang w:bidi="en-US"/>
              </w:rPr>
              <w:t xml:space="preserve">表1-10  </w:t>
            </w:r>
            <w:r>
              <w:rPr>
                <w:rFonts w:hAnsi="宋体" w:cs="宋体"/>
                <w:b/>
                <w:bCs/>
                <w:color w:val="auto"/>
                <w:sz w:val="24"/>
                <w:szCs w:val="24"/>
                <w:lang w:bidi="en-US"/>
              </w:rPr>
              <w:t>与《关于印发</w:t>
            </w:r>
            <w:r>
              <w:rPr>
                <w:rFonts w:hint="eastAsia" w:hAnsi="宋体" w:cs="宋体"/>
                <w:b/>
                <w:bCs/>
                <w:color w:val="auto"/>
                <w:sz w:val="24"/>
                <w:szCs w:val="24"/>
                <w:lang w:bidi="en-US"/>
              </w:rPr>
              <w:t>&lt;2020年挥发性有机物治理攻坚方案&gt;的通知</w:t>
            </w:r>
            <w:r>
              <w:rPr>
                <w:rFonts w:hAnsi="宋体" w:cs="宋体"/>
                <w:b/>
                <w:bCs/>
                <w:color w:val="auto"/>
                <w:sz w:val="24"/>
                <w:szCs w:val="24"/>
                <w:lang w:bidi="en-US"/>
              </w:rPr>
              <w:t>》符合性分析</w:t>
            </w:r>
          </w:p>
          <w:tbl>
            <w:tblPr>
              <w:tblStyle w:val="34"/>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7"/>
              <w:gridCol w:w="268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99" w:type="dxa"/>
                  <w:vAlign w:val="center"/>
                </w:tcPr>
                <w:p>
                  <w:pPr>
                    <w:pStyle w:val="49"/>
                    <w:rPr>
                      <w:bCs/>
                      <w:color w:val="auto"/>
                      <w:szCs w:val="21"/>
                    </w:rPr>
                  </w:pPr>
                  <w:r>
                    <w:rPr>
                      <w:rFonts w:hint="eastAsia"/>
                      <w:bCs/>
                      <w:color w:val="auto"/>
                      <w:szCs w:val="21"/>
                    </w:rPr>
                    <w:t>文件内容</w:t>
                  </w:r>
                </w:p>
              </w:tc>
              <w:tc>
                <w:tcPr>
                  <w:tcW w:w="2780" w:type="dxa"/>
                  <w:vAlign w:val="center"/>
                </w:tcPr>
                <w:p>
                  <w:pPr>
                    <w:pStyle w:val="49"/>
                    <w:rPr>
                      <w:bCs/>
                      <w:color w:val="auto"/>
                      <w:szCs w:val="21"/>
                    </w:rPr>
                  </w:pPr>
                  <w:r>
                    <w:rPr>
                      <w:bCs/>
                      <w:color w:val="auto"/>
                      <w:szCs w:val="21"/>
                    </w:rPr>
                    <w:t>本项目建设内容</w:t>
                  </w:r>
                </w:p>
              </w:tc>
              <w:tc>
                <w:tcPr>
                  <w:tcW w:w="890" w:type="dxa"/>
                  <w:vAlign w:val="center"/>
                </w:tcPr>
                <w:p>
                  <w:pPr>
                    <w:pStyle w:val="49"/>
                    <w:rPr>
                      <w:bCs/>
                      <w:color w:val="auto"/>
                      <w:szCs w:val="21"/>
                    </w:rPr>
                  </w:pPr>
                  <w:r>
                    <w:rPr>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jc w:val="center"/>
              </w:trPr>
              <w:tc>
                <w:tcPr>
                  <w:tcW w:w="4499" w:type="dxa"/>
                  <w:vAlign w:val="center"/>
                </w:tcPr>
                <w:p>
                  <w:pPr>
                    <w:pStyle w:val="49"/>
                    <w:jc w:val="left"/>
                    <w:rPr>
                      <w:bCs/>
                      <w:color w:val="auto"/>
                      <w:szCs w:val="21"/>
                    </w:rPr>
                  </w:pPr>
                  <w:r>
                    <w:rPr>
                      <w:rFonts w:hint="eastAsia"/>
                      <w:bCs/>
                      <w:color w:val="auto"/>
                      <w:szCs w:val="21"/>
                    </w:rPr>
                    <w:t>一、大力推进源头替代，有效减少VOCs产生。</w:t>
                  </w:r>
                </w:p>
                <w:p>
                  <w:pPr>
                    <w:pStyle w:val="49"/>
                    <w:jc w:val="left"/>
                    <w:rPr>
                      <w:bCs/>
                      <w:color w:val="auto"/>
                      <w:szCs w:val="21"/>
                    </w:rPr>
                  </w:pPr>
                  <w:r>
                    <w:rPr>
                      <w:rFonts w:hint="eastAsia"/>
                      <w:bCs/>
                      <w:color w:val="auto"/>
                      <w:szCs w:val="21"/>
                    </w:rPr>
                    <w:t>大力推进低（无）VOCs含量原辅材料替代。将全面使用符合国家要求的低VOCs含量原辅材料的企业纳入正面清单和政府绿色采购清单。</w:t>
                  </w:r>
                </w:p>
              </w:tc>
              <w:tc>
                <w:tcPr>
                  <w:tcW w:w="2780" w:type="dxa"/>
                  <w:vAlign w:val="center"/>
                </w:tcPr>
                <w:p>
                  <w:pPr>
                    <w:pStyle w:val="49"/>
                    <w:jc w:val="both"/>
                    <w:rPr>
                      <w:bCs/>
                      <w:color w:val="auto"/>
                      <w:szCs w:val="21"/>
                    </w:rPr>
                  </w:pPr>
                  <w:r>
                    <w:rPr>
                      <w:rFonts w:hint="eastAsia"/>
                      <w:bCs/>
                      <w:color w:val="auto"/>
                      <w:szCs w:val="21"/>
                    </w:rPr>
                    <w:t>项目使用低VOCs含量的</w:t>
                  </w:r>
                  <w:r>
                    <w:rPr>
                      <w:rFonts w:hint="eastAsia"/>
                      <w:color w:val="auto"/>
                      <w:szCs w:val="21"/>
                    </w:rPr>
                    <w:t>涂料</w:t>
                  </w:r>
                  <w:r>
                    <w:rPr>
                      <w:rFonts w:hint="eastAsia"/>
                      <w:bCs/>
                      <w:color w:val="auto"/>
                      <w:szCs w:val="21"/>
                    </w:rPr>
                    <w:t>。</w:t>
                  </w:r>
                  <w:r>
                    <w:rPr>
                      <w:rFonts w:hint="eastAsia"/>
                      <w:color w:val="auto"/>
                      <w:szCs w:val="21"/>
                    </w:rPr>
                    <w:t>并建立原辅材料台账</w:t>
                  </w:r>
                </w:p>
              </w:tc>
              <w:tc>
                <w:tcPr>
                  <w:tcW w:w="890" w:type="dxa"/>
                  <w:vAlign w:val="center"/>
                </w:tcPr>
                <w:p>
                  <w:pPr>
                    <w:pStyle w:val="49"/>
                    <w:rPr>
                      <w:bCs/>
                      <w:color w:val="auto"/>
                      <w:szCs w:val="21"/>
                    </w:rPr>
                  </w:pPr>
                  <w:r>
                    <w:rPr>
                      <w:rFonts w:hint="eastAsia"/>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499" w:type="dxa"/>
                  <w:vAlign w:val="center"/>
                </w:tcPr>
                <w:p>
                  <w:pPr>
                    <w:pStyle w:val="49"/>
                    <w:jc w:val="left"/>
                    <w:rPr>
                      <w:bCs/>
                      <w:color w:val="auto"/>
                      <w:szCs w:val="21"/>
                    </w:rPr>
                  </w:pPr>
                  <w:r>
                    <w:rPr>
                      <w:rFonts w:hint="eastAsia"/>
                      <w:color w:val="auto"/>
                      <w:szCs w:val="21"/>
                    </w:rPr>
                    <w:t>二、</w:t>
                  </w:r>
                  <w:r>
                    <w:rPr>
                      <w:color w:val="auto"/>
                      <w:szCs w:val="21"/>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交有资质的单位处置；处置单位在贮存、清洗、破碎等环节应按要求对VOCs无组织排放废气进行收集、处理。高VOCs含量废水的集输、储存和处理环节，应加盖密闭</w:t>
                  </w:r>
                </w:p>
              </w:tc>
              <w:tc>
                <w:tcPr>
                  <w:tcW w:w="2780" w:type="dxa"/>
                  <w:vAlign w:val="center"/>
                </w:tcPr>
                <w:p>
                  <w:pPr>
                    <w:pStyle w:val="49"/>
                    <w:jc w:val="both"/>
                    <w:rPr>
                      <w:bCs/>
                      <w:color w:val="auto"/>
                      <w:szCs w:val="21"/>
                    </w:rPr>
                  </w:pPr>
                  <w:r>
                    <w:rPr>
                      <w:rFonts w:hint="eastAsia"/>
                      <w:color w:val="auto"/>
                      <w:szCs w:val="21"/>
                    </w:rPr>
                    <w:t>本项目使用</w:t>
                  </w:r>
                  <w:r>
                    <w:rPr>
                      <w:color w:val="auto"/>
                      <w:szCs w:val="21"/>
                    </w:rPr>
                    <w:t>的</w:t>
                  </w:r>
                  <w:r>
                    <w:rPr>
                      <w:rFonts w:hint="eastAsia"/>
                      <w:color w:val="auto"/>
                      <w:szCs w:val="21"/>
                    </w:rPr>
                    <w:t>漆料</w:t>
                  </w:r>
                  <w:r>
                    <w:rPr>
                      <w:color w:val="auto"/>
                      <w:szCs w:val="21"/>
                    </w:rPr>
                    <w:t>为低VOCs</w:t>
                  </w:r>
                  <w:r>
                    <w:rPr>
                      <w:rFonts w:hint="eastAsia"/>
                      <w:color w:val="auto"/>
                      <w:szCs w:val="21"/>
                    </w:rPr>
                    <w:t>含量涂料，且存储在封闭的原料仓库内，喷漆晾干工序在全封闭喷漆房内进行，喷漆晾干产生的有机废气采用两级活性炭（活性炭纤维+活性炭颗粒）吸附处理，无储罐，废活性炭封闭收集后暂存于危废暂存间，定期交由有资质单位处理</w:t>
                  </w:r>
                </w:p>
              </w:tc>
              <w:tc>
                <w:tcPr>
                  <w:tcW w:w="890" w:type="dxa"/>
                  <w:vAlign w:val="center"/>
                </w:tcPr>
                <w:p>
                  <w:pPr>
                    <w:pStyle w:val="49"/>
                    <w:rPr>
                      <w:bCs/>
                      <w:color w:val="auto"/>
                      <w:szCs w:val="21"/>
                    </w:rPr>
                  </w:pPr>
                  <w:r>
                    <w:rPr>
                      <w:rFonts w:hint="eastAsia"/>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499" w:type="dxa"/>
                  <w:vAlign w:val="center"/>
                </w:tcPr>
                <w:p>
                  <w:pPr>
                    <w:pStyle w:val="49"/>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三、全面落实标准要求，强化无组织排放控制。</w:t>
                  </w:r>
                </w:p>
                <w:p>
                  <w:pPr>
                    <w:pStyle w:val="49"/>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2020年07月01日起，全面执行《挥发性有机物无组织排放控制标准》，重点区域应落实无组织排放特别控制要求。</w:t>
                  </w:r>
                </w:p>
              </w:tc>
              <w:tc>
                <w:tcPr>
                  <w:tcW w:w="2780" w:type="dxa"/>
                  <w:vAlign w:val="center"/>
                </w:tcPr>
                <w:p>
                  <w:pPr>
                    <w:pStyle w:val="49"/>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执行《挥发性有机物无组织排放控制标准》</w:t>
                  </w:r>
                  <w:r>
                    <w:rPr>
                      <w:rFonts w:hint="default" w:ascii="Times New Roman" w:hAnsi="Times New Roman" w:cs="Times New Roman"/>
                      <w:color w:val="auto"/>
                      <w:szCs w:val="21"/>
                    </w:rPr>
                    <w:t>（GB37822-2019）附录A中“表A.1中限值-特别排放限值”</w:t>
                  </w:r>
                </w:p>
              </w:tc>
              <w:tc>
                <w:tcPr>
                  <w:tcW w:w="890" w:type="dxa"/>
                  <w:vAlign w:val="center"/>
                </w:tcPr>
                <w:p>
                  <w:pPr>
                    <w:pStyle w:val="49"/>
                    <w:rPr>
                      <w:bCs/>
                      <w:color w:val="auto"/>
                      <w:szCs w:val="21"/>
                    </w:rPr>
                  </w:pPr>
                  <w:r>
                    <w:rPr>
                      <w:rFonts w:hint="eastAsia"/>
                      <w:bCs/>
                      <w:color w:val="auto"/>
                      <w:szCs w:val="21"/>
                    </w:rPr>
                    <w:t>符合</w:t>
                  </w:r>
                </w:p>
              </w:tc>
            </w:tr>
          </w:tbl>
          <w:p>
            <w:pPr>
              <w:adjustRightInd w:val="0"/>
              <w:snapToGrid w:val="0"/>
              <w:rPr>
                <w:rFonts w:hAnsi="宋体"/>
                <w:b/>
                <w:bCs/>
                <w:color w:val="auto"/>
              </w:rPr>
            </w:pP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（7）与《淮北市2021-2022年秋冬季大气污染防治攻坚行动实施方案》相符性分析</w:t>
            </w:r>
          </w:p>
          <w:p>
            <w:pPr>
              <w:adjustRightInd w:val="0"/>
              <w:snapToGrid w:val="0"/>
              <w:spacing w:line="240" w:lineRule="auto"/>
              <w:jc w:val="center"/>
              <w:rPr>
                <w:rFonts w:ascii="宋体" w:hAnsi="宋体" w:cs="宋体"/>
                <w:b/>
                <w:bCs/>
                <w:color w:val="auto"/>
                <w:sz w:val="24"/>
                <w:szCs w:val="24"/>
              </w:rPr>
            </w:pPr>
            <w:r>
              <w:rPr>
                <w:rFonts w:hint="eastAsia" w:ascii="宋体" w:hAnsi="宋体" w:cs="宋体"/>
                <w:b/>
                <w:bCs/>
                <w:color w:val="auto"/>
                <w:sz w:val="24"/>
                <w:szCs w:val="24"/>
              </w:rPr>
              <w:t>表1-11与《淮北市2021-2022年秋冬季大气污染防治攻坚行动实施方案》相关符合性分析</w:t>
            </w:r>
          </w:p>
          <w:tbl>
            <w:tblPr>
              <w:tblStyle w:val="34"/>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36" w:type="dxa"/>
                <w:bottom w:w="0" w:type="dxa"/>
                <w:right w:w="108" w:type="dxa"/>
              </w:tblCellMar>
            </w:tblPr>
            <w:tblGrid>
              <w:gridCol w:w="4254"/>
              <w:gridCol w:w="256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78" w:hRule="atLeast"/>
                <w:jc w:val="center"/>
              </w:trPr>
              <w:tc>
                <w:tcPr>
                  <w:tcW w:w="4254" w:type="dxa"/>
                  <w:vAlign w:val="center"/>
                </w:tcPr>
                <w:p>
                  <w:pPr>
                    <w:jc w:val="center"/>
                    <w:rPr>
                      <w:rFonts w:ascii="宋体" w:hAnsi="宋体"/>
                      <w:b/>
                      <w:color w:val="auto"/>
                      <w:szCs w:val="21"/>
                    </w:rPr>
                  </w:pPr>
                  <w:r>
                    <w:rPr>
                      <w:rFonts w:hint="eastAsia" w:ascii="宋体" w:hAnsi="宋体"/>
                      <w:b/>
                      <w:color w:val="auto"/>
                      <w:szCs w:val="21"/>
                    </w:rPr>
                    <w:t>文件内容</w:t>
                  </w:r>
                </w:p>
              </w:tc>
              <w:tc>
                <w:tcPr>
                  <w:tcW w:w="2568" w:type="dxa"/>
                  <w:vAlign w:val="center"/>
                </w:tcPr>
                <w:p>
                  <w:pPr>
                    <w:jc w:val="center"/>
                    <w:rPr>
                      <w:rFonts w:ascii="宋体" w:hAnsi="宋体"/>
                      <w:b/>
                      <w:color w:val="auto"/>
                      <w:szCs w:val="21"/>
                    </w:rPr>
                  </w:pPr>
                  <w:r>
                    <w:rPr>
                      <w:rFonts w:ascii="宋体" w:hAnsi="宋体"/>
                      <w:b/>
                      <w:color w:val="auto"/>
                      <w:szCs w:val="21"/>
                    </w:rPr>
                    <w:t>本项目建设内容</w:t>
                  </w:r>
                </w:p>
              </w:tc>
              <w:tc>
                <w:tcPr>
                  <w:tcW w:w="997" w:type="dxa"/>
                  <w:vAlign w:val="center"/>
                </w:tcPr>
                <w:p>
                  <w:pPr>
                    <w:jc w:val="center"/>
                    <w:rPr>
                      <w:rFonts w:ascii="宋体" w:hAnsi="宋体"/>
                      <w:b/>
                      <w:color w:val="auto"/>
                      <w:szCs w:val="21"/>
                    </w:rPr>
                  </w:pPr>
                  <w:r>
                    <w:rPr>
                      <w:rFonts w:ascii="宋体" w:hAnsi="宋体"/>
                      <w:b/>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1155" w:hRule="atLeast"/>
                <w:jc w:val="center"/>
              </w:trPr>
              <w:tc>
                <w:tcPr>
                  <w:tcW w:w="4254" w:type="dxa"/>
                  <w:tcMar>
                    <w:top w:w="0" w:type="dxa"/>
                    <w:left w:w="249" w:type="dxa"/>
                    <w:bottom w:w="0" w:type="dxa"/>
                    <w:right w:w="108" w:type="dxa"/>
                  </w:tcMar>
                  <w:vAlign w:val="center"/>
                </w:tcPr>
                <w:p>
                  <w:pPr>
                    <w:spacing w:line="240" w:lineRule="auto"/>
                    <w:rPr>
                      <w:color w:val="auto"/>
                    </w:rPr>
                  </w:pPr>
                  <w:r>
                    <w:rPr>
                      <w:rFonts w:hint="eastAsia"/>
                      <w:color w:val="auto"/>
                    </w:rPr>
                    <w:t>全市新（改、扩）建项目全面执行二氧化硫、氮氧化物、颗粒物、挥发性有机物（VOCs）等大气污染物特别排放限值标准</w:t>
                  </w:r>
                </w:p>
              </w:tc>
              <w:tc>
                <w:tcPr>
                  <w:tcW w:w="2568" w:type="dxa"/>
                  <w:vAlign w:val="center"/>
                </w:tcPr>
                <w:p>
                  <w:pPr>
                    <w:spacing w:line="240" w:lineRule="auto"/>
                    <w:rPr>
                      <w:rFonts w:ascii="宋体" w:hAnsi="宋体"/>
                      <w:bCs/>
                      <w:color w:val="auto"/>
                      <w:szCs w:val="21"/>
                    </w:rPr>
                  </w:pPr>
                  <w:r>
                    <w:rPr>
                      <w:rFonts w:hint="eastAsia"/>
                      <w:color w:val="auto"/>
                    </w:rPr>
                    <w:t>本项目挥发性有机物执行《大气污染物综合排放标准》（GB16297-1996）表2中相关限值；厂区内挥发性有机物无组织排放执行《挥发性有机物无组织控制排放标准》（GB37822-2019）附录A中“表A.1中限值-特别排放限值”。</w:t>
                  </w:r>
                </w:p>
              </w:tc>
              <w:tc>
                <w:tcPr>
                  <w:tcW w:w="997" w:type="dxa"/>
                  <w:vAlign w:val="center"/>
                </w:tcPr>
                <w:p>
                  <w:pPr>
                    <w:spacing w:line="240" w:lineRule="auto"/>
                    <w:jc w:val="center"/>
                    <w:rPr>
                      <w:rFonts w:ascii="宋体" w:hAnsi="宋体"/>
                      <w:bCs/>
                      <w:color w:val="auto"/>
                      <w:szCs w:val="21"/>
                    </w:rPr>
                  </w:pPr>
                  <w:r>
                    <w:rPr>
                      <w:rFonts w:hint="eastAsia" w:ascii="宋体" w:hAnsi="宋体"/>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431" w:hRule="atLeast"/>
                <w:jc w:val="center"/>
              </w:trPr>
              <w:tc>
                <w:tcPr>
                  <w:tcW w:w="4254" w:type="dxa"/>
                  <w:tcMar>
                    <w:top w:w="0" w:type="dxa"/>
                    <w:left w:w="249" w:type="dxa"/>
                    <w:bottom w:w="0" w:type="dxa"/>
                    <w:right w:w="108" w:type="dxa"/>
                  </w:tcMar>
                  <w:vAlign w:val="center"/>
                </w:tcPr>
                <w:p>
                  <w:pPr>
                    <w:rPr>
                      <w:color w:val="auto"/>
                    </w:rPr>
                  </w:pPr>
                  <w:r>
                    <w:rPr>
                      <w:rFonts w:hint="eastAsia"/>
                      <w:color w:val="auto"/>
                    </w:rPr>
                    <w:t>强化工业企业厂区环境整治。全面排查工业企业无组织排放治理工作。粉状、粒状物料及燃料运输要采用密闭皮带、密闭通廊、管状带式输送机或密闭车厢、真空罐车、气力输送等密闭方式；块状物料采用入棚入仓或建设防风抑尘网等方式进行存储，并采取洒水、喷淋、苫盖等综合措施进行抑尘；生产工艺产尘点（装置）应加盖封闭，设置集气系统并配备除尘设施，车间不能有可见烟粉尘外逸；汽车、皮带输送机等卸料点要设置集气系统或密闭罩，并配备除尘设施；料场路面要实施硬化，出口处配备车轮和车身自动清洗装置。未按时按要求完成无组织排放改造治理的企业，依法实施停产整治。</w:t>
                  </w:r>
                </w:p>
                <w:p>
                  <w:pPr>
                    <w:rPr>
                      <w:color w:val="auto"/>
                    </w:rPr>
                  </w:pPr>
                  <w:r>
                    <w:rPr>
                      <w:rFonts w:hint="eastAsia"/>
                      <w:color w:val="auto"/>
                    </w:rPr>
                    <w:t>加强对厂区及周边道路的硬化，设置清洗装置，运输车辆出厂前冲洗干净并苫盖严实后方可出厂，厂区道路实施负压清扫、湿扫、洒水等保洁措施，做到厂内厂外无扬尘。矿山采场道路要采取泥结碎石硬化，未硬化的厂区要绿化到位。</w:t>
                  </w:r>
                </w:p>
              </w:tc>
              <w:tc>
                <w:tcPr>
                  <w:tcW w:w="2568" w:type="dxa"/>
                  <w:vAlign w:val="center"/>
                </w:tcPr>
                <w:p>
                  <w:pPr>
                    <w:jc w:val="left"/>
                    <w:rPr>
                      <w:rFonts w:ascii="宋体" w:hAnsi="宋体"/>
                      <w:color w:val="auto"/>
                      <w:kern w:val="24"/>
                      <w:szCs w:val="21"/>
                    </w:rPr>
                  </w:pPr>
                  <w:r>
                    <w:rPr>
                      <w:rFonts w:hint="eastAsia" w:ascii="宋体" w:hAnsi="宋体"/>
                      <w:color w:val="auto"/>
                      <w:kern w:val="24"/>
                      <w:szCs w:val="21"/>
                    </w:rPr>
                    <w:t>企业喷漆、晾干车间封闭，</w:t>
                  </w:r>
                  <w:r>
                    <w:rPr>
                      <w:rFonts w:hint="eastAsia" w:ascii="宋体" w:hAnsi="宋体"/>
                      <w:color w:val="auto"/>
                      <w:kern w:val="24"/>
                      <w:szCs w:val="21"/>
                      <w:lang w:val="en-US" w:eastAsia="zh-CN"/>
                    </w:rPr>
                    <w:t>下料、</w:t>
                  </w:r>
                  <w:r>
                    <w:rPr>
                      <w:rFonts w:hint="eastAsia" w:ascii="宋体" w:hAnsi="宋体"/>
                      <w:color w:val="auto"/>
                      <w:kern w:val="24"/>
                      <w:szCs w:val="21"/>
                    </w:rPr>
                    <w:t>焊接、</w:t>
                  </w:r>
                  <w:r>
                    <w:rPr>
                      <w:rFonts w:hint="eastAsia" w:ascii="宋体" w:hAnsi="宋体"/>
                      <w:color w:val="auto"/>
                      <w:kern w:val="24"/>
                      <w:szCs w:val="21"/>
                      <w:lang w:eastAsia="zh-CN"/>
                    </w:rPr>
                    <w:t>抛丸</w:t>
                  </w:r>
                  <w:r>
                    <w:rPr>
                      <w:rFonts w:hint="eastAsia" w:ascii="宋体" w:hAnsi="宋体"/>
                      <w:color w:val="auto"/>
                      <w:kern w:val="24"/>
                      <w:szCs w:val="21"/>
                    </w:rPr>
                    <w:t>设置集气系统并配置除尘器，厂区道路硬化</w:t>
                  </w:r>
                </w:p>
              </w:tc>
              <w:tc>
                <w:tcPr>
                  <w:tcW w:w="997" w:type="dxa"/>
                  <w:vAlign w:val="center"/>
                </w:tcPr>
                <w:p>
                  <w:pPr>
                    <w:jc w:val="center"/>
                    <w:rPr>
                      <w:rFonts w:ascii="宋体" w:hAnsi="宋体"/>
                      <w:bCs/>
                      <w:color w:val="auto"/>
                      <w:szCs w:val="21"/>
                    </w:rPr>
                  </w:pPr>
                  <w:r>
                    <w:rPr>
                      <w:rFonts w:hint="eastAsia" w:ascii="宋体" w:hAnsi="宋体"/>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431" w:hRule="atLeast"/>
                <w:jc w:val="center"/>
              </w:trPr>
              <w:tc>
                <w:tcPr>
                  <w:tcW w:w="4254" w:type="dxa"/>
                  <w:tcMar>
                    <w:top w:w="0" w:type="dxa"/>
                    <w:left w:w="249" w:type="dxa"/>
                    <w:bottom w:w="0" w:type="dxa"/>
                    <w:right w:w="108" w:type="dxa"/>
                  </w:tcMar>
                  <w:vAlign w:val="center"/>
                </w:tcPr>
                <w:p>
                  <w:pPr>
                    <w:rPr>
                      <w:rFonts w:ascii="宋体" w:hAnsi="宋体"/>
                      <w:color w:val="auto"/>
                      <w:kern w:val="24"/>
                      <w:szCs w:val="21"/>
                    </w:rPr>
                  </w:pPr>
                  <w:r>
                    <w:rPr>
                      <w:rFonts w:ascii="宋体" w:hAnsi="宋体"/>
                      <w:color w:val="auto"/>
                      <w:kern w:val="24"/>
                      <w:szCs w:val="21"/>
                    </w:rPr>
                    <w:t>严格建设项目环境准入。提高涉VOCs排放行业环保准入门槛，新建涉VOCs排放的工业企业要入园区，实行区域内VOCs排放倍量削减替代，并将替代方案落实到企业排污许可证中，纳入环境执法管理。新、改、扩建涉VOCs排放项目，应从源头加强控制，使用低（无）VOCs含量的原辅材料，加强废气收集，安装高效治理设施。</w:t>
                  </w:r>
                </w:p>
              </w:tc>
              <w:tc>
                <w:tcPr>
                  <w:tcW w:w="2568" w:type="dxa"/>
                  <w:vAlign w:val="center"/>
                </w:tcPr>
                <w:p>
                  <w:pPr>
                    <w:rPr>
                      <w:rFonts w:ascii="宋体" w:hAnsi="宋体"/>
                      <w:color w:val="auto"/>
                      <w:kern w:val="24"/>
                      <w:szCs w:val="21"/>
                    </w:rPr>
                  </w:pPr>
                  <w:r>
                    <w:rPr>
                      <w:rFonts w:hint="eastAsia" w:ascii="宋体" w:hAnsi="宋体"/>
                      <w:color w:val="auto"/>
                      <w:kern w:val="24"/>
                      <w:szCs w:val="21"/>
                    </w:rPr>
                    <w:t>本项目位于</w:t>
                  </w:r>
                  <w:r>
                    <w:rPr>
                      <w:rFonts w:hint="eastAsia"/>
                      <w:color w:val="auto"/>
                    </w:rPr>
                    <w:t>杜集经济开发区</w:t>
                  </w:r>
                  <w:r>
                    <w:rPr>
                      <w:rFonts w:hint="eastAsia" w:cs="宋体"/>
                      <w:color w:val="auto"/>
                      <w:spacing w:val="8"/>
                    </w:rPr>
                    <w:t>，VOCs排放总量由淮北市生态环境局核定，有机</w:t>
                  </w:r>
                  <w:r>
                    <w:rPr>
                      <w:rFonts w:ascii="宋体" w:hAnsi="宋体"/>
                      <w:color w:val="auto"/>
                      <w:kern w:val="24"/>
                      <w:szCs w:val="21"/>
                    </w:rPr>
                    <w:t>废气治理设施</w:t>
                  </w:r>
                  <w:r>
                    <w:rPr>
                      <w:rFonts w:hint="eastAsia" w:ascii="宋体" w:hAnsi="宋体"/>
                      <w:color w:val="auto"/>
                      <w:kern w:val="24"/>
                      <w:szCs w:val="21"/>
                    </w:rPr>
                    <w:t>为</w:t>
                  </w:r>
                  <w:r>
                    <w:rPr>
                      <w:rFonts w:hint="eastAsia" w:ascii="宋体" w:hAnsi="宋体" w:cs="宋体"/>
                      <w:color w:val="auto"/>
                      <w:szCs w:val="21"/>
                    </w:rPr>
                    <w:t>过滤棉+二级活性炭</w:t>
                  </w:r>
                  <w:r>
                    <w:rPr>
                      <w:rFonts w:hint="eastAsia"/>
                      <w:color w:val="auto"/>
                      <w:szCs w:val="21"/>
                    </w:rPr>
                    <w:t>（活性炭纤维+活性炭颗粒）</w:t>
                  </w:r>
                  <w:r>
                    <w:rPr>
                      <w:rFonts w:hint="eastAsia" w:ascii="宋体" w:hAnsi="宋体" w:cs="宋体"/>
                      <w:color w:val="auto"/>
                      <w:szCs w:val="21"/>
                    </w:rPr>
                    <w:t>吸附装置+不低于15m高排气筒</w:t>
                  </w:r>
                  <w:r>
                    <w:rPr>
                      <w:rFonts w:ascii="宋体" w:hAnsi="宋体"/>
                      <w:color w:val="auto"/>
                      <w:kern w:val="24"/>
                      <w:szCs w:val="21"/>
                    </w:rPr>
                    <w:t>。</w:t>
                  </w:r>
                </w:p>
              </w:tc>
              <w:tc>
                <w:tcPr>
                  <w:tcW w:w="997" w:type="dxa"/>
                  <w:vAlign w:val="center"/>
                </w:tcPr>
                <w:p>
                  <w:pPr>
                    <w:jc w:val="center"/>
                    <w:rPr>
                      <w:rFonts w:ascii="宋体" w:hAnsi="宋体"/>
                      <w:bCs/>
                      <w:color w:val="auto"/>
                      <w:szCs w:val="21"/>
                    </w:rPr>
                  </w:pPr>
                  <w:r>
                    <w:rPr>
                      <w:rFonts w:hint="eastAsia" w:ascii="宋体" w:hAnsi="宋体"/>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685" w:hRule="atLeast"/>
                <w:jc w:val="center"/>
              </w:trPr>
              <w:tc>
                <w:tcPr>
                  <w:tcW w:w="4254" w:type="dxa"/>
                  <w:tcMar>
                    <w:top w:w="0" w:type="dxa"/>
                    <w:left w:w="249" w:type="dxa"/>
                    <w:bottom w:w="0" w:type="dxa"/>
                    <w:right w:w="108" w:type="dxa"/>
                  </w:tcMar>
                  <w:vAlign w:val="center"/>
                </w:tcPr>
                <w:p>
                  <w:pPr>
                    <w:rPr>
                      <w:rFonts w:ascii="宋体" w:hAnsi="宋体"/>
                      <w:color w:val="auto"/>
                      <w:kern w:val="24"/>
                      <w:szCs w:val="21"/>
                    </w:rPr>
                  </w:pPr>
                  <w:r>
                    <w:rPr>
                      <w:rFonts w:hint="eastAsia" w:ascii="宋体" w:hAnsi="宋体"/>
                      <w:color w:val="auto"/>
                      <w:kern w:val="24"/>
                      <w:szCs w:val="21"/>
                    </w:rPr>
                    <w:t>加快推进工业企业VOCs治理。按期完成生态环境部监督帮扶组交办问题的整改。根据《淮北市关于开展VOCs大气污染治理专项行动的实施方案》，针对焦化、化工（涂料、树脂类）、医药、精细化工（化学原料、化学品）、包装印刷、汽车维修店（4S店）、电子制造、家具、油库、加油站等VOCs排放企业，强化经营性VOCs无组织排放治理，工业企业VOCs排放治理，全面推行泄漏检测与修复（LDAR）制度。</w:t>
                  </w:r>
                </w:p>
              </w:tc>
              <w:tc>
                <w:tcPr>
                  <w:tcW w:w="2568" w:type="dxa"/>
                  <w:vAlign w:val="center"/>
                </w:tcPr>
                <w:p>
                  <w:pPr>
                    <w:rPr>
                      <w:rFonts w:ascii="宋体" w:hAnsi="宋体"/>
                      <w:color w:val="auto"/>
                      <w:kern w:val="24"/>
                      <w:szCs w:val="21"/>
                    </w:rPr>
                  </w:pPr>
                  <w:r>
                    <w:rPr>
                      <w:rFonts w:hint="eastAsia" w:ascii="宋体" w:hAnsi="宋体"/>
                      <w:color w:val="auto"/>
                      <w:kern w:val="24"/>
                      <w:szCs w:val="21"/>
                    </w:rPr>
                    <w:t>本项目</w:t>
                  </w:r>
                  <w:r>
                    <w:rPr>
                      <w:rFonts w:hint="eastAsia" w:cs="宋体"/>
                      <w:color w:val="auto"/>
                      <w:spacing w:val="8"/>
                    </w:rPr>
                    <w:t>有机</w:t>
                  </w:r>
                  <w:r>
                    <w:rPr>
                      <w:rFonts w:ascii="宋体" w:hAnsi="宋体"/>
                      <w:color w:val="auto"/>
                      <w:kern w:val="24"/>
                      <w:szCs w:val="21"/>
                    </w:rPr>
                    <w:t>废气治理设施</w:t>
                  </w:r>
                  <w:r>
                    <w:rPr>
                      <w:rFonts w:hint="eastAsia" w:ascii="宋体" w:hAnsi="宋体"/>
                      <w:color w:val="auto"/>
                      <w:kern w:val="24"/>
                      <w:szCs w:val="21"/>
                    </w:rPr>
                    <w:t>为</w:t>
                  </w:r>
                  <w:r>
                    <w:rPr>
                      <w:rFonts w:hint="eastAsia" w:ascii="宋体" w:hAnsi="宋体" w:cs="宋体"/>
                      <w:color w:val="auto"/>
                      <w:szCs w:val="21"/>
                    </w:rPr>
                    <w:t>过滤棉+二级活性炭</w:t>
                  </w:r>
                  <w:r>
                    <w:rPr>
                      <w:rFonts w:hint="eastAsia"/>
                      <w:color w:val="auto"/>
                      <w:szCs w:val="21"/>
                    </w:rPr>
                    <w:t>（活性炭纤维+活性炭颗粒）</w:t>
                  </w:r>
                  <w:r>
                    <w:rPr>
                      <w:rFonts w:hint="eastAsia" w:ascii="宋体" w:hAnsi="宋体" w:cs="宋体"/>
                      <w:color w:val="auto"/>
                      <w:szCs w:val="21"/>
                    </w:rPr>
                    <w:t>吸附装置+不低于15m高排气筒</w:t>
                  </w:r>
                  <w:r>
                    <w:rPr>
                      <w:rFonts w:ascii="宋体" w:hAnsi="宋体"/>
                      <w:color w:val="auto"/>
                      <w:kern w:val="24"/>
                      <w:szCs w:val="21"/>
                    </w:rPr>
                    <w:t>。</w:t>
                  </w:r>
                </w:p>
                <w:p>
                  <w:pPr>
                    <w:jc w:val="left"/>
                    <w:rPr>
                      <w:rFonts w:ascii="宋体" w:hAnsi="宋体"/>
                      <w:color w:val="auto"/>
                      <w:kern w:val="24"/>
                      <w:szCs w:val="21"/>
                    </w:rPr>
                  </w:pPr>
                </w:p>
              </w:tc>
              <w:tc>
                <w:tcPr>
                  <w:tcW w:w="997" w:type="dxa"/>
                  <w:vAlign w:val="center"/>
                </w:tcPr>
                <w:p>
                  <w:pPr>
                    <w:jc w:val="center"/>
                    <w:rPr>
                      <w:rFonts w:ascii="宋体" w:hAnsi="宋体"/>
                      <w:bCs/>
                      <w:color w:val="auto"/>
                      <w:szCs w:val="21"/>
                    </w:rPr>
                  </w:pPr>
                  <w:r>
                    <w:rPr>
                      <w:rFonts w:hint="eastAsia" w:ascii="宋体" w:hAnsi="宋体"/>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431" w:hRule="atLeast"/>
                <w:jc w:val="center"/>
              </w:trPr>
              <w:tc>
                <w:tcPr>
                  <w:tcW w:w="4254" w:type="dxa"/>
                  <w:tcMar>
                    <w:top w:w="0" w:type="dxa"/>
                    <w:left w:w="249" w:type="dxa"/>
                    <w:bottom w:w="0" w:type="dxa"/>
                    <w:right w:w="108" w:type="dxa"/>
                  </w:tcMar>
                  <w:vAlign w:val="center"/>
                </w:tcPr>
                <w:p>
                  <w:pPr>
                    <w:rPr>
                      <w:rFonts w:ascii="宋体" w:hAnsi="宋体"/>
                      <w:color w:val="auto"/>
                      <w:kern w:val="24"/>
                      <w:szCs w:val="21"/>
                    </w:rPr>
                  </w:pPr>
                  <w:r>
                    <w:rPr>
                      <w:rFonts w:hint="eastAsia" w:ascii="宋体" w:hAnsi="宋体"/>
                      <w:color w:val="auto"/>
                      <w:kern w:val="24"/>
                      <w:szCs w:val="21"/>
                    </w:rPr>
                    <w:t>严格落实污染管控措施。在重污染天气及特殊管控时段，各县区、开发区管委会要严格执行应急减排措施，监督企业制定可执行、可操作的“一厂一策”减排措施，落实到生产线、生产工艺上，加强废气收集和治理措施实施效率管控，并在生态环境部门备案，在厂区门口公示。</w:t>
                  </w:r>
                </w:p>
              </w:tc>
              <w:tc>
                <w:tcPr>
                  <w:tcW w:w="2568" w:type="dxa"/>
                  <w:vAlign w:val="center"/>
                </w:tcPr>
                <w:p>
                  <w:pPr>
                    <w:jc w:val="left"/>
                    <w:rPr>
                      <w:rFonts w:ascii="宋体" w:hAnsi="宋体"/>
                      <w:color w:val="auto"/>
                      <w:kern w:val="24"/>
                      <w:szCs w:val="21"/>
                    </w:rPr>
                  </w:pPr>
                  <w:r>
                    <w:rPr>
                      <w:rFonts w:hint="eastAsia" w:ascii="宋体" w:hAnsi="宋体"/>
                      <w:color w:val="auto"/>
                      <w:kern w:val="24"/>
                      <w:szCs w:val="21"/>
                    </w:rPr>
                    <w:t>要求企业制定可执行、可操作的“一厂一策”减排措施，并备案</w:t>
                  </w:r>
                </w:p>
              </w:tc>
              <w:tc>
                <w:tcPr>
                  <w:tcW w:w="997" w:type="dxa"/>
                  <w:vAlign w:val="center"/>
                </w:tcPr>
                <w:p>
                  <w:pPr>
                    <w:jc w:val="center"/>
                    <w:rPr>
                      <w:rFonts w:ascii="宋体" w:hAnsi="宋体"/>
                      <w:bCs/>
                      <w:color w:val="auto"/>
                      <w:szCs w:val="21"/>
                    </w:rPr>
                  </w:pPr>
                  <w:r>
                    <w:rPr>
                      <w:rFonts w:hint="eastAsia" w:ascii="宋体" w:hAnsi="宋体"/>
                      <w:bCs/>
                      <w:color w:val="auto"/>
                      <w:szCs w:val="21"/>
                    </w:rPr>
                    <w:t>符合</w:t>
                  </w:r>
                </w:p>
              </w:tc>
            </w:tr>
          </w:tbl>
          <w:p>
            <w:pPr>
              <w:pStyle w:val="2"/>
              <w:spacing w:line="360" w:lineRule="auto"/>
              <w:ind w:firstLine="0"/>
              <w:rPr>
                <w:rFonts w:hAnsi="宋体"/>
                <w:b/>
                <w:bCs/>
                <w:color w:val="auto"/>
                <w:sz w:val="24"/>
                <w:szCs w:val="24"/>
              </w:rPr>
            </w:pPr>
            <w:r>
              <w:rPr>
                <w:rFonts w:hint="eastAsia" w:hAnsi="宋体"/>
                <w:b/>
                <w:bCs/>
                <w:color w:val="auto"/>
                <w:sz w:val="24"/>
                <w:szCs w:val="24"/>
              </w:rPr>
              <w:t>（8）与《挥发性有机物污染防治技术政策》符合性分析</w:t>
            </w:r>
          </w:p>
          <w:p>
            <w:pPr>
              <w:adjustRightInd w:val="0"/>
              <w:snapToGri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 xml:space="preserve">表1-12  </w:t>
            </w:r>
            <w:r>
              <w:rPr>
                <w:rFonts w:ascii="宋体" w:hAnsi="宋体" w:cs="宋体"/>
                <w:b/>
                <w:bCs/>
                <w:color w:val="auto"/>
                <w:sz w:val="24"/>
                <w:szCs w:val="24"/>
              </w:rPr>
              <w:t>与《挥发性有机物污染防治技术政策》符合性分析</w:t>
            </w:r>
          </w:p>
          <w:tbl>
            <w:tblPr>
              <w:tblStyle w:val="34"/>
              <w:tblW w:w="7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051"/>
              <w:gridCol w:w="219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8" w:type="dxa"/>
                  <w:vAlign w:val="center"/>
                </w:tcPr>
                <w:p>
                  <w:pPr>
                    <w:pStyle w:val="49"/>
                    <w:rPr>
                      <w:color w:val="auto"/>
                      <w:szCs w:val="21"/>
                    </w:rPr>
                  </w:pPr>
                  <w:r>
                    <w:rPr>
                      <w:rFonts w:hint="eastAsia"/>
                      <w:color w:val="auto"/>
                      <w:szCs w:val="21"/>
                    </w:rPr>
                    <w:t>序号</w:t>
                  </w:r>
                </w:p>
              </w:tc>
              <w:tc>
                <w:tcPr>
                  <w:tcW w:w="4051" w:type="dxa"/>
                  <w:tcBorders>
                    <w:left w:val="nil"/>
                  </w:tcBorders>
                  <w:vAlign w:val="center"/>
                </w:tcPr>
                <w:p>
                  <w:pPr>
                    <w:pStyle w:val="49"/>
                    <w:rPr>
                      <w:color w:val="auto"/>
                      <w:szCs w:val="21"/>
                    </w:rPr>
                  </w:pPr>
                  <w:r>
                    <w:rPr>
                      <w:rFonts w:hint="eastAsia"/>
                      <w:color w:val="auto"/>
                      <w:szCs w:val="21"/>
                    </w:rPr>
                    <w:t>文件内容</w:t>
                  </w:r>
                </w:p>
              </w:tc>
              <w:tc>
                <w:tcPr>
                  <w:tcW w:w="2190" w:type="dxa"/>
                  <w:vAlign w:val="center"/>
                </w:tcPr>
                <w:p>
                  <w:pPr>
                    <w:pStyle w:val="49"/>
                    <w:rPr>
                      <w:color w:val="auto"/>
                      <w:szCs w:val="21"/>
                    </w:rPr>
                  </w:pPr>
                  <w:r>
                    <w:rPr>
                      <w:rFonts w:hint="eastAsia"/>
                      <w:color w:val="auto"/>
                      <w:szCs w:val="21"/>
                    </w:rPr>
                    <w:t>本项目建设内容</w:t>
                  </w:r>
                </w:p>
              </w:tc>
              <w:tc>
                <w:tcPr>
                  <w:tcW w:w="808" w:type="dxa"/>
                  <w:vAlign w:val="center"/>
                </w:tcPr>
                <w:p>
                  <w:pPr>
                    <w:pStyle w:val="49"/>
                    <w:rPr>
                      <w:color w:val="auto"/>
                      <w:szCs w:val="21"/>
                    </w:rPr>
                  </w:pPr>
                  <w:r>
                    <w:rPr>
                      <w:rFonts w:hint="eastAsia"/>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638" w:type="dxa"/>
                  <w:vMerge w:val="restart"/>
                  <w:vAlign w:val="center"/>
                </w:tcPr>
                <w:p>
                  <w:pPr>
                    <w:pStyle w:val="49"/>
                    <w:rPr>
                      <w:color w:val="auto"/>
                      <w:szCs w:val="21"/>
                    </w:rPr>
                  </w:pPr>
                  <w:r>
                    <w:rPr>
                      <w:rFonts w:hint="eastAsia"/>
                      <w:color w:val="auto"/>
                      <w:szCs w:val="21"/>
                    </w:rPr>
                    <w:t>三、末端治理与综合利用</w:t>
                  </w:r>
                </w:p>
              </w:tc>
              <w:tc>
                <w:tcPr>
                  <w:tcW w:w="4051" w:type="dxa"/>
                  <w:tcBorders>
                    <w:left w:val="nil"/>
                  </w:tcBorders>
                  <w:vAlign w:val="center"/>
                </w:tcPr>
                <w:p>
                  <w:pPr>
                    <w:pStyle w:val="49"/>
                    <w:jc w:val="left"/>
                    <w:rPr>
                      <w:color w:val="auto"/>
                      <w:szCs w:val="21"/>
                    </w:rPr>
                  </w:pPr>
                  <w:r>
                    <w:rPr>
                      <w:rFonts w:hint="eastAsia"/>
                      <w:color w:val="auto"/>
                      <w:szCs w:val="21"/>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190" w:type="dxa"/>
                  <w:vAlign w:val="center"/>
                </w:tcPr>
                <w:p>
                  <w:pPr>
                    <w:pStyle w:val="49"/>
                    <w:jc w:val="left"/>
                    <w:rPr>
                      <w:color w:val="auto"/>
                      <w:szCs w:val="21"/>
                    </w:rPr>
                  </w:pPr>
                  <w:r>
                    <w:rPr>
                      <w:rFonts w:hint="eastAsia"/>
                      <w:color w:val="auto"/>
                      <w:szCs w:val="21"/>
                    </w:rPr>
                    <w:t>本项目有机废气浓度为低等浓度VOCs废气，企业拟采用“过滤棉+二级活性炭（活性炭纤维+活性炭颗粒）吸附装置”净化后达标排放。</w:t>
                  </w:r>
                </w:p>
              </w:tc>
              <w:tc>
                <w:tcPr>
                  <w:tcW w:w="808" w:type="dxa"/>
                  <w:vAlign w:val="center"/>
                </w:tcPr>
                <w:p>
                  <w:pPr>
                    <w:pStyle w:val="49"/>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38" w:type="dxa"/>
                  <w:vMerge w:val="continue"/>
                  <w:vAlign w:val="center"/>
                </w:tcPr>
                <w:p>
                  <w:pPr>
                    <w:pStyle w:val="49"/>
                    <w:rPr>
                      <w:color w:val="auto"/>
                      <w:szCs w:val="21"/>
                    </w:rPr>
                  </w:pPr>
                </w:p>
              </w:tc>
              <w:tc>
                <w:tcPr>
                  <w:tcW w:w="4051" w:type="dxa"/>
                  <w:tcBorders>
                    <w:left w:val="nil"/>
                  </w:tcBorders>
                  <w:vAlign w:val="center"/>
                </w:tcPr>
                <w:p>
                  <w:pPr>
                    <w:pStyle w:val="49"/>
                    <w:jc w:val="left"/>
                    <w:rPr>
                      <w:color w:val="auto"/>
                      <w:szCs w:val="21"/>
                    </w:rPr>
                  </w:pPr>
                  <w:r>
                    <w:rPr>
                      <w:rFonts w:hint="eastAsia"/>
                      <w:color w:val="auto"/>
                      <w:szCs w:val="21"/>
                    </w:rPr>
                    <w:t>对于不能再生的过滤材料、吸附剂及催化剂等净化材料，应按照国家固体废物管理的相关规定处理处置。</w:t>
                  </w:r>
                </w:p>
              </w:tc>
              <w:tc>
                <w:tcPr>
                  <w:tcW w:w="2190" w:type="dxa"/>
                  <w:vAlign w:val="center"/>
                </w:tcPr>
                <w:p>
                  <w:pPr>
                    <w:pStyle w:val="49"/>
                    <w:jc w:val="left"/>
                    <w:rPr>
                      <w:color w:val="auto"/>
                      <w:szCs w:val="21"/>
                    </w:rPr>
                  </w:pPr>
                  <w:r>
                    <w:rPr>
                      <w:rFonts w:hint="eastAsia"/>
                      <w:color w:val="auto"/>
                      <w:szCs w:val="21"/>
                    </w:rPr>
                    <w:t>按《危险废物贮存污染控制标准》（GB18597-2001）及其2013年修改单中相关规定进行处置。</w:t>
                  </w:r>
                </w:p>
              </w:tc>
              <w:tc>
                <w:tcPr>
                  <w:tcW w:w="808" w:type="dxa"/>
                  <w:vAlign w:val="center"/>
                </w:tcPr>
                <w:p>
                  <w:pPr>
                    <w:pStyle w:val="49"/>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38" w:type="dxa"/>
                  <w:vAlign w:val="center"/>
                </w:tcPr>
                <w:p>
                  <w:pPr>
                    <w:pStyle w:val="49"/>
                    <w:rPr>
                      <w:color w:val="auto"/>
                      <w:szCs w:val="21"/>
                    </w:rPr>
                  </w:pPr>
                  <w:r>
                    <w:rPr>
                      <w:rFonts w:hint="eastAsia"/>
                      <w:color w:val="auto"/>
                      <w:szCs w:val="21"/>
                    </w:rPr>
                    <w:t>四、运行与监测</w:t>
                  </w:r>
                </w:p>
              </w:tc>
              <w:tc>
                <w:tcPr>
                  <w:tcW w:w="4051" w:type="dxa"/>
                  <w:tcBorders>
                    <w:left w:val="nil"/>
                  </w:tcBorders>
                  <w:vAlign w:val="center"/>
                </w:tcPr>
                <w:p>
                  <w:pPr>
                    <w:pStyle w:val="49"/>
                    <w:jc w:val="both"/>
                    <w:rPr>
                      <w:color w:val="auto"/>
                      <w:szCs w:val="21"/>
                    </w:rPr>
                  </w:pPr>
                  <w:r>
                    <w:rPr>
                      <w:rFonts w:hint="eastAsia"/>
                      <w:color w:val="auto"/>
                      <w:szCs w:val="21"/>
                    </w:rPr>
                    <w:t>企业应建立健全VOCs治理设施的运行维护规程和台帐等日常管理制度，并根据工艺要求定期对各类设备、电气、自控仪表等进行检修维护，确保设施的稳定运行。</w:t>
                  </w:r>
                </w:p>
              </w:tc>
              <w:tc>
                <w:tcPr>
                  <w:tcW w:w="2190" w:type="dxa"/>
                  <w:vAlign w:val="center"/>
                </w:tcPr>
                <w:p>
                  <w:pPr>
                    <w:pStyle w:val="49"/>
                    <w:jc w:val="left"/>
                    <w:rPr>
                      <w:color w:val="auto"/>
                      <w:szCs w:val="21"/>
                    </w:rPr>
                  </w:pPr>
                  <w:r>
                    <w:rPr>
                      <w:rFonts w:hint="eastAsia"/>
                      <w:color w:val="auto"/>
                      <w:szCs w:val="21"/>
                    </w:rPr>
                    <w:t>企业拟建立健全VOCs治理设施的运行维护规程和台帐等日常管理制度</w:t>
                  </w:r>
                </w:p>
              </w:tc>
              <w:tc>
                <w:tcPr>
                  <w:tcW w:w="808" w:type="dxa"/>
                  <w:vAlign w:val="center"/>
                </w:tcPr>
                <w:p>
                  <w:pPr>
                    <w:pStyle w:val="49"/>
                    <w:rPr>
                      <w:color w:val="auto"/>
                      <w:szCs w:val="21"/>
                    </w:rPr>
                  </w:pPr>
                  <w:r>
                    <w:rPr>
                      <w:rFonts w:hint="eastAsia"/>
                      <w:color w:val="auto"/>
                      <w:szCs w:val="21"/>
                    </w:rPr>
                    <w:t>符合</w:t>
                  </w:r>
                </w:p>
              </w:tc>
            </w:tr>
          </w:tbl>
          <w:p>
            <w:pPr>
              <w:pStyle w:val="2"/>
              <w:spacing w:line="360" w:lineRule="auto"/>
              <w:ind w:firstLine="0"/>
              <w:rPr>
                <w:rFonts w:hAnsi="宋体"/>
                <w:b/>
                <w:bCs/>
                <w:color w:val="auto"/>
                <w:sz w:val="24"/>
                <w:szCs w:val="24"/>
              </w:rPr>
            </w:pPr>
            <w:r>
              <w:rPr>
                <w:rFonts w:hint="eastAsia" w:hAnsi="宋体"/>
                <w:b/>
                <w:bCs/>
                <w:color w:val="auto"/>
                <w:sz w:val="24"/>
                <w:szCs w:val="24"/>
              </w:rPr>
              <w:t>（9）与《关于印发&lt;淮北市挥发性有机物污染综合治理方案&gt;的通知》（淮大气办【2020】17号）符合性分析</w:t>
            </w:r>
          </w:p>
          <w:p>
            <w:pPr>
              <w:pStyle w:val="2"/>
              <w:spacing w:line="360" w:lineRule="auto"/>
              <w:ind w:right="420" w:firstLine="0"/>
              <w:jc w:val="center"/>
              <w:rPr>
                <w:rFonts w:hAnsi="宋体"/>
                <w:b/>
                <w:bCs/>
                <w:color w:val="auto"/>
                <w:sz w:val="24"/>
                <w:szCs w:val="24"/>
              </w:rPr>
            </w:pPr>
            <w:r>
              <w:rPr>
                <w:rFonts w:hint="eastAsia" w:hAnsi="宋体"/>
                <w:b/>
                <w:bCs/>
                <w:color w:val="auto"/>
                <w:sz w:val="24"/>
                <w:szCs w:val="24"/>
              </w:rPr>
              <w:t xml:space="preserve">表1-13  </w:t>
            </w:r>
            <w:r>
              <w:rPr>
                <w:rFonts w:hAnsi="宋体"/>
                <w:b/>
                <w:bCs/>
                <w:color w:val="auto"/>
                <w:sz w:val="24"/>
                <w:szCs w:val="24"/>
              </w:rPr>
              <w:t>与</w:t>
            </w:r>
            <w:r>
              <w:rPr>
                <w:rFonts w:hint="eastAsia" w:hAnsi="宋体"/>
                <w:b/>
                <w:bCs/>
                <w:color w:val="auto"/>
                <w:sz w:val="24"/>
                <w:szCs w:val="24"/>
              </w:rPr>
              <w:t>《淮北市挥发性有机物污染综合治理方案》</w:t>
            </w:r>
            <w:r>
              <w:rPr>
                <w:rFonts w:hAnsi="宋体"/>
                <w:b/>
                <w:bCs/>
                <w:color w:val="auto"/>
                <w:sz w:val="24"/>
                <w:szCs w:val="24"/>
              </w:rPr>
              <w:t>符合性分析</w:t>
            </w:r>
          </w:p>
          <w:tbl>
            <w:tblPr>
              <w:tblStyle w:val="34"/>
              <w:tblW w:w="7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24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27" w:type="dxa"/>
                  <w:vAlign w:val="center"/>
                </w:tcPr>
                <w:p>
                  <w:pPr>
                    <w:pStyle w:val="49"/>
                    <w:rPr>
                      <w:color w:val="auto"/>
                    </w:rPr>
                  </w:pPr>
                  <w:r>
                    <w:rPr>
                      <w:rFonts w:hint="eastAsia"/>
                      <w:color w:val="auto"/>
                    </w:rPr>
                    <w:t>文件内容</w:t>
                  </w:r>
                </w:p>
              </w:tc>
              <w:tc>
                <w:tcPr>
                  <w:tcW w:w="2410" w:type="dxa"/>
                  <w:vAlign w:val="center"/>
                </w:tcPr>
                <w:p>
                  <w:pPr>
                    <w:pStyle w:val="49"/>
                    <w:rPr>
                      <w:color w:val="auto"/>
                    </w:rPr>
                  </w:pPr>
                  <w:r>
                    <w:rPr>
                      <w:color w:val="auto"/>
                    </w:rPr>
                    <w:t>本项目建设内容</w:t>
                  </w:r>
                </w:p>
              </w:tc>
              <w:tc>
                <w:tcPr>
                  <w:tcW w:w="945" w:type="dxa"/>
                  <w:vAlign w:val="center"/>
                </w:tcPr>
                <w:p>
                  <w:pPr>
                    <w:pStyle w:val="49"/>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4327" w:type="dxa"/>
                  <w:vAlign w:val="center"/>
                </w:tcPr>
                <w:p>
                  <w:pPr>
                    <w:pStyle w:val="49"/>
                    <w:jc w:val="left"/>
                    <w:rPr>
                      <w:color w:val="auto"/>
                    </w:rPr>
                  </w:pPr>
                  <w:r>
                    <w:rPr>
                      <w:rFonts w:hint="eastAsia"/>
                      <w:color w:val="auto"/>
                    </w:rPr>
                    <w:t>四、主要任务-（一）加大产业结构调整-2.严格建设项目环境准入。提高VOCs排放重点行业环保准入门槛，严格控制新增污染物排放量。新建涉VOCs排放的工业企业要入杜集经济开发区。新、改、扩建涉VOCs排放项目，应从源头加强控制，使用低（无）VOCs含量的原辅材料，加强废气收集，安装高效治理设施。</w:t>
                  </w:r>
                </w:p>
              </w:tc>
              <w:tc>
                <w:tcPr>
                  <w:tcW w:w="2410" w:type="dxa"/>
                  <w:vAlign w:val="center"/>
                </w:tcPr>
                <w:p>
                  <w:pPr>
                    <w:pStyle w:val="49"/>
                    <w:jc w:val="both"/>
                    <w:rPr>
                      <w:color w:val="auto"/>
                    </w:rPr>
                  </w:pPr>
                  <w:r>
                    <w:rPr>
                      <w:rFonts w:hint="eastAsia"/>
                      <w:color w:val="auto"/>
                    </w:rPr>
                    <w:t>位于杜集区杜集经济开发区；建设单位拟对VOCs产生工序加强废气收集，安装过滤棉+二级活性炭</w:t>
                  </w:r>
                  <w:r>
                    <w:rPr>
                      <w:rFonts w:hint="eastAsia"/>
                      <w:color w:val="auto"/>
                      <w:szCs w:val="21"/>
                    </w:rPr>
                    <w:t>（活性炭纤维+活性炭颗粒）</w:t>
                  </w:r>
                  <w:r>
                    <w:rPr>
                      <w:rFonts w:hint="eastAsia"/>
                      <w:color w:val="auto"/>
                    </w:rPr>
                    <w:t>吸附装置对VOCs进行治理。</w:t>
                  </w:r>
                </w:p>
              </w:tc>
              <w:tc>
                <w:tcPr>
                  <w:tcW w:w="945" w:type="dxa"/>
                  <w:vAlign w:val="center"/>
                </w:tcPr>
                <w:p>
                  <w:pPr>
                    <w:pStyle w:val="49"/>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4327" w:type="dxa"/>
                  <w:vAlign w:val="center"/>
                </w:tcPr>
                <w:p>
                  <w:pPr>
                    <w:pStyle w:val="49"/>
                    <w:jc w:val="left"/>
                    <w:rPr>
                      <w:color w:val="auto"/>
                    </w:rPr>
                  </w:pPr>
                  <w:r>
                    <w:rPr>
                      <w:rFonts w:hint="eastAsia"/>
                      <w:color w:val="auto"/>
                    </w:rPr>
                    <w:t>四、主要任务-（二）加强VOCs无组织排放管控。针对我市多数涉VOCs企业无组织排放情况严重，需要强化VOCs无组织排放管控，将无组织排放转变为有组织排放进行控制，优先采用密闭设备、在密闭空间中操作或采用全密闭集气系统收集方式；对于采用局部集气系统的，应根据废气排放特点合理选择收集点位，距集气系统开口面最远处的VOCs无组织排放位置，控制风速不低于0.3米/秒。对于无法实现有组织排放的企业要严格按照《挥发性有机物无组织排放控制标准》进行监管。</w:t>
                  </w:r>
                </w:p>
              </w:tc>
              <w:tc>
                <w:tcPr>
                  <w:tcW w:w="2410" w:type="dxa"/>
                  <w:vAlign w:val="center"/>
                </w:tcPr>
                <w:p>
                  <w:pPr>
                    <w:pStyle w:val="49"/>
                    <w:jc w:val="both"/>
                    <w:rPr>
                      <w:color w:val="auto"/>
                    </w:rPr>
                  </w:pPr>
                  <w:r>
                    <w:rPr>
                      <w:rFonts w:hint="eastAsia"/>
                      <w:color w:val="auto"/>
                    </w:rPr>
                    <w:t>建设单位拟建设密闭式喷漆晾干房，尽力最大限度将无组织排放转变为有组织排放进行控制，且根据废气排放特点合理选择收集点位，距集气系统开口面最远处的VOCs无组织排放位置，控制风速不低于0.3米/秒，严格按照《挥发性有机物无组织排放控制标准》进行监管</w:t>
                  </w:r>
                </w:p>
              </w:tc>
              <w:tc>
                <w:tcPr>
                  <w:tcW w:w="945" w:type="dxa"/>
                  <w:vAlign w:val="center"/>
                </w:tcPr>
                <w:p>
                  <w:pPr>
                    <w:pStyle w:val="49"/>
                    <w:rPr>
                      <w:color w:val="auto"/>
                    </w:rPr>
                  </w:pPr>
                  <w:r>
                    <w:rPr>
                      <w:rFonts w:hint="eastAsia"/>
                      <w:color w:val="auto"/>
                    </w:rPr>
                    <w:t>符合</w:t>
                  </w:r>
                </w:p>
              </w:tc>
            </w:tr>
          </w:tbl>
          <w:p>
            <w:pPr>
              <w:pStyle w:val="2"/>
              <w:spacing w:line="360" w:lineRule="auto"/>
              <w:ind w:firstLine="0"/>
              <w:rPr>
                <w:b/>
                <w:bCs/>
                <w:color w:val="auto"/>
                <w:sz w:val="24"/>
                <w:szCs w:val="24"/>
              </w:rPr>
            </w:pPr>
            <w:r>
              <w:rPr>
                <w:rFonts w:hint="eastAsia"/>
                <w:b/>
                <w:bCs/>
                <w:color w:val="auto"/>
                <w:sz w:val="24"/>
                <w:szCs w:val="24"/>
              </w:rPr>
              <w:t>（10）与《环境空气细颗粒物污染综合防治技术政策》符合性分析</w:t>
            </w:r>
          </w:p>
          <w:p>
            <w:pPr>
              <w:adjustRightInd w:val="0"/>
              <w:snapToGrid w:val="0"/>
              <w:jc w:val="center"/>
              <w:rPr>
                <w:b/>
                <w:bCs/>
                <w:color w:val="auto"/>
                <w:szCs w:val="21"/>
              </w:rPr>
            </w:pPr>
            <w:r>
              <w:rPr>
                <w:rFonts w:hint="eastAsia"/>
                <w:b/>
                <w:bCs/>
                <w:color w:val="auto"/>
                <w:sz w:val="24"/>
                <w:szCs w:val="24"/>
              </w:rPr>
              <w:t xml:space="preserve">表1-14  </w:t>
            </w:r>
            <w:r>
              <w:rPr>
                <w:b/>
                <w:bCs/>
                <w:color w:val="auto"/>
                <w:sz w:val="24"/>
                <w:szCs w:val="24"/>
              </w:rPr>
              <w:t>与《</w:t>
            </w:r>
            <w:r>
              <w:rPr>
                <w:rFonts w:hint="eastAsia"/>
                <w:b/>
                <w:bCs/>
                <w:color w:val="auto"/>
                <w:sz w:val="24"/>
                <w:szCs w:val="24"/>
              </w:rPr>
              <w:t>环境空气细颗粒物污染综合防治技术政策</w:t>
            </w:r>
            <w:r>
              <w:rPr>
                <w:b/>
                <w:bCs/>
                <w:color w:val="auto"/>
                <w:sz w:val="24"/>
                <w:szCs w:val="24"/>
              </w:rPr>
              <w:t>》符合性分析</w:t>
            </w:r>
          </w:p>
          <w:tbl>
            <w:tblPr>
              <w:tblStyle w:val="34"/>
              <w:tblW w:w="7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242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99" w:type="dxa"/>
                  <w:vAlign w:val="center"/>
                </w:tcPr>
                <w:p>
                  <w:pPr>
                    <w:pStyle w:val="49"/>
                    <w:rPr>
                      <w:color w:val="auto"/>
                    </w:rPr>
                  </w:pPr>
                  <w:r>
                    <w:rPr>
                      <w:rFonts w:hint="eastAsia"/>
                      <w:color w:val="auto"/>
                    </w:rPr>
                    <w:t>文件内容</w:t>
                  </w:r>
                </w:p>
              </w:tc>
              <w:tc>
                <w:tcPr>
                  <w:tcW w:w="2554" w:type="dxa"/>
                  <w:vAlign w:val="center"/>
                </w:tcPr>
                <w:p>
                  <w:pPr>
                    <w:pStyle w:val="49"/>
                    <w:rPr>
                      <w:color w:val="auto"/>
                    </w:rPr>
                  </w:pPr>
                  <w:r>
                    <w:rPr>
                      <w:color w:val="auto"/>
                    </w:rPr>
                    <w:t>本项目建设内容</w:t>
                  </w:r>
                </w:p>
              </w:tc>
              <w:tc>
                <w:tcPr>
                  <w:tcW w:w="1031" w:type="dxa"/>
                  <w:vAlign w:val="center"/>
                </w:tcPr>
                <w:p>
                  <w:pPr>
                    <w:pStyle w:val="49"/>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499" w:type="dxa"/>
                  <w:vAlign w:val="center"/>
                </w:tcPr>
                <w:p>
                  <w:pPr>
                    <w:pStyle w:val="49"/>
                    <w:jc w:val="left"/>
                    <w:rPr>
                      <w:color w:val="auto"/>
                    </w:rPr>
                  </w:pPr>
                  <w:r>
                    <w:rPr>
                      <w:color w:val="auto"/>
                    </w:rPr>
                    <w:t>产生</w:t>
                  </w:r>
                  <w:r>
                    <w:rPr>
                      <w:color w:val="auto"/>
                    </w:rPr>
                    <w:fldChar w:fldCharType="begin"/>
                  </w:r>
                  <w:r>
                    <w:rPr>
                      <w:color w:val="auto"/>
                    </w:rPr>
                    <w:instrText xml:space="preserve"> HYPERLINK "https://baike.sogou.com/lemma/ShowInnerLink.htm?lemmaId=99678280&amp;ss_c=ssc.citiao.link" \t "_blank" </w:instrText>
                  </w:r>
                  <w:r>
                    <w:rPr>
                      <w:color w:val="auto"/>
                    </w:rPr>
                    <w:fldChar w:fldCharType="separate"/>
                  </w:r>
                  <w:r>
                    <w:rPr>
                      <w:color w:val="auto"/>
                    </w:rPr>
                    <w:t>大气颗粒物</w:t>
                  </w:r>
                  <w:r>
                    <w:rPr>
                      <w:color w:val="auto"/>
                    </w:rPr>
                    <w:fldChar w:fldCharType="end"/>
                  </w:r>
                  <w:r>
                    <w:rPr>
                      <w:color w:val="auto"/>
                    </w:rPr>
                    <w:t>及其前体物污染物的生产活动应尽量采用密闭装置，避免</w:t>
                  </w:r>
                  <w:r>
                    <w:rPr>
                      <w:color w:val="auto"/>
                    </w:rPr>
                    <w:fldChar w:fldCharType="begin"/>
                  </w:r>
                  <w:r>
                    <w:rPr>
                      <w:color w:val="auto"/>
                    </w:rPr>
                    <w:instrText xml:space="preserve"> HYPERLINK "https://baike.sogou.com/lemma/ShowInnerLink.htm?lemmaId=7659638&amp;ss_c=ssc.citiao.link" \t "_blank" </w:instrText>
                  </w:r>
                  <w:r>
                    <w:rPr>
                      <w:color w:val="auto"/>
                    </w:rPr>
                    <w:fldChar w:fldCharType="separate"/>
                  </w:r>
                  <w:r>
                    <w:rPr>
                      <w:color w:val="auto"/>
                    </w:rPr>
                    <w:t>无组织排放</w:t>
                  </w:r>
                  <w:r>
                    <w:rPr>
                      <w:color w:val="auto"/>
                    </w:rPr>
                    <w:fldChar w:fldCharType="end"/>
                  </w:r>
                  <w:r>
                    <w:rPr>
                      <w:color w:val="auto"/>
                    </w:rPr>
                    <w:t>；无法完全密闭的，应安装集气装置收集逸散的污染物，经净化后排放。应调整产业结构，强化</w:t>
                  </w:r>
                  <w:r>
                    <w:rPr>
                      <w:color w:val="auto"/>
                    </w:rPr>
                    <w:fldChar w:fldCharType="begin"/>
                  </w:r>
                  <w:r>
                    <w:rPr>
                      <w:color w:val="auto"/>
                    </w:rPr>
                    <w:instrText xml:space="preserve"> HYPERLINK "https://baike.sogou.com/lemma/ShowInnerLink.htm?lemmaId=68402&amp;ss_c=ssc.citiao.link" \t "_blank" </w:instrText>
                  </w:r>
                  <w:r>
                    <w:rPr>
                      <w:color w:val="auto"/>
                    </w:rPr>
                    <w:fldChar w:fldCharType="separate"/>
                  </w:r>
                  <w:r>
                    <w:rPr>
                      <w:color w:val="auto"/>
                    </w:rPr>
                    <w:t>规划环评</w:t>
                  </w:r>
                  <w:r>
                    <w:rPr>
                      <w:color w:val="auto"/>
                    </w:rPr>
                    <w:fldChar w:fldCharType="end"/>
                  </w:r>
                  <w:r>
                    <w:rPr>
                      <w:color w:val="auto"/>
                    </w:rPr>
                    <w:t>和</w:t>
                  </w:r>
                  <w:r>
                    <w:rPr>
                      <w:color w:val="auto"/>
                    </w:rPr>
                    <w:fldChar w:fldCharType="begin"/>
                  </w:r>
                  <w:r>
                    <w:rPr>
                      <w:color w:val="auto"/>
                    </w:rPr>
                    <w:instrText xml:space="preserve"> HYPERLINK "https://baike.sogou.com/lemma/ShowInnerLink.htm?lemmaId=63132681&amp;ss_c=ssc.citiao.link" \t "_blank" </w:instrText>
                  </w:r>
                  <w:r>
                    <w:rPr>
                      <w:color w:val="auto"/>
                    </w:rPr>
                    <w:fldChar w:fldCharType="separate"/>
                  </w:r>
                  <w:r>
                    <w:rPr>
                      <w:color w:val="auto"/>
                    </w:rPr>
                    <w:t>项目环评</w:t>
                  </w:r>
                  <w:r>
                    <w:rPr>
                      <w:color w:val="auto"/>
                    </w:rPr>
                    <w:fldChar w:fldCharType="end"/>
                  </w:r>
                  <w:r>
                    <w:rPr>
                      <w:color w:val="auto"/>
                    </w:rPr>
                    <w:t>，严格实施准入制度，必要时对重点区域和重点行业采取限批措施；淘汰落后产能，形成合理的产业分布空间格局。</w:t>
                  </w:r>
                </w:p>
              </w:tc>
              <w:tc>
                <w:tcPr>
                  <w:tcW w:w="2554" w:type="dxa"/>
                  <w:vAlign w:val="center"/>
                </w:tcPr>
                <w:p>
                  <w:pPr>
                    <w:pStyle w:val="49"/>
                    <w:jc w:val="both"/>
                    <w:rPr>
                      <w:color w:val="auto"/>
                    </w:rPr>
                  </w:pPr>
                  <w:r>
                    <w:rPr>
                      <w:color w:val="auto"/>
                    </w:rPr>
                    <w:t>本项目不属于落后产能，原料堆放区设置封闭式车间，安装集气装置收集逸散的污染物，经净化后排放。</w:t>
                  </w:r>
                </w:p>
              </w:tc>
              <w:tc>
                <w:tcPr>
                  <w:tcW w:w="1031" w:type="dxa"/>
                  <w:vAlign w:val="center"/>
                </w:tcPr>
                <w:p>
                  <w:pPr>
                    <w:pStyle w:val="49"/>
                    <w:rPr>
                      <w:color w:val="auto"/>
                    </w:rPr>
                  </w:pPr>
                  <w:r>
                    <w:rPr>
                      <w:rFonts w:hint="eastAsia"/>
                      <w:color w:val="auto"/>
                    </w:rPr>
                    <w:t>符合</w:t>
                  </w:r>
                </w:p>
              </w:tc>
            </w:tr>
          </w:tbl>
          <w:p>
            <w:pPr>
              <w:autoSpaceDE w:val="0"/>
              <w:autoSpaceDN w:val="0"/>
              <w:adjustRightInd w:val="0"/>
              <w:snapToGrid w:val="0"/>
              <w:spacing w:line="360" w:lineRule="auto"/>
              <w:rPr>
                <w:b/>
                <w:bCs/>
                <w:color w:val="auto"/>
                <w:sz w:val="24"/>
                <w:szCs w:val="24"/>
              </w:rPr>
            </w:pPr>
            <w:r>
              <w:rPr>
                <w:rFonts w:hint="eastAsia"/>
                <w:b/>
                <w:bCs/>
                <w:color w:val="auto"/>
                <w:sz w:val="24"/>
                <w:szCs w:val="24"/>
              </w:rPr>
              <w:t>（11）与《安徽省大气办关于深入开展挥发性有机物污染治理工作的通知》符合性分析</w:t>
            </w:r>
          </w:p>
          <w:p>
            <w:pPr>
              <w:autoSpaceDE w:val="0"/>
              <w:autoSpaceDN w:val="0"/>
              <w:adjustRightInd w:val="0"/>
              <w:snapToGrid w:val="0"/>
              <w:spacing w:line="360" w:lineRule="auto"/>
              <w:ind w:firstLine="480" w:firstLineChars="200"/>
              <w:rPr>
                <w:b/>
                <w:bCs/>
                <w:color w:val="auto"/>
                <w:sz w:val="24"/>
                <w:szCs w:val="24"/>
              </w:rPr>
            </w:pPr>
            <w:r>
              <w:rPr>
                <w:color w:val="auto"/>
                <w:sz w:val="24"/>
                <w:szCs w:val="24"/>
              </w:rPr>
              <w:t>202</w:t>
            </w:r>
            <w:r>
              <w:rPr>
                <w:rFonts w:hint="eastAsia"/>
                <w:color w:val="auto"/>
                <w:sz w:val="24"/>
                <w:szCs w:val="24"/>
              </w:rPr>
              <w:t>1</w:t>
            </w:r>
            <w:r>
              <w:rPr>
                <w:color w:val="auto"/>
                <w:sz w:val="24"/>
                <w:szCs w:val="24"/>
              </w:rPr>
              <w:t>年6月17日，安徽省大气污染防治联席会议办公室</w:t>
            </w:r>
            <w:r>
              <w:rPr>
                <w:rFonts w:hint="eastAsia"/>
                <w:color w:val="auto"/>
                <w:sz w:val="24"/>
                <w:szCs w:val="24"/>
              </w:rPr>
              <w:t>发布了</w:t>
            </w:r>
            <w:r>
              <w:rPr>
                <w:color w:val="auto"/>
                <w:sz w:val="24"/>
                <w:szCs w:val="24"/>
              </w:rPr>
              <w:t>《安徽省大气办关于深入开展挥发性有机物污染治理工作的通知》</w:t>
            </w:r>
            <w:r>
              <w:rPr>
                <w:rFonts w:hint="eastAsia"/>
                <w:color w:val="auto"/>
                <w:sz w:val="24"/>
                <w:szCs w:val="24"/>
              </w:rPr>
              <w:t>（</w:t>
            </w:r>
            <w:r>
              <w:rPr>
                <w:color w:val="auto"/>
                <w:sz w:val="24"/>
                <w:szCs w:val="24"/>
              </w:rPr>
              <w:t>皖大气办〔2021〕4号</w:t>
            </w:r>
            <w:r>
              <w:rPr>
                <w:rFonts w:hint="eastAsia"/>
                <w:color w:val="auto"/>
                <w:sz w:val="24"/>
                <w:szCs w:val="24"/>
              </w:rPr>
              <w:t>），</w:t>
            </w:r>
            <w:r>
              <w:rPr>
                <w:color w:val="auto"/>
                <w:sz w:val="24"/>
                <w:szCs w:val="24"/>
              </w:rPr>
              <w:t>本项目</w:t>
            </w:r>
            <w:r>
              <w:rPr>
                <w:rFonts w:hint="eastAsia"/>
                <w:color w:val="auto"/>
                <w:sz w:val="24"/>
                <w:szCs w:val="24"/>
              </w:rPr>
              <w:t>与之</w:t>
            </w:r>
            <w:r>
              <w:rPr>
                <w:color w:val="auto"/>
                <w:sz w:val="24"/>
                <w:szCs w:val="24"/>
              </w:rPr>
              <w:t>符合性分析见表1-</w:t>
            </w:r>
            <w:r>
              <w:rPr>
                <w:rFonts w:hint="eastAsia"/>
                <w:color w:val="auto"/>
                <w:sz w:val="24"/>
                <w:szCs w:val="24"/>
              </w:rPr>
              <w:t>15</w:t>
            </w:r>
            <w:r>
              <w:rPr>
                <w:color w:val="auto"/>
                <w:sz w:val="24"/>
                <w:szCs w:val="24"/>
              </w:rPr>
              <w:t>。</w:t>
            </w:r>
          </w:p>
          <w:p>
            <w:pPr>
              <w:autoSpaceDE w:val="0"/>
              <w:autoSpaceDN w:val="0"/>
              <w:adjustRightInd w:val="0"/>
              <w:snapToGrid w:val="0"/>
              <w:spacing w:line="360" w:lineRule="auto"/>
              <w:ind w:firstLine="482" w:firstLineChars="200"/>
              <w:jc w:val="center"/>
              <w:rPr>
                <w:rFonts w:hint="eastAsia"/>
                <w:b/>
                <w:bCs/>
                <w:color w:val="auto"/>
                <w:sz w:val="24"/>
                <w:szCs w:val="24"/>
              </w:rPr>
            </w:pPr>
            <w:r>
              <w:rPr>
                <w:rFonts w:hint="eastAsia"/>
                <w:b/>
                <w:bCs/>
                <w:color w:val="auto"/>
                <w:sz w:val="24"/>
                <w:szCs w:val="24"/>
              </w:rPr>
              <w:t xml:space="preserve">表1-15 </w:t>
            </w:r>
            <w:r>
              <w:rPr>
                <w:rFonts w:hint="eastAsia"/>
                <w:b/>
                <w:bCs/>
                <w:color w:val="auto"/>
                <w:sz w:val="24"/>
                <w:szCs w:val="24"/>
                <w:lang w:val="en-US" w:eastAsia="zh-CN"/>
              </w:rPr>
              <w:t xml:space="preserve"> </w:t>
            </w:r>
            <w:r>
              <w:rPr>
                <w:rFonts w:hint="eastAsia"/>
                <w:b/>
                <w:bCs/>
                <w:color w:val="auto"/>
                <w:sz w:val="24"/>
                <w:szCs w:val="24"/>
              </w:rPr>
              <w:t>与皖大气办〔2021〕符合性分析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2816"/>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pct"/>
                  <w:vAlign w:val="center"/>
                </w:tcPr>
                <w:p>
                  <w:pPr>
                    <w:autoSpaceDE w:val="0"/>
                    <w:autoSpaceDN w:val="0"/>
                    <w:adjustRightInd w:val="0"/>
                    <w:snapToGrid w:val="0"/>
                    <w:jc w:val="center"/>
                    <w:rPr>
                      <w:color w:val="auto"/>
                      <w:szCs w:val="21"/>
                    </w:rPr>
                  </w:pPr>
                  <w:r>
                    <w:rPr>
                      <w:color w:val="auto"/>
                      <w:szCs w:val="21"/>
                    </w:rPr>
                    <w:t>《安徽省大气办关于深入开展挥发性有机物污染治理工作的通知》内容</w:t>
                  </w:r>
                </w:p>
              </w:tc>
              <w:tc>
                <w:tcPr>
                  <w:tcW w:w="1825" w:type="pct"/>
                  <w:vAlign w:val="center"/>
                </w:tcPr>
                <w:p>
                  <w:pPr>
                    <w:autoSpaceDE w:val="0"/>
                    <w:autoSpaceDN w:val="0"/>
                    <w:adjustRightInd w:val="0"/>
                    <w:snapToGrid w:val="0"/>
                    <w:jc w:val="center"/>
                    <w:rPr>
                      <w:color w:val="auto"/>
                      <w:szCs w:val="21"/>
                    </w:rPr>
                  </w:pPr>
                  <w:r>
                    <w:rPr>
                      <w:color w:val="auto"/>
                      <w:szCs w:val="21"/>
                    </w:rPr>
                    <w:t>本项目建设内容</w:t>
                  </w:r>
                </w:p>
              </w:tc>
              <w:tc>
                <w:tcPr>
                  <w:tcW w:w="445" w:type="pct"/>
                  <w:vAlign w:val="center"/>
                </w:tcPr>
                <w:p>
                  <w:pPr>
                    <w:autoSpaceDE w:val="0"/>
                    <w:autoSpaceDN w:val="0"/>
                    <w:adjustRightInd w:val="0"/>
                    <w:snapToGrid w:val="0"/>
                    <w:jc w:val="center"/>
                    <w:rPr>
                      <w:color w:val="auto"/>
                      <w:szCs w:val="21"/>
                    </w:rPr>
                  </w:pPr>
                  <w:r>
                    <w:rPr>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pct"/>
                  <w:vAlign w:val="center"/>
                </w:tcPr>
                <w:p>
                  <w:pPr>
                    <w:autoSpaceDE w:val="0"/>
                    <w:autoSpaceDN w:val="0"/>
                    <w:adjustRightInd w:val="0"/>
                    <w:snapToGrid w:val="0"/>
                    <w:jc w:val="left"/>
                    <w:rPr>
                      <w:color w:val="auto"/>
                      <w:szCs w:val="21"/>
                    </w:rPr>
                  </w:pPr>
                  <w:r>
                    <w:rPr>
                      <w:color w:val="auto"/>
                      <w:szCs w:val="21"/>
                    </w:rPr>
                    <w:t>重点推进源头削减。鼓励支持使用涂料、</w:t>
                  </w:r>
                  <w:r>
                    <w:rPr>
                      <w:rFonts w:hint="eastAsia"/>
                      <w:color w:val="auto"/>
                      <w:szCs w:val="21"/>
                    </w:rPr>
                    <w:t>漆料</w:t>
                  </w:r>
                  <w:r>
                    <w:rPr>
                      <w:color w:val="auto"/>
                      <w:szCs w:val="21"/>
                    </w:rPr>
                    <w:t>、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1825" w:type="pct"/>
                  <w:vAlign w:val="center"/>
                </w:tcPr>
                <w:p>
                  <w:pPr>
                    <w:autoSpaceDE w:val="0"/>
                    <w:autoSpaceDN w:val="0"/>
                    <w:adjustRightInd w:val="0"/>
                    <w:snapToGrid w:val="0"/>
                    <w:jc w:val="left"/>
                    <w:rPr>
                      <w:color w:val="auto"/>
                      <w:szCs w:val="21"/>
                    </w:rPr>
                  </w:pPr>
                  <w:r>
                    <w:rPr>
                      <w:rFonts w:hint="eastAsia"/>
                      <w:color w:val="auto"/>
                      <w:szCs w:val="21"/>
                    </w:rPr>
                    <w:t>本项目属于C3499其他未列明通用设备制造业，要求企业积极推进源头削减工作，实现</w:t>
                  </w:r>
                  <w:r>
                    <w:rPr>
                      <w:color w:val="auto"/>
                      <w:szCs w:val="21"/>
                    </w:rPr>
                    <w:t>低VOCs含量原辅材料的源头替代</w:t>
                  </w:r>
                  <w:r>
                    <w:rPr>
                      <w:rFonts w:hint="eastAsia"/>
                      <w:color w:val="auto"/>
                      <w:szCs w:val="21"/>
                    </w:rPr>
                    <w:t>。</w:t>
                  </w:r>
                  <w:r>
                    <w:rPr>
                      <w:color w:val="auto"/>
                      <w:szCs w:val="21"/>
                    </w:rPr>
                    <w:t>企业建立管理台账，记录VOCs原辅材料的产品名称、VOCs含量和使用量等。</w:t>
                  </w:r>
                </w:p>
              </w:tc>
              <w:tc>
                <w:tcPr>
                  <w:tcW w:w="445" w:type="pct"/>
                  <w:vAlign w:val="center"/>
                </w:tcPr>
                <w:p>
                  <w:pPr>
                    <w:autoSpaceDE w:val="0"/>
                    <w:autoSpaceDN w:val="0"/>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pct"/>
                  <w:vAlign w:val="center"/>
                </w:tcPr>
                <w:p>
                  <w:pPr>
                    <w:autoSpaceDE w:val="0"/>
                    <w:autoSpaceDN w:val="0"/>
                    <w:adjustRightInd w:val="0"/>
                    <w:snapToGrid w:val="0"/>
                    <w:jc w:val="left"/>
                    <w:rPr>
                      <w:color w:val="auto"/>
                      <w:szCs w:val="21"/>
                    </w:rPr>
                  </w:pPr>
                  <w:r>
                    <w:rPr>
                      <w:color w:val="auto"/>
                      <w:szCs w:val="21"/>
                    </w:rPr>
                    <w:t>落实综合治理任务。按照“项目确定</w:t>
                  </w:r>
                  <w:r>
                    <w:rPr>
                      <w:rFonts w:hint="eastAsia"/>
                      <w:color w:val="auto"/>
                      <w:szCs w:val="21"/>
                    </w:rPr>
                    <w:t xml:space="preserve"> </w:t>
                  </w:r>
                  <w:r>
                    <w:rPr>
                      <w:color w:val="auto"/>
                      <w:szCs w:val="21"/>
                    </w:rPr>
                    <w:t>技术评估跟踪推进”技术路径，企业根据计划完成时间，以月为单位倒排工期落实治理项目。各地生态环境部门按月跟踪项目进展，对落后序时进度的企业，及时提醒预警，确保当年治理任务目标。</w:t>
                  </w:r>
                </w:p>
              </w:tc>
              <w:tc>
                <w:tcPr>
                  <w:tcW w:w="1825" w:type="pct"/>
                  <w:vAlign w:val="center"/>
                </w:tcPr>
                <w:p>
                  <w:pPr>
                    <w:autoSpaceDE w:val="0"/>
                    <w:autoSpaceDN w:val="0"/>
                    <w:adjustRightInd w:val="0"/>
                    <w:snapToGrid w:val="0"/>
                    <w:jc w:val="left"/>
                    <w:rPr>
                      <w:color w:val="auto"/>
                      <w:szCs w:val="21"/>
                    </w:rPr>
                  </w:pPr>
                  <w:r>
                    <w:rPr>
                      <w:rFonts w:hint="eastAsia"/>
                      <w:color w:val="auto"/>
                      <w:szCs w:val="21"/>
                    </w:rPr>
                    <w:t>企业明确项目问题导向，通过技术评估要求，合理安排时间落实综合治理要求，加强对项目VOCs产生的控制削减和收集处置，积极配合生态环境部门跟踪项目进度，完成治理目标要求。</w:t>
                  </w:r>
                </w:p>
              </w:tc>
              <w:tc>
                <w:tcPr>
                  <w:tcW w:w="445" w:type="pct"/>
                  <w:vAlign w:val="center"/>
                </w:tcPr>
                <w:p>
                  <w:pPr>
                    <w:autoSpaceDE w:val="0"/>
                    <w:autoSpaceDN w:val="0"/>
                    <w:adjustRightInd w:val="0"/>
                    <w:snapToGrid w:val="0"/>
                    <w:jc w:val="center"/>
                    <w:rPr>
                      <w:color w:val="auto"/>
                      <w:szCs w:val="21"/>
                    </w:rPr>
                  </w:pPr>
                  <w:r>
                    <w:rPr>
                      <w:rFonts w:hint="eastAsia"/>
                      <w:color w:val="auto"/>
                      <w:szCs w:val="21"/>
                    </w:rPr>
                    <w:t>符合</w:t>
                  </w:r>
                </w:p>
              </w:tc>
            </w:tr>
          </w:tbl>
          <w:p>
            <w:pPr>
              <w:pStyle w:val="2"/>
              <w:spacing w:line="360" w:lineRule="auto"/>
              <w:rPr>
                <w:rFonts w:hAnsi="宋体"/>
                <w:b/>
                <w:bCs/>
                <w:color w:val="auto"/>
                <w:sz w:val="24"/>
                <w:szCs w:val="24"/>
              </w:rPr>
            </w:pPr>
            <w:r>
              <w:rPr>
                <w:color w:val="auto"/>
                <w:sz w:val="24"/>
                <w:szCs w:val="24"/>
              </w:rPr>
              <w:t>综上，本项目的建设与地方及行业环保管理的要求是相符的，项目的建设是可行的。</w:t>
            </w:r>
          </w:p>
          <w:p>
            <w:pPr>
              <w:pStyle w:val="2"/>
              <w:spacing w:line="360" w:lineRule="auto"/>
              <w:ind w:firstLine="0"/>
              <w:rPr>
                <w:rFonts w:hAnsi="宋体"/>
                <w:b/>
                <w:bCs/>
                <w:color w:val="auto"/>
                <w:sz w:val="24"/>
                <w:szCs w:val="24"/>
              </w:rPr>
            </w:pPr>
            <w:r>
              <w:rPr>
                <w:rFonts w:hint="eastAsia" w:hAnsi="宋体"/>
                <w:b/>
                <w:bCs/>
                <w:color w:val="auto"/>
                <w:sz w:val="24"/>
                <w:szCs w:val="24"/>
              </w:rPr>
              <w:t>（12）与《挥发性有机物无组织排放控制标准》GB37822-2019符合分析</w:t>
            </w:r>
          </w:p>
          <w:p>
            <w:pPr>
              <w:adjustRightInd w:val="0"/>
              <w:snapToGrid w:val="0"/>
              <w:spacing w:line="360" w:lineRule="auto"/>
              <w:ind w:left="420"/>
              <w:rPr>
                <w:rFonts w:ascii="宋体" w:hAnsi="宋体" w:cs="宋体"/>
                <w:b/>
                <w:bCs/>
                <w:color w:val="auto"/>
                <w:sz w:val="24"/>
                <w:szCs w:val="24"/>
              </w:rPr>
            </w:pPr>
            <w:r>
              <w:rPr>
                <w:rFonts w:hint="eastAsia" w:ascii="宋体" w:hAnsi="宋体" w:cs="宋体"/>
                <w:b/>
                <w:bCs/>
                <w:color w:val="auto"/>
                <w:sz w:val="24"/>
                <w:szCs w:val="24"/>
              </w:rPr>
              <w:t>表1-16  与《挥发性有机物无组织排放控制标准》符合性分析</w:t>
            </w:r>
          </w:p>
          <w:tbl>
            <w:tblPr>
              <w:tblStyle w:val="34"/>
              <w:tblW w:w="7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3"/>
              <w:gridCol w:w="293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813" w:type="dxa"/>
                  <w:vAlign w:val="center"/>
                </w:tcPr>
                <w:p>
                  <w:pPr>
                    <w:adjustRightInd w:val="0"/>
                    <w:snapToGrid w:val="0"/>
                    <w:jc w:val="center"/>
                    <w:rPr>
                      <w:color w:val="auto"/>
                      <w:szCs w:val="21"/>
                    </w:rPr>
                  </w:pPr>
                  <w:r>
                    <w:rPr>
                      <w:rFonts w:hint="eastAsia"/>
                      <w:color w:val="auto"/>
                      <w:szCs w:val="21"/>
                    </w:rPr>
                    <w:t>任务</w:t>
                  </w:r>
                </w:p>
              </w:tc>
              <w:tc>
                <w:tcPr>
                  <w:tcW w:w="2935" w:type="dxa"/>
                  <w:vAlign w:val="center"/>
                </w:tcPr>
                <w:p>
                  <w:pPr>
                    <w:adjustRightInd w:val="0"/>
                    <w:snapToGrid w:val="0"/>
                    <w:jc w:val="center"/>
                    <w:rPr>
                      <w:color w:val="auto"/>
                      <w:szCs w:val="21"/>
                    </w:rPr>
                  </w:pPr>
                  <w:r>
                    <w:rPr>
                      <w:rFonts w:hint="eastAsia"/>
                      <w:color w:val="auto"/>
                      <w:szCs w:val="21"/>
                    </w:rPr>
                    <w:t>本项目情况</w:t>
                  </w:r>
                </w:p>
              </w:tc>
              <w:tc>
                <w:tcPr>
                  <w:tcW w:w="957" w:type="dxa"/>
                  <w:vAlign w:val="center"/>
                </w:tcPr>
                <w:p>
                  <w:pPr>
                    <w:adjustRightInd w:val="0"/>
                    <w:snapToGrid w:val="0"/>
                    <w:jc w:val="center"/>
                    <w:rPr>
                      <w:color w:val="auto"/>
                      <w:szCs w:val="21"/>
                    </w:rPr>
                  </w:pPr>
                  <w:r>
                    <w:rPr>
                      <w:rFonts w:hint="eastAsia"/>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813" w:type="dxa"/>
                  <w:vAlign w:val="center"/>
                </w:tcPr>
                <w:p>
                  <w:pPr>
                    <w:adjustRightInd w:val="0"/>
                    <w:snapToGrid w:val="0"/>
                    <w:spacing w:line="260" w:lineRule="exact"/>
                    <w:jc w:val="left"/>
                    <w:rPr>
                      <w:rFonts w:ascii="宋体" w:hAnsi="宋体" w:cs="宋体"/>
                      <w:color w:val="auto"/>
                      <w:szCs w:val="21"/>
                    </w:rPr>
                  </w:pPr>
                  <w:r>
                    <w:rPr>
                      <w:color w:val="auto"/>
                    </w:rPr>
                    <w:t>VOCs 质量占比大于等于10%的含VOCs 产品，其使用过程应采用密闭设备或在密闭空间内操作，废气应排至VOCs 废气收集处理系统；无法密闭的，应采取局部气体收集措施，废气应排至VOCs废气收集处理系统。</w:t>
                  </w:r>
                </w:p>
              </w:tc>
              <w:tc>
                <w:tcPr>
                  <w:tcW w:w="2935" w:type="dxa"/>
                  <w:vAlign w:val="center"/>
                </w:tcPr>
                <w:p>
                  <w:pPr>
                    <w:adjustRightInd w:val="0"/>
                    <w:snapToGrid w:val="0"/>
                    <w:spacing w:line="260" w:lineRule="exact"/>
                    <w:rPr>
                      <w:rFonts w:ascii="宋体" w:hAnsi="宋体" w:cs="宋体"/>
                      <w:color w:val="auto"/>
                      <w:szCs w:val="21"/>
                    </w:rPr>
                  </w:pPr>
                  <w:r>
                    <w:rPr>
                      <w:color w:val="auto"/>
                    </w:rPr>
                    <w:t>本项目工艺有机废气产生环节为</w:t>
                  </w:r>
                  <w:r>
                    <w:rPr>
                      <w:rFonts w:hint="eastAsia"/>
                      <w:color w:val="auto"/>
                    </w:rPr>
                    <w:t>喷漆晾干</w:t>
                  </w:r>
                  <w:r>
                    <w:rPr>
                      <w:color w:val="auto"/>
                    </w:rPr>
                    <w:t>等工序，</w:t>
                  </w:r>
                  <w:r>
                    <w:rPr>
                      <w:rFonts w:hint="eastAsia"/>
                      <w:color w:val="auto"/>
                    </w:rPr>
                    <w:t>采用内密闭式喷漆房，</w:t>
                  </w:r>
                  <w:r>
                    <w:rPr>
                      <w:color w:val="auto"/>
                    </w:rPr>
                    <w:t>废气</w:t>
                  </w:r>
                  <w:r>
                    <w:rPr>
                      <w:rFonts w:hint="eastAsia"/>
                      <w:color w:val="auto"/>
                    </w:rPr>
                    <w:t>收集后，经“</w:t>
                  </w:r>
                  <w:r>
                    <w:rPr>
                      <w:rFonts w:hint="eastAsia" w:ascii="宋体" w:hAnsi="宋体" w:cs="宋体"/>
                      <w:bCs/>
                      <w:color w:val="auto"/>
                      <w:szCs w:val="21"/>
                    </w:rPr>
                    <w:t>过滤棉+二级活性炭</w:t>
                  </w:r>
                  <w:r>
                    <w:rPr>
                      <w:rFonts w:hint="eastAsia"/>
                      <w:color w:val="auto"/>
                      <w:szCs w:val="21"/>
                    </w:rPr>
                    <w:t>（活性炭纤维+活性炭颗粒）</w:t>
                  </w:r>
                  <w:r>
                    <w:rPr>
                      <w:rFonts w:hint="eastAsia" w:ascii="宋体" w:hAnsi="宋体" w:cs="宋体"/>
                      <w:bCs/>
                      <w:color w:val="auto"/>
                      <w:szCs w:val="21"/>
                    </w:rPr>
                    <w:t>吸附</w:t>
                  </w:r>
                  <w:r>
                    <w:rPr>
                      <w:rFonts w:hint="eastAsia"/>
                      <w:color w:val="auto"/>
                    </w:rPr>
                    <w:t>”</w:t>
                  </w:r>
                  <w:r>
                    <w:rPr>
                      <w:color w:val="auto"/>
                    </w:rPr>
                    <w:t>处理后高空排放</w:t>
                  </w:r>
                </w:p>
              </w:tc>
              <w:tc>
                <w:tcPr>
                  <w:tcW w:w="957" w:type="dxa"/>
                  <w:vAlign w:val="center"/>
                </w:tcPr>
                <w:p>
                  <w:pPr>
                    <w:adjustRightInd w:val="0"/>
                    <w:snapToGrid w:val="0"/>
                    <w:spacing w:line="260" w:lineRule="exact"/>
                    <w:jc w:val="center"/>
                    <w:rPr>
                      <w:rFonts w:ascii="宋体" w:hAnsi="宋体" w:cs="宋体"/>
                      <w:color w:val="auto"/>
                      <w:szCs w:val="21"/>
                    </w:rPr>
                  </w:pPr>
                  <w:r>
                    <w:rPr>
                      <w:color w:val="auto"/>
                    </w:rPr>
                    <w:t>相符</w:t>
                  </w:r>
                </w:p>
              </w:tc>
            </w:tr>
          </w:tbl>
          <w:p>
            <w:pPr>
              <w:spacing w:line="360" w:lineRule="auto"/>
              <w:jc w:val="left"/>
              <w:rPr>
                <w:b/>
                <w:bCs/>
                <w:color w:val="auto"/>
                <w:sz w:val="24"/>
                <w:szCs w:val="24"/>
              </w:rPr>
            </w:pPr>
            <w:r>
              <w:rPr>
                <w:rFonts w:hint="eastAsia"/>
                <w:b/>
                <w:bCs/>
                <w:color w:val="auto"/>
                <w:sz w:val="24"/>
                <w:szCs w:val="24"/>
              </w:rPr>
              <w:t>（13）与《重点行业挥发性有机物综合治理方案》的相符性</w:t>
            </w:r>
          </w:p>
          <w:p>
            <w:pPr>
              <w:spacing w:line="360" w:lineRule="auto"/>
              <w:ind w:firstLine="480" w:firstLineChars="200"/>
              <w:jc w:val="left"/>
              <w:rPr>
                <w:b/>
                <w:bCs/>
                <w:color w:val="auto"/>
                <w:sz w:val="24"/>
                <w:szCs w:val="24"/>
              </w:rPr>
            </w:pPr>
            <w:r>
              <w:rPr>
                <w:rFonts w:hint="eastAsia"/>
                <w:color w:val="auto"/>
                <w:sz w:val="24"/>
                <w:szCs w:val="24"/>
              </w:rPr>
              <w:t>根据《重点行业挥发性有机物综合治理方案》，安徽属于挥发性有机物重点控制区域，本项目与该治理方案的符合性见下表。</w:t>
            </w:r>
          </w:p>
          <w:p>
            <w:pPr>
              <w:spacing w:line="360" w:lineRule="auto"/>
              <w:jc w:val="center"/>
              <w:rPr>
                <w:b/>
                <w:bCs/>
                <w:color w:val="auto"/>
                <w:sz w:val="24"/>
                <w:szCs w:val="24"/>
              </w:rPr>
            </w:pPr>
            <w:r>
              <w:rPr>
                <w:b/>
                <w:bCs/>
                <w:color w:val="auto"/>
                <w:sz w:val="24"/>
                <w:szCs w:val="24"/>
              </w:rPr>
              <w:t>表1-</w:t>
            </w:r>
            <w:r>
              <w:rPr>
                <w:rFonts w:hint="eastAsia"/>
                <w:b/>
                <w:bCs/>
                <w:color w:val="auto"/>
                <w:sz w:val="24"/>
                <w:szCs w:val="24"/>
              </w:rPr>
              <w:t>17  与《重点行业挥发性有机物综合治理方案》相符性分析</w:t>
            </w:r>
          </w:p>
          <w:tbl>
            <w:tblPr>
              <w:tblStyle w:val="34"/>
              <w:tblW w:w="7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214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649" w:type="dxa"/>
                  <w:tcBorders>
                    <w:tl2br w:val="nil"/>
                    <w:tr2bl w:val="nil"/>
                  </w:tcBorders>
                </w:tcPr>
                <w:p>
                  <w:pPr>
                    <w:spacing w:line="260" w:lineRule="exact"/>
                    <w:jc w:val="center"/>
                    <w:rPr>
                      <w:color w:val="auto"/>
                      <w:szCs w:val="21"/>
                    </w:rPr>
                  </w:pPr>
                  <w:r>
                    <w:rPr>
                      <w:rFonts w:hint="eastAsia"/>
                      <w:color w:val="auto"/>
                      <w:szCs w:val="21"/>
                    </w:rPr>
                    <w:t>文件要求</w:t>
                  </w:r>
                </w:p>
              </w:tc>
              <w:tc>
                <w:tcPr>
                  <w:tcW w:w="2148" w:type="dxa"/>
                  <w:tcBorders>
                    <w:tl2br w:val="nil"/>
                    <w:tr2bl w:val="nil"/>
                  </w:tcBorders>
                </w:tcPr>
                <w:p>
                  <w:pPr>
                    <w:spacing w:line="260" w:lineRule="exact"/>
                    <w:jc w:val="center"/>
                    <w:rPr>
                      <w:color w:val="auto"/>
                      <w:szCs w:val="21"/>
                    </w:rPr>
                  </w:pPr>
                  <w:r>
                    <w:rPr>
                      <w:rFonts w:hint="eastAsia"/>
                      <w:color w:val="auto"/>
                      <w:szCs w:val="21"/>
                    </w:rPr>
                    <w:t>项目情况</w:t>
                  </w:r>
                </w:p>
              </w:tc>
              <w:tc>
                <w:tcPr>
                  <w:tcW w:w="978" w:type="dxa"/>
                  <w:tcBorders>
                    <w:tl2br w:val="nil"/>
                    <w:tr2bl w:val="nil"/>
                  </w:tcBorders>
                </w:tcPr>
                <w:p>
                  <w:pPr>
                    <w:spacing w:line="260" w:lineRule="exact"/>
                    <w:jc w:val="center"/>
                    <w:rPr>
                      <w:color w:val="auto"/>
                      <w:szCs w:val="21"/>
                    </w:rPr>
                  </w:pPr>
                  <w:r>
                    <w:rPr>
                      <w:rFonts w:hint="eastAsia"/>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4649" w:type="dxa"/>
                  <w:tcBorders>
                    <w:tl2br w:val="nil"/>
                    <w:tr2bl w:val="nil"/>
                  </w:tcBorders>
                  <w:vAlign w:val="center"/>
                </w:tcPr>
                <w:p>
                  <w:pPr>
                    <w:spacing w:line="260" w:lineRule="exact"/>
                    <w:jc w:val="left"/>
                    <w:rPr>
                      <w:color w:val="auto"/>
                      <w:szCs w:val="21"/>
                    </w:rPr>
                  </w:pPr>
                  <w:r>
                    <w:rPr>
                      <w:rFonts w:hint="eastAsia"/>
                      <w:color w:val="auto"/>
                      <w:szCs w:val="21"/>
                    </w:rPr>
                    <w:t>全面加大石油炼制及有机化学品、合成树脂、合成纤维、合成橡胶等行业VOCs治理力度。重点加强密封点泄漏、废水和循环水系统、储罐、有机液体装卸、工艺废气等源项VOCs治理工作，确保稳定达标排放。重点区域要进一步加大其他源项治理力度，禁止熄灭火炬系统长明灯，设置视频监控装置；非正常工况排放的VOCs，应吹扫至火炬系统或密闭收集处理；含VOCs废液废渣应密闭储存；</w:t>
                  </w:r>
                </w:p>
              </w:tc>
              <w:tc>
                <w:tcPr>
                  <w:tcW w:w="2148" w:type="dxa"/>
                  <w:tcBorders>
                    <w:tl2br w:val="nil"/>
                    <w:tr2bl w:val="nil"/>
                  </w:tcBorders>
                  <w:vAlign w:val="center"/>
                </w:tcPr>
                <w:p>
                  <w:pPr>
                    <w:pStyle w:val="12"/>
                    <w:rPr>
                      <w:color w:val="auto"/>
                      <w:szCs w:val="21"/>
                    </w:rPr>
                  </w:pPr>
                  <w:r>
                    <w:rPr>
                      <w:rFonts w:hint="eastAsia"/>
                      <w:color w:val="auto"/>
                    </w:rPr>
                    <w:t>本项目对喷漆、晾干过程有机废气收集处理，确保有机废气稳定达标排放。</w:t>
                  </w:r>
                  <w:r>
                    <w:rPr>
                      <w:rFonts w:hint="eastAsia"/>
                      <w:color w:val="auto"/>
                      <w:szCs w:val="21"/>
                    </w:rPr>
                    <w:t>加强非正常工况废气排放控制。</w:t>
                  </w:r>
                </w:p>
              </w:tc>
              <w:tc>
                <w:tcPr>
                  <w:tcW w:w="978" w:type="dxa"/>
                  <w:tcBorders>
                    <w:tl2br w:val="nil"/>
                    <w:tr2bl w:val="nil"/>
                  </w:tcBorders>
                  <w:vAlign w:val="center"/>
                </w:tcPr>
                <w:p>
                  <w:pPr>
                    <w:spacing w:line="260" w:lineRule="exact"/>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4649" w:type="dxa"/>
                  <w:tcBorders>
                    <w:tl2br w:val="nil"/>
                    <w:tr2bl w:val="nil"/>
                  </w:tcBorders>
                  <w:vAlign w:val="center"/>
                </w:tcPr>
                <w:p>
                  <w:pPr>
                    <w:spacing w:line="260" w:lineRule="exact"/>
                    <w:jc w:val="left"/>
                    <w:rPr>
                      <w:color w:val="auto"/>
                      <w:szCs w:val="21"/>
                    </w:rPr>
                  </w:pPr>
                  <w:r>
                    <w:rPr>
                      <w:rFonts w:hint="eastAsia"/>
                      <w:color w:val="auto"/>
                      <w:szCs w:val="21"/>
                    </w:rPr>
                    <w:t>深化工艺废气VOCs治理。有效实施催化剂再生废气、氧化尾气VOCs治理，加强酸性水罐、延迟焦化、合成橡胶、合成树脂、合成纤维等工艺过程尾气VOCs治理。推行全密闭生产工艺，加大无组织排放收集。</w:t>
                  </w:r>
                </w:p>
              </w:tc>
              <w:tc>
                <w:tcPr>
                  <w:tcW w:w="2148" w:type="dxa"/>
                  <w:tcBorders>
                    <w:tl2br w:val="nil"/>
                    <w:tr2bl w:val="nil"/>
                  </w:tcBorders>
                  <w:vAlign w:val="center"/>
                </w:tcPr>
                <w:p>
                  <w:pPr>
                    <w:spacing w:line="260" w:lineRule="exact"/>
                    <w:jc w:val="left"/>
                    <w:rPr>
                      <w:color w:val="auto"/>
                      <w:szCs w:val="21"/>
                    </w:rPr>
                  </w:pPr>
                  <w:r>
                    <w:rPr>
                      <w:rFonts w:hint="eastAsia"/>
                      <w:color w:val="auto"/>
                      <w:szCs w:val="21"/>
                    </w:rPr>
                    <w:t>项目喷漆房密闭，喷漆废气收集经“</w:t>
                  </w:r>
                  <w:r>
                    <w:rPr>
                      <w:rFonts w:hint="eastAsia" w:ascii="宋体" w:hAnsi="宋体" w:cs="宋体"/>
                      <w:bCs/>
                      <w:color w:val="auto"/>
                      <w:szCs w:val="21"/>
                    </w:rPr>
                    <w:t>过滤棉+二级活性炭</w:t>
                  </w:r>
                  <w:r>
                    <w:rPr>
                      <w:rFonts w:hint="eastAsia"/>
                      <w:color w:val="auto"/>
                      <w:szCs w:val="21"/>
                    </w:rPr>
                    <w:t>（活性炭纤维+活性炭颗粒）</w:t>
                  </w:r>
                  <w:r>
                    <w:rPr>
                      <w:rFonts w:hint="eastAsia" w:ascii="宋体" w:hAnsi="宋体" w:cs="宋体"/>
                      <w:bCs/>
                      <w:color w:val="auto"/>
                      <w:szCs w:val="21"/>
                    </w:rPr>
                    <w:t>吸附</w:t>
                  </w:r>
                  <w:r>
                    <w:rPr>
                      <w:rFonts w:hint="eastAsia"/>
                      <w:color w:val="auto"/>
                      <w:szCs w:val="21"/>
                    </w:rPr>
                    <w:t>”处理后达标排放</w:t>
                  </w:r>
                </w:p>
              </w:tc>
              <w:tc>
                <w:tcPr>
                  <w:tcW w:w="978" w:type="dxa"/>
                  <w:tcBorders>
                    <w:tl2br w:val="nil"/>
                    <w:tr2bl w:val="nil"/>
                  </w:tcBorders>
                  <w:vAlign w:val="center"/>
                </w:tcPr>
                <w:p>
                  <w:pPr>
                    <w:spacing w:line="260" w:lineRule="exact"/>
                    <w:jc w:val="center"/>
                    <w:rPr>
                      <w:b/>
                      <w:bCs/>
                      <w:color w:val="auto"/>
                      <w:szCs w:val="21"/>
                    </w:rPr>
                  </w:pPr>
                  <w:r>
                    <w:rPr>
                      <w:rFonts w:hint="eastAsia"/>
                      <w:color w:val="auto"/>
                      <w:szCs w:val="21"/>
                    </w:rPr>
                    <w:t>符合</w:t>
                  </w:r>
                </w:p>
              </w:tc>
            </w:tr>
          </w:tbl>
          <w:p>
            <w:pPr>
              <w:pStyle w:val="30"/>
              <w:spacing w:line="360" w:lineRule="auto"/>
              <w:jc w:val="left"/>
              <w:rPr>
                <w:b/>
                <w:bCs/>
                <w:color w:val="auto"/>
                <w:sz w:val="24"/>
                <w:szCs w:val="24"/>
              </w:rPr>
            </w:pPr>
            <w:r>
              <w:rPr>
                <w:rFonts w:hint="eastAsia"/>
                <w:b/>
                <w:bCs/>
                <w:color w:val="auto"/>
                <w:sz w:val="24"/>
                <w:szCs w:val="24"/>
              </w:rPr>
              <w:t>（14）</w:t>
            </w:r>
            <w:r>
              <w:rPr>
                <w:b/>
                <w:bCs/>
                <w:color w:val="auto"/>
                <w:sz w:val="24"/>
                <w:szCs w:val="24"/>
              </w:rPr>
              <w:t>与《淮北市VOCs环境整治专项行动方案》的符合性</w:t>
            </w:r>
          </w:p>
          <w:p>
            <w:pPr>
              <w:pStyle w:val="30"/>
              <w:spacing w:line="240" w:lineRule="auto"/>
              <w:ind w:firstLine="482" w:firstLineChars="200"/>
              <w:jc w:val="left"/>
              <w:rPr>
                <w:b/>
                <w:bCs/>
                <w:color w:val="auto"/>
                <w:sz w:val="24"/>
                <w:szCs w:val="24"/>
              </w:rPr>
            </w:pPr>
            <w:r>
              <w:rPr>
                <w:b/>
                <w:bCs/>
                <w:color w:val="auto"/>
                <w:sz w:val="24"/>
                <w:szCs w:val="24"/>
              </w:rPr>
              <w:t>表1-</w:t>
            </w:r>
            <w:r>
              <w:rPr>
                <w:rFonts w:hint="eastAsia"/>
                <w:b/>
                <w:bCs/>
                <w:color w:val="auto"/>
                <w:sz w:val="24"/>
                <w:szCs w:val="24"/>
              </w:rPr>
              <w:t>18</w:t>
            </w:r>
            <w:r>
              <w:rPr>
                <w:b/>
                <w:bCs/>
                <w:color w:val="auto"/>
                <w:sz w:val="24"/>
                <w:szCs w:val="24"/>
              </w:rPr>
              <w:t xml:space="preserve"> 与《淮北市VOCs环境整治专项行动方案》相符性分析</w:t>
            </w:r>
          </w:p>
          <w:tbl>
            <w:tblPr>
              <w:tblStyle w:val="34"/>
              <w:tblW w:w="7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594"/>
              <w:gridCol w:w="2391"/>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4" w:type="dxa"/>
                  <w:gridSpan w:val="2"/>
                  <w:tcBorders>
                    <w:tl2br w:val="nil"/>
                    <w:tr2bl w:val="nil"/>
                  </w:tcBorders>
                  <w:vAlign w:val="center"/>
                </w:tcPr>
                <w:p>
                  <w:pPr>
                    <w:pStyle w:val="30"/>
                    <w:spacing w:line="260" w:lineRule="exact"/>
                    <w:jc w:val="center"/>
                    <w:rPr>
                      <w:color w:val="auto"/>
                      <w:szCs w:val="21"/>
                    </w:rPr>
                  </w:pPr>
                  <w:r>
                    <w:rPr>
                      <w:color w:val="auto"/>
                      <w:szCs w:val="21"/>
                    </w:rPr>
                    <w:t>文件要求</w:t>
                  </w:r>
                </w:p>
              </w:tc>
              <w:tc>
                <w:tcPr>
                  <w:tcW w:w="2391" w:type="dxa"/>
                  <w:tcBorders>
                    <w:tl2br w:val="nil"/>
                    <w:tr2bl w:val="nil"/>
                  </w:tcBorders>
                  <w:vAlign w:val="center"/>
                </w:tcPr>
                <w:p>
                  <w:pPr>
                    <w:pStyle w:val="30"/>
                    <w:spacing w:line="260" w:lineRule="exact"/>
                    <w:jc w:val="center"/>
                    <w:rPr>
                      <w:color w:val="auto"/>
                      <w:szCs w:val="21"/>
                    </w:rPr>
                  </w:pPr>
                  <w:r>
                    <w:rPr>
                      <w:color w:val="auto"/>
                      <w:szCs w:val="21"/>
                    </w:rPr>
                    <w:t>项目情况</w:t>
                  </w:r>
                </w:p>
              </w:tc>
              <w:tc>
                <w:tcPr>
                  <w:tcW w:w="874" w:type="dxa"/>
                  <w:tcBorders>
                    <w:tl2br w:val="nil"/>
                    <w:tr2bl w:val="nil"/>
                  </w:tcBorders>
                  <w:vAlign w:val="center"/>
                </w:tcPr>
                <w:p>
                  <w:pPr>
                    <w:spacing w:line="260" w:lineRule="exact"/>
                    <w:jc w:val="center"/>
                    <w:rPr>
                      <w:color w:val="auto"/>
                      <w:szCs w:val="21"/>
                    </w:rPr>
                  </w:pPr>
                  <w:r>
                    <w:rPr>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0" w:type="dxa"/>
                  <w:vMerge w:val="restart"/>
                  <w:tcBorders>
                    <w:tl2br w:val="nil"/>
                    <w:tr2bl w:val="nil"/>
                  </w:tcBorders>
                  <w:vAlign w:val="center"/>
                </w:tcPr>
                <w:p>
                  <w:pPr>
                    <w:pStyle w:val="30"/>
                    <w:spacing w:line="260" w:lineRule="exact"/>
                    <w:jc w:val="left"/>
                    <w:rPr>
                      <w:color w:val="auto"/>
                      <w:szCs w:val="21"/>
                    </w:rPr>
                  </w:pPr>
                  <w:r>
                    <w:rPr>
                      <w:color w:val="auto"/>
                      <w:szCs w:val="21"/>
                    </w:rPr>
                    <w:t>工业企业VOCs排放治理</w:t>
                  </w:r>
                </w:p>
              </w:tc>
              <w:tc>
                <w:tcPr>
                  <w:tcW w:w="3594" w:type="dxa"/>
                  <w:tcBorders>
                    <w:tl2br w:val="nil"/>
                    <w:tr2bl w:val="nil"/>
                  </w:tcBorders>
                  <w:vAlign w:val="center"/>
                </w:tcPr>
                <w:p>
                  <w:pPr>
                    <w:pStyle w:val="30"/>
                    <w:spacing w:line="260" w:lineRule="exact"/>
                    <w:jc w:val="left"/>
                    <w:rPr>
                      <w:color w:val="auto"/>
                      <w:szCs w:val="21"/>
                    </w:rPr>
                  </w:pPr>
                  <w:r>
                    <w:rPr>
                      <w:color w:val="auto"/>
                      <w:szCs w:val="21"/>
                    </w:rPr>
                    <w:t>VOCs物料应储存于密闭储罐或密闭容器中，并采用密闭管道或密闭容器输送</w:t>
                  </w:r>
                </w:p>
              </w:tc>
              <w:tc>
                <w:tcPr>
                  <w:tcW w:w="2391" w:type="dxa"/>
                  <w:tcBorders>
                    <w:tl2br w:val="nil"/>
                    <w:tr2bl w:val="nil"/>
                  </w:tcBorders>
                  <w:vAlign w:val="center"/>
                </w:tcPr>
                <w:p>
                  <w:pPr>
                    <w:pStyle w:val="30"/>
                    <w:spacing w:line="260" w:lineRule="exact"/>
                    <w:jc w:val="left"/>
                    <w:rPr>
                      <w:color w:val="auto"/>
                      <w:szCs w:val="21"/>
                    </w:rPr>
                  </w:pPr>
                  <w:r>
                    <w:rPr>
                      <w:rFonts w:hint="eastAsia"/>
                      <w:color w:val="auto"/>
                      <w:szCs w:val="21"/>
                      <w:lang w:val="en-US" w:eastAsia="zh-CN"/>
                    </w:rPr>
                    <w:t>本项目含</w:t>
                  </w:r>
                  <w:r>
                    <w:rPr>
                      <w:color w:val="auto"/>
                      <w:szCs w:val="21"/>
                    </w:rPr>
                    <w:t>VOCs物料均采用专用桶密闭储存</w:t>
                  </w:r>
                </w:p>
              </w:tc>
              <w:tc>
                <w:tcPr>
                  <w:tcW w:w="874" w:type="dxa"/>
                  <w:tcBorders>
                    <w:tl2br w:val="nil"/>
                    <w:tr2bl w:val="nil"/>
                  </w:tcBorders>
                  <w:vAlign w:val="center"/>
                </w:tcPr>
                <w:p>
                  <w:pPr>
                    <w:spacing w:line="260" w:lineRule="exact"/>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Borders>
                    <w:tl2br w:val="nil"/>
                    <w:tr2bl w:val="nil"/>
                  </w:tcBorders>
                  <w:vAlign w:val="center"/>
                </w:tcPr>
                <w:p>
                  <w:pPr>
                    <w:pStyle w:val="30"/>
                    <w:spacing w:line="260" w:lineRule="exact"/>
                    <w:jc w:val="center"/>
                    <w:rPr>
                      <w:color w:val="auto"/>
                      <w:szCs w:val="21"/>
                    </w:rPr>
                  </w:pPr>
                </w:p>
              </w:tc>
              <w:tc>
                <w:tcPr>
                  <w:tcW w:w="3594" w:type="dxa"/>
                  <w:tcBorders>
                    <w:tl2br w:val="nil"/>
                    <w:tr2bl w:val="nil"/>
                  </w:tcBorders>
                  <w:vAlign w:val="center"/>
                </w:tcPr>
                <w:p>
                  <w:pPr>
                    <w:pStyle w:val="30"/>
                    <w:spacing w:line="260" w:lineRule="exact"/>
                    <w:jc w:val="left"/>
                    <w:rPr>
                      <w:color w:val="auto"/>
                      <w:szCs w:val="21"/>
                    </w:rPr>
                  </w:pPr>
                  <w:r>
                    <w:rPr>
                      <w:color w:val="auto"/>
                      <w:szCs w:val="21"/>
                    </w:rPr>
                    <w:t>鼓励企业采用多种适用技术组合工艺，提高VOCs治理效率；低温等离子体技术、光催化技术仅适用于处理低浓度有机废气或臭气；采用活性炭吸附技术应配备脱附工艺或定期更换活性炭。</w:t>
                  </w:r>
                </w:p>
              </w:tc>
              <w:tc>
                <w:tcPr>
                  <w:tcW w:w="2391" w:type="dxa"/>
                  <w:tcBorders>
                    <w:tl2br w:val="nil"/>
                    <w:tr2bl w:val="nil"/>
                  </w:tcBorders>
                  <w:vAlign w:val="center"/>
                </w:tcPr>
                <w:p>
                  <w:pPr>
                    <w:pStyle w:val="30"/>
                    <w:spacing w:line="260" w:lineRule="exact"/>
                    <w:rPr>
                      <w:color w:val="auto"/>
                      <w:szCs w:val="21"/>
                    </w:rPr>
                  </w:pPr>
                  <w:r>
                    <w:rPr>
                      <w:color w:val="auto"/>
                      <w:szCs w:val="21"/>
                    </w:rPr>
                    <w:t>有机废气通过“</w:t>
                  </w:r>
                  <w:r>
                    <w:rPr>
                      <w:rFonts w:hint="eastAsia"/>
                      <w:color w:val="auto"/>
                      <w:szCs w:val="21"/>
                    </w:rPr>
                    <w:t>过滤棉</w:t>
                  </w:r>
                  <w:r>
                    <w:rPr>
                      <w:color w:val="auto"/>
                      <w:szCs w:val="21"/>
                    </w:rPr>
                    <w:t>+</w:t>
                  </w:r>
                  <w:r>
                    <w:rPr>
                      <w:rFonts w:hint="eastAsia"/>
                      <w:color w:val="auto"/>
                      <w:szCs w:val="21"/>
                    </w:rPr>
                    <w:t>二级</w:t>
                  </w:r>
                  <w:r>
                    <w:rPr>
                      <w:color w:val="auto"/>
                      <w:szCs w:val="21"/>
                    </w:rPr>
                    <w:t>活性炭</w:t>
                  </w:r>
                  <w:r>
                    <w:rPr>
                      <w:rFonts w:hint="eastAsia"/>
                      <w:color w:val="auto"/>
                      <w:szCs w:val="21"/>
                    </w:rPr>
                    <w:t>（活性炭纤维+活性炭颗粒）</w:t>
                  </w:r>
                  <w:r>
                    <w:rPr>
                      <w:color w:val="auto"/>
                      <w:szCs w:val="21"/>
                    </w:rPr>
                    <w:t>吸附+</w:t>
                  </w:r>
                  <w:r>
                    <w:rPr>
                      <w:rFonts w:hint="eastAsia"/>
                      <w:color w:val="auto"/>
                      <w:szCs w:val="21"/>
                    </w:rPr>
                    <w:t>不低于15m以上</w:t>
                  </w:r>
                  <w:r>
                    <w:rPr>
                      <w:color w:val="auto"/>
                      <w:szCs w:val="21"/>
                    </w:rPr>
                    <w:t>排气筒”废气处理系统</w:t>
                  </w:r>
                  <w:r>
                    <w:rPr>
                      <w:rFonts w:hint="eastAsia"/>
                      <w:color w:val="auto"/>
                      <w:szCs w:val="21"/>
                    </w:rPr>
                    <w:t>，</w:t>
                  </w:r>
                  <w:r>
                    <w:rPr>
                      <w:color w:val="auto"/>
                      <w:szCs w:val="21"/>
                    </w:rPr>
                    <w:t>定期更换活性炭。</w:t>
                  </w:r>
                </w:p>
              </w:tc>
              <w:tc>
                <w:tcPr>
                  <w:tcW w:w="874" w:type="dxa"/>
                  <w:tcBorders>
                    <w:tl2br w:val="nil"/>
                    <w:tr2bl w:val="nil"/>
                  </w:tcBorders>
                  <w:vAlign w:val="center"/>
                </w:tcPr>
                <w:p>
                  <w:pPr>
                    <w:spacing w:line="260" w:lineRule="exact"/>
                    <w:jc w:val="center"/>
                    <w:rPr>
                      <w:color w:val="auto"/>
                      <w:szCs w:val="21"/>
                    </w:rPr>
                  </w:pPr>
                  <w:r>
                    <w:rPr>
                      <w:color w:val="auto"/>
                      <w:szCs w:val="21"/>
                    </w:rPr>
                    <w:t>符合</w:t>
                  </w:r>
                </w:p>
              </w:tc>
            </w:tr>
          </w:tbl>
          <w:p>
            <w:pPr>
              <w:autoSpaceDE w:val="0"/>
              <w:autoSpaceDN w:val="0"/>
              <w:adjustRightInd w:val="0"/>
              <w:snapToGrid w:val="0"/>
              <w:spacing w:line="360" w:lineRule="auto"/>
              <w:ind w:firstLine="482" w:firstLineChars="200"/>
              <w:rPr>
                <w:rFonts w:hint="eastAsia"/>
                <w:b/>
                <w:bCs/>
                <w:color w:val="auto"/>
                <w:sz w:val="24"/>
                <w:szCs w:val="24"/>
              </w:rPr>
            </w:pPr>
            <w:r>
              <w:rPr>
                <w:rFonts w:hint="eastAsia"/>
                <w:b/>
                <w:bCs/>
                <w:color w:val="auto"/>
                <w:sz w:val="24"/>
                <w:szCs w:val="24"/>
              </w:rPr>
              <w:t>（1</w:t>
            </w:r>
            <w:r>
              <w:rPr>
                <w:rFonts w:hint="eastAsia"/>
                <w:b/>
                <w:bCs/>
                <w:color w:val="auto"/>
                <w:sz w:val="24"/>
                <w:szCs w:val="24"/>
                <w:lang w:val="en-US" w:eastAsia="zh-CN"/>
              </w:rPr>
              <w:t>5</w:t>
            </w:r>
            <w:r>
              <w:rPr>
                <w:rFonts w:hint="eastAsia"/>
                <w:b/>
                <w:bCs/>
                <w:color w:val="auto"/>
                <w:sz w:val="24"/>
                <w:szCs w:val="24"/>
              </w:rPr>
              <w:t>）淮北市生态环境局关于印发《关于进一步加强涉大气污染物排放项目环评文件审批的指导意见（试行）》的通知</w:t>
            </w:r>
            <w:r>
              <w:rPr>
                <w:rFonts w:hint="eastAsia"/>
                <w:b/>
                <w:bCs/>
                <w:color w:val="auto"/>
                <w:sz w:val="24"/>
                <w:szCs w:val="24"/>
                <w:lang w:eastAsia="zh-CN"/>
              </w:rPr>
              <w:t>（</w:t>
            </w:r>
            <w:r>
              <w:rPr>
                <w:rFonts w:hint="eastAsia"/>
                <w:b/>
                <w:bCs/>
                <w:color w:val="auto"/>
                <w:sz w:val="24"/>
                <w:szCs w:val="24"/>
                <w:lang w:val="en-US" w:eastAsia="zh-CN"/>
              </w:rPr>
              <w:t>文号：</w:t>
            </w:r>
            <w:r>
              <w:rPr>
                <w:rFonts w:hint="eastAsia"/>
                <w:b/>
                <w:bCs/>
                <w:color w:val="auto"/>
                <w:sz w:val="24"/>
                <w:szCs w:val="24"/>
                <w:lang w:eastAsia="zh-CN"/>
              </w:rPr>
              <w:t>淮环函〔2022]227号）</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根据《关于进一步加强涉大气污染物排放项目环评文件审批的指导意见（试行）》，适用行业范围如下：</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1.砖瓦、石材等建筑材料制造</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2.石膏、水泥制品及类似制品制造</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3.塑料制品制造</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4.非金属废料和碎屑加工处理</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5.煤炭洗选、配煤</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6.煤炭储存、集运</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7.废弃资源综合利用业（废塑料、废轮胎加工处理）</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8.家具制造</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9.工业涂装</w:t>
            </w:r>
          </w:p>
          <w:p>
            <w:pPr>
              <w:autoSpaceDE w:val="0"/>
              <w:autoSpaceDN w:val="0"/>
              <w:adjustRightInd w:val="0"/>
              <w:snapToGrid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本项目为C3499其他未列明通用设备制造业，包含工业涂装内容。</w:t>
            </w:r>
          </w:p>
          <w:p>
            <w:pPr>
              <w:pStyle w:val="30"/>
              <w:spacing w:line="240" w:lineRule="auto"/>
              <w:ind w:firstLine="422" w:firstLineChars="200"/>
              <w:jc w:val="left"/>
              <w:rPr>
                <w:b/>
                <w:bCs/>
                <w:color w:val="auto"/>
                <w:sz w:val="21"/>
                <w:szCs w:val="21"/>
              </w:rPr>
            </w:pPr>
            <w:r>
              <w:rPr>
                <w:b/>
                <w:bCs/>
                <w:color w:val="auto"/>
                <w:sz w:val="21"/>
                <w:szCs w:val="21"/>
              </w:rPr>
              <w:t>表1-</w:t>
            </w:r>
            <w:r>
              <w:rPr>
                <w:rFonts w:hint="eastAsia"/>
                <w:b/>
                <w:bCs/>
                <w:color w:val="auto"/>
                <w:sz w:val="21"/>
                <w:szCs w:val="21"/>
              </w:rPr>
              <w:t>1</w:t>
            </w:r>
            <w:r>
              <w:rPr>
                <w:rFonts w:hint="eastAsia"/>
                <w:b/>
                <w:bCs/>
                <w:color w:val="auto"/>
                <w:sz w:val="21"/>
                <w:szCs w:val="21"/>
                <w:lang w:val="en-US" w:eastAsia="zh-CN"/>
              </w:rPr>
              <w:t>9</w:t>
            </w:r>
            <w:r>
              <w:rPr>
                <w:b/>
                <w:bCs/>
                <w:color w:val="auto"/>
                <w:sz w:val="21"/>
                <w:szCs w:val="21"/>
              </w:rPr>
              <w:t xml:space="preserve"> 与</w:t>
            </w:r>
            <w:r>
              <w:rPr>
                <w:rFonts w:hint="eastAsia"/>
                <w:b/>
                <w:bCs/>
                <w:color w:val="auto"/>
                <w:sz w:val="21"/>
                <w:szCs w:val="21"/>
              </w:rPr>
              <w:t>《关于进一步加强涉大气污染物排放项目环评文件审批的指导意见（试行）》</w:t>
            </w:r>
            <w:r>
              <w:rPr>
                <w:b/>
                <w:bCs/>
                <w:color w:val="auto"/>
                <w:sz w:val="21"/>
                <w:szCs w:val="21"/>
              </w:rPr>
              <w:t>相符性分析</w:t>
            </w:r>
          </w:p>
          <w:tbl>
            <w:tblPr>
              <w:tblStyle w:val="34"/>
              <w:tblW w:w="7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045"/>
              <w:gridCol w:w="179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3" w:type="dxa"/>
                  <w:gridSpan w:val="2"/>
                  <w:tcBorders>
                    <w:tl2br w:val="nil"/>
                    <w:tr2bl w:val="nil"/>
                  </w:tcBorders>
                  <w:vAlign w:val="center"/>
                </w:tcPr>
                <w:p>
                  <w:pPr>
                    <w:autoSpaceDE w:val="0"/>
                    <w:autoSpaceDN w:val="0"/>
                    <w:adjustRightInd w:val="0"/>
                    <w:snapToGrid w:val="0"/>
                    <w:jc w:val="center"/>
                    <w:rPr>
                      <w:b/>
                      <w:bCs/>
                      <w:color w:val="auto"/>
                      <w:sz w:val="21"/>
                      <w:szCs w:val="21"/>
                    </w:rPr>
                  </w:pPr>
                  <w:r>
                    <w:rPr>
                      <w:rFonts w:hint="eastAsia"/>
                      <w:b/>
                      <w:bCs/>
                      <w:color w:val="auto"/>
                      <w:szCs w:val="21"/>
                      <w:lang w:val="en-US" w:eastAsia="zh-CN"/>
                    </w:rPr>
                    <w:t>文件</w:t>
                  </w:r>
                  <w:r>
                    <w:rPr>
                      <w:b/>
                      <w:bCs/>
                      <w:color w:val="auto"/>
                      <w:szCs w:val="21"/>
                    </w:rPr>
                    <w:t>内容</w:t>
                  </w:r>
                </w:p>
              </w:tc>
              <w:tc>
                <w:tcPr>
                  <w:tcW w:w="1798" w:type="dxa"/>
                  <w:tcBorders>
                    <w:tl2br w:val="nil"/>
                    <w:tr2bl w:val="nil"/>
                  </w:tcBorders>
                  <w:vAlign w:val="center"/>
                </w:tcPr>
                <w:p>
                  <w:pPr>
                    <w:autoSpaceDE w:val="0"/>
                    <w:autoSpaceDN w:val="0"/>
                    <w:adjustRightInd w:val="0"/>
                    <w:snapToGrid w:val="0"/>
                    <w:jc w:val="center"/>
                    <w:rPr>
                      <w:rFonts w:hint="eastAsia" w:eastAsia="宋体"/>
                      <w:b/>
                      <w:bCs/>
                      <w:color w:val="auto"/>
                      <w:sz w:val="21"/>
                      <w:szCs w:val="21"/>
                      <w:lang w:eastAsia="zh-CN"/>
                    </w:rPr>
                  </w:pPr>
                  <w:r>
                    <w:rPr>
                      <w:b/>
                      <w:bCs/>
                      <w:color w:val="auto"/>
                      <w:szCs w:val="21"/>
                    </w:rPr>
                    <w:t>项目</w:t>
                  </w:r>
                  <w:r>
                    <w:rPr>
                      <w:rFonts w:hint="eastAsia"/>
                      <w:b/>
                      <w:bCs/>
                      <w:color w:val="auto"/>
                      <w:szCs w:val="21"/>
                      <w:lang w:val="en-US" w:eastAsia="zh-CN"/>
                    </w:rPr>
                    <w:t>情况</w:t>
                  </w:r>
                </w:p>
              </w:tc>
              <w:tc>
                <w:tcPr>
                  <w:tcW w:w="728" w:type="dxa"/>
                  <w:tcBorders>
                    <w:tl2br w:val="nil"/>
                    <w:tr2bl w:val="nil"/>
                  </w:tcBorders>
                  <w:vAlign w:val="center"/>
                </w:tcPr>
                <w:p>
                  <w:pPr>
                    <w:spacing w:line="240" w:lineRule="auto"/>
                    <w:jc w:val="center"/>
                    <w:rPr>
                      <w:b/>
                      <w:bCs/>
                      <w:color w:val="auto"/>
                      <w:sz w:val="21"/>
                      <w:szCs w:val="21"/>
                    </w:rPr>
                  </w:pPr>
                  <w:r>
                    <w:rPr>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tcBorders>
                    <w:tl2br w:val="nil"/>
                    <w:tr2bl w:val="nil"/>
                  </w:tcBorders>
                  <w:vAlign w:val="center"/>
                </w:tcPr>
                <w:p>
                  <w:pPr>
                    <w:autoSpaceDE w:val="0"/>
                    <w:autoSpaceDN w:val="0"/>
                    <w:adjustRightInd w:val="0"/>
                    <w:snapToGrid w:val="0"/>
                    <w:jc w:val="both"/>
                    <w:rPr>
                      <w:rFonts w:hint="eastAsia"/>
                      <w:b/>
                      <w:bCs/>
                      <w:color w:val="auto"/>
                      <w:szCs w:val="21"/>
                      <w:lang w:val="en-US" w:eastAsia="zh-CN"/>
                    </w:rPr>
                  </w:pPr>
                  <w:r>
                    <w:rPr>
                      <w:rFonts w:hint="eastAsia"/>
                      <w:b/>
                      <w:bCs/>
                      <w:color w:val="auto"/>
                      <w:szCs w:val="21"/>
                      <w:lang w:val="en-US" w:eastAsia="zh-CN"/>
                    </w:rPr>
                    <w:t>绩效分级</w:t>
                  </w:r>
                </w:p>
                <w:p>
                  <w:pPr>
                    <w:autoSpaceDE w:val="0"/>
                    <w:autoSpaceDN w:val="0"/>
                    <w:adjustRightInd w:val="0"/>
                    <w:snapToGrid w:val="0"/>
                    <w:jc w:val="both"/>
                    <w:rPr>
                      <w:rFonts w:hint="default"/>
                      <w:color w:val="auto"/>
                      <w:szCs w:val="21"/>
                      <w:lang w:val="en-US" w:eastAsia="zh-CN"/>
                    </w:rPr>
                  </w:pPr>
                  <w:r>
                    <w:rPr>
                      <w:rFonts w:hint="eastAsia"/>
                      <w:color w:val="auto"/>
                      <w:szCs w:val="21"/>
                      <w:lang w:val="en-US" w:eastAsia="zh-CN"/>
                    </w:rPr>
                    <w:t>新建项目绩效分级应达到B级以上水平（按照《重污染天气重点行业应急减排措施制定技术指南-2020年修订版》)</w:t>
                  </w:r>
                </w:p>
              </w:tc>
              <w:tc>
                <w:tcPr>
                  <w:tcW w:w="4045" w:type="dxa"/>
                  <w:tcBorders>
                    <w:tl2br w:val="nil"/>
                    <w:tr2bl w:val="nil"/>
                  </w:tcBorders>
                  <w:vAlign w:val="center"/>
                </w:tcPr>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1.2非烧结砖企业</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污染治理技术：除尘采用袋式除尘工艺，天然气锅炉采用低氮燃烧工艺。</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排放限值：天然气锅炉颗粒物、NOx排放浓度分别不高于10、50mg/m</w:t>
                  </w:r>
                  <w:r>
                    <w:rPr>
                      <w:rFonts w:hint="eastAsia"/>
                      <w:color w:val="auto"/>
                      <w:szCs w:val="21"/>
                      <w:vertAlign w:val="superscript"/>
                      <w:lang w:val="en-US" w:eastAsia="zh-CN"/>
                    </w:rPr>
                    <w:t>3</w:t>
                  </w:r>
                  <w:r>
                    <w:rPr>
                      <w:rFonts w:hint="eastAsia"/>
                      <w:color w:val="auto"/>
                      <w:szCs w:val="21"/>
                      <w:lang w:val="en-US" w:eastAsia="zh-CN"/>
                    </w:rPr>
                    <w:t>，基准氧含量3.5%；破碎、成型等其他产尘点颗粒物排放浓度不高于10mg/m</w:t>
                  </w:r>
                  <w:r>
                    <w:rPr>
                      <w:rFonts w:hint="eastAsia"/>
                      <w:color w:val="auto"/>
                      <w:szCs w:val="21"/>
                      <w:vertAlign w:val="superscript"/>
                      <w:lang w:val="en-US" w:eastAsia="zh-CN"/>
                    </w:rPr>
                    <w:t>3</w:t>
                  </w:r>
                  <w:r>
                    <w:rPr>
                      <w:rFonts w:hint="eastAsia"/>
                      <w:color w:val="auto"/>
                      <w:szCs w:val="21"/>
                      <w:lang w:val="en-US" w:eastAsia="zh-CN"/>
                    </w:rPr>
                    <w:t>。</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无组织排放：石粉、矿砂、土等粉状物料应封闭储存，并采取喷淋等有效抑尘措施，物料采用封闭式皮带、斗提、斜槽运输，各物料破碎、转载、下料口设置集尘罩并配置袋式除尘器，库顶等泄压口配备袋式除尘器。料棚配备喷雾抑尘设施，料棚出入口配备自动门，其他物料全部封闭储存。</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其他管控要求：《重污染天气重点行业应急减排措施制定技术指南》列明的非烧结砖企业绩效引领性指标。</w:t>
                  </w:r>
                </w:p>
              </w:tc>
              <w:tc>
                <w:tcPr>
                  <w:tcW w:w="1798" w:type="dxa"/>
                  <w:tcBorders>
                    <w:tl2br w:val="nil"/>
                    <w:tr2bl w:val="nil"/>
                  </w:tcBorders>
                  <w:vAlign w:val="center"/>
                </w:tcPr>
                <w:p>
                  <w:pPr>
                    <w:autoSpaceDE w:val="0"/>
                    <w:autoSpaceDN w:val="0"/>
                    <w:adjustRightInd w:val="0"/>
                    <w:snapToGrid w:val="0"/>
                    <w:jc w:val="left"/>
                    <w:rPr>
                      <w:rFonts w:hint="eastAsia"/>
                      <w:color w:val="auto"/>
                      <w:szCs w:val="21"/>
                      <w:lang w:val="en-US" w:eastAsia="zh-CN"/>
                    </w:rPr>
                  </w:pPr>
                  <w:r>
                    <w:rPr>
                      <w:rFonts w:hint="eastAsia"/>
                      <w:color w:val="auto"/>
                      <w:szCs w:val="21"/>
                      <w:lang w:val="en-US" w:eastAsia="zh-CN"/>
                    </w:rPr>
                    <w:t>本项目非烧结砖企业，本项目金属切割、焊接、抛丸除尘均采用袋式除尘工艺，不使用天然气；</w:t>
                  </w:r>
                </w:p>
                <w:p>
                  <w:pPr>
                    <w:autoSpaceDE w:val="0"/>
                    <w:autoSpaceDN w:val="0"/>
                    <w:adjustRightInd w:val="0"/>
                    <w:snapToGrid w:val="0"/>
                    <w:jc w:val="left"/>
                    <w:rPr>
                      <w:rFonts w:hint="default" w:eastAsia="宋体"/>
                      <w:color w:val="auto"/>
                      <w:szCs w:val="21"/>
                      <w:lang w:val="en-US" w:eastAsia="zh-CN"/>
                    </w:rPr>
                  </w:pPr>
                  <w:r>
                    <w:rPr>
                      <w:rFonts w:hint="eastAsia"/>
                      <w:color w:val="auto"/>
                      <w:szCs w:val="21"/>
                      <w:lang w:val="en-US" w:eastAsia="zh-CN"/>
                    </w:rPr>
                    <w:t>废气无组织排放采取措施为密闭式喷漆房、晾干房，车间封闭等；</w:t>
                  </w:r>
                </w:p>
              </w:tc>
              <w:tc>
                <w:tcPr>
                  <w:tcW w:w="728" w:type="dxa"/>
                  <w:tcBorders>
                    <w:tl2br w:val="nil"/>
                    <w:tr2bl w:val="nil"/>
                  </w:tcBorders>
                  <w:vAlign w:val="center"/>
                </w:tcPr>
                <w:p>
                  <w:pPr>
                    <w:spacing w:line="240" w:lineRule="auto"/>
                    <w:jc w:val="left"/>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tcBorders>
                    <w:tl2br w:val="nil"/>
                    <w:tr2bl w:val="nil"/>
                  </w:tcBorders>
                  <w:vAlign w:val="center"/>
                </w:tcPr>
                <w:p>
                  <w:pPr>
                    <w:autoSpaceDE w:val="0"/>
                    <w:autoSpaceDN w:val="0"/>
                    <w:adjustRightInd w:val="0"/>
                    <w:snapToGrid w:val="0"/>
                    <w:jc w:val="both"/>
                    <w:rPr>
                      <w:rFonts w:hint="eastAsia"/>
                      <w:color w:val="auto"/>
                      <w:szCs w:val="21"/>
                      <w:lang w:val="en-US" w:eastAsia="zh-CN"/>
                    </w:rPr>
                  </w:pPr>
                </w:p>
              </w:tc>
              <w:tc>
                <w:tcPr>
                  <w:tcW w:w="4045" w:type="dxa"/>
                  <w:tcBorders>
                    <w:tl2br w:val="nil"/>
                    <w:tr2bl w:val="nil"/>
                  </w:tcBorders>
                  <w:vAlign w:val="center"/>
                </w:tcPr>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2.工业涂装类（B级）</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VOCs治污设施：喷涂废气设置干式的石灰石、纸盒或湿式的文丘里等高效漆雾处理装置；使用溶剂型涂料时，调漆、喷漆、流平、烘干、清洗等工序含VOCs废气采用吸附浓缩+燃烧、燃烧等治理技术，处理效率≥90%；使用水性涂料（含水性UV）时，当车间或生产设施排气中NMHC初始排放速率≥2kg/h 时，建设末端治污设施。</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排放限值：车间或生产设施排气简排放的 NMHC为30-40mg/m</w:t>
                  </w:r>
                  <w:r>
                    <w:rPr>
                      <w:rFonts w:hint="eastAsia"/>
                      <w:color w:val="auto"/>
                      <w:szCs w:val="21"/>
                      <w:vertAlign w:val="superscript"/>
                      <w:lang w:val="en-US" w:eastAsia="zh-CN"/>
                    </w:rPr>
                    <w:t>3</w:t>
                  </w:r>
                  <w:r>
                    <w:rPr>
                      <w:rFonts w:hint="eastAsia"/>
                      <w:color w:val="auto"/>
                      <w:szCs w:val="21"/>
                      <w:lang w:val="en-US" w:eastAsia="zh-CN"/>
                    </w:rPr>
                    <w:t>、TVOC为50-60mg/m</w:t>
                  </w:r>
                  <w:r>
                    <w:rPr>
                      <w:rFonts w:hint="eastAsia"/>
                      <w:color w:val="auto"/>
                      <w:szCs w:val="21"/>
                      <w:vertAlign w:val="superscript"/>
                      <w:lang w:val="en-US" w:eastAsia="zh-CN"/>
                    </w:rPr>
                    <w:t>3</w:t>
                  </w:r>
                  <w:r>
                    <w:rPr>
                      <w:rFonts w:hint="eastAsia"/>
                      <w:color w:val="auto"/>
                      <w:szCs w:val="21"/>
                      <w:lang w:val="en-US" w:eastAsia="zh-CN"/>
                    </w:rPr>
                    <w:t>；厂区内无组织排放监控点NMHC的小时平均浓度值不超过6mg/m</w:t>
                  </w:r>
                  <w:r>
                    <w:rPr>
                      <w:rFonts w:hint="eastAsia"/>
                      <w:color w:val="auto"/>
                      <w:szCs w:val="21"/>
                      <w:vertAlign w:val="superscript"/>
                      <w:lang w:val="en-US" w:eastAsia="zh-CN"/>
                    </w:rPr>
                    <w:t>3</w:t>
                  </w:r>
                  <w:r>
                    <w:rPr>
                      <w:rFonts w:hint="eastAsia"/>
                      <w:color w:val="auto"/>
                      <w:szCs w:val="21"/>
                      <w:lang w:val="en-US" w:eastAsia="zh-CN"/>
                    </w:rPr>
                    <w:t>、任意一次浓度值不超过20 mg/m</w:t>
                  </w:r>
                  <w:r>
                    <w:rPr>
                      <w:rFonts w:hint="eastAsia"/>
                      <w:color w:val="auto"/>
                      <w:szCs w:val="21"/>
                      <w:vertAlign w:val="superscript"/>
                      <w:lang w:val="en-US" w:eastAsia="zh-CN"/>
                    </w:rPr>
                    <w:t>3</w:t>
                  </w:r>
                  <w:r>
                    <w:rPr>
                      <w:rFonts w:hint="eastAsia"/>
                      <w:color w:val="auto"/>
                      <w:szCs w:val="21"/>
                      <w:lang w:val="en-US" w:eastAsia="zh-CN"/>
                    </w:rPr>
                    <w:t>；其他各项污染物稳定达到现行排放控制要求，并从严地方要求。</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无组织排放：满足《挥发性有机物无组织排放控制标准》(GB 37822-2019）特别控制要求；VOCs物料存储于密闭容器或包装袋中，盛装VOCs 物料的容器或包装袋存放于密闭负压的储库、料仓内；除大型工件特殊作业（例如，船舶制造行业的分段总组、船台、船坞、造船码头等涂装工序）外，调漆、喷漆、流平、烘干、清洗等工序在密闭设备或密闭负压空间内操作；密闭回收废清洗剂；建设干式喷漆房；使用湿式喷漆房时，循环水泵间和刮渣间应密闭，安装废气收集设施；采用静电喷涂、自动喷涂、高压无气喷涂或高流低压(HVLP)喷枪等高效涂装技术，不可使用手动空气喷涂技术。其他管控要求：《重污染天气重点行业应急减排措施制定技术指南》列明的其他管控B级要求。</w:t>
                  </w:r>
                </w:p>
              </w:tc>
              <w:tc>
                <w:tcPr>
                  <w:tcW w:w="1798" w:type="dxa"/>
                  <w:tcBorders>
                    <w:tl2br w:val="nil"/>
                    <w:tr2bl w:val="nil"/>
                  </w:tcBorders>
                  <w:vAlign w:val="center"/>
                </w:tcPr>
                <w:p>
                  <w:pPr>
                    <w:autoSpaceDE w:val="0"/>
                    <w:autoSpaceDN w:val="0"/>
                    <w:adjustRightInd w:val="0"/>
                    <w:snapToGrid w:val="0"/>
                    <w:jc w:val="left"/>
                    <w:rPr>
                      <w:rFonts w:hint="default" w:eastAsia="宋体"/>
                      <w:color w:val="auto"/>
                      <w:szCs w:val="21"/>
                      <w:lang w:val="en-US" w:eastAsia="zh-CN"/>
                    </w:rPr>
                  </w:pPr>
                  <w:r>
                    <w:rPr>
                      <w:rFonts w:hint="eastAsia"/>
                      <w:color w:val="auto"/>
                      <w:szCs w:val="21"/>
                      <w:lang w:val="en-US" w:eastAsia="zh-CN"/>
                    </w:rPr>
                    <w:t>项目使用涂料包括溶剂型涂料和水性涂料，车间或生产设施排气非甲烷总烃使用活性炭吸附技术，排放标准执行《大气污染物综合排放标准》（GB16297-1996）表2中相关限值；非甲烷总烃废气无组织排放满足《挥发性有机物无组织排放控制标准》(GB 37822-2019）特别控制要求</w:t>
                  </w:r>
                </w:p>
              </w:tc>
              <w:tc>
                <w:tcPr>
                  <w:tcW w:w="728" w:type="dxa"/>
                  <w:tcBorders>
                    <w:tl2br w:val="nil"/>
                    <w:tr2bl w:val="nil"/>
                  </w:tcBorders>
                  <w:vAlign w:val="center"/>
                </w:tcPr>
                <w:p>
                  <w:pPr>
                    <w:spacing w:line="240" w:lineRule="auto"/>
                    <w:jc w:val="left"/>
                    <w:rPr>
                      <w:color w:val="auto"/>
                      <w:sz w:val="21"/>
                      <w:szCs w:val="21"/>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l2br w:val="nil"/>
                    <w:tr2bl w:val="nil"/>
                  </w:tcBorders>
                  <w:vAlign w:val="center"/>
                </w:tcPr>
                <w:p>
                  <w:pPr>
                    <w:autoSpaceDE w:val="0"/>
                    <w:autoSpaceDN w:val="0"/>
                    <w:adjustRightInd w:val="0"/>
                    <w:snapToGrid w:val="0"/>
                    <w:jc w:val="left"/>
                    <w:rPr>
                      <w:rFonts w:hint="eastAsia"/>
                      <w:color w:val="auto"/>
                      <w:szCs w:val="21"/>
                      <w:lang w:val="en-US" w:eastAsia="zh-CN"/>
                    </w:rPr>
                  </w:pPr>
                  <w:r>
                    <w:rPr>
                      <w:rFonts w:hint="eastAsia"/>
                      <w:color w:val="auto"/>
                      <w:szCs w:val="21"/>
                      <w:lang w:val="en-US" w:eastAsia="zh-CN"/>
                    </w:rPr>
                    <w:t>单位工业增加值排放强度</w:t>
                  </w:r>
                </w:p>
              </w:tc>
              <w:tc>
                <w:tcPr>
                  <w:tcW w:w="4045" w:type="dxa"/>
                  <w:tcBorders>
                    <w:tl2br w:val="nil"/>
                    <w:tr2bl w:val="nil"/>
                  </w:tcBorders>
                  <w:vAlign w:val="center"/>
                </w:tcPr>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新建项目单位工业增加值排放强度不得高于下列排放强度限值：单位工业增加值挥发性有机物排放量2.39吨/亿元，单位工业增加值氮氧化物排放量16.63吨/亿元。</w:t>
                  </w:r>
                </w:p>
              </w:tc>
              <w:tc>
                <w:tcPr>
                  <w:tcW w:w="1798" w:type="dxa"/>
                  <w:tcBorders>
                    <w:tl2br w:val="nil"/>
                    <w:tr2bl w:val="nil"/>
                  </w:tcBorders>
                  <w:vAlign w:val="center"/>
                </w:tcPr>
                <w:p>
                  <w:pPr>
                    <w:autoSpaceDE w:val="0"/>
                    <w:autoSpaceDN w:val="0"/>
                    <w:adjustRightInd w:val="0"/>
                    <w:snapToGrid w:val="0"/>
                    <w:jc w:val="left"/>
                    <w:rPr>
                      <w:rFonts w:hint="eastAsia" w:eastAsia="宋体"/>
                      <w:color w:val="auto"/>
                      <w:szCs w:val="21"/>
                      <w:lang w:val="en-US" w:eastAsia="zh-CN"/>
                    </w:rPr>
                  </w:pPr>
                  <w:r>
                    <w:rPr>
                      <w:rFonts w:hint="eastAsia"/>
                      <w:color w:val="auto"/>
                      <w:szCs w:val="21"/>
                      <w:lang w:val="en-US" w:eastAsia="zh-CN"/>
                    </w:rPr>
                    <w:t>项目单位工业增加值挥发性有机物排放量约为0.08吨/亿元</w:t>
                  </w:r>
                  <w:r>
                    <w:rPr>
                      <w:rFonts w:hint="eastAsia" w:ascii="微软雅黑" w:hAnsi="微软雅黑" w:eastAsia="微软雅黑" w:cs="微软雅黑"/>
                      <w:color w:val="auto"/>
                      <w:szCs w:val="21"/>
                      <w:lang w:val="en-US" w:eastAsia="zh-CN"/>
                    </w:rPr>
                    <w:t>&lt;</w:t>
                  </w:r>
                  <w:r>
                    <w:rPr>
                      <w:rFonts w:hint="eastAsia"/>
                      <w:color w:val="auto"/>
                      <w:szCs w:val="21"/>
                      <w:lang w:val="en-US" w:eastAsia="zh-CN"/>
                    </w:rPr>
                    <w:t>2.39吨/亿元</w:t>
                  </w:r>
                </w:p>
              </w:tc>
              <w:tc>
                <w:tcPr>
                  <w:tcW w:w="728" w:type="dxa"/>
                  <w:tcBorders>
                    <w:tl2br w:val="nil"/>
                    <w:tr2bl w:val="nil"/>
                  </w:tcBorders>
                  <w:vAlign w:val="center"/>
                </w:tcPr>
                <w:p>
                  <w:pPr>
                    <w:spacing w:line="240" w:lineRule="auto"/>
                    <w:jc w:val="left"/>
                    <w:rPr>
                      <w:color w:val="auto"/>
                      <w:sz w:val="21"/>
                      <w:szCs w:val="21"/>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8" w:type="dxa"/>
                  <w:vMerge w:val="restart"/>
                  <w:tcBorders>
                    <w:tl2br w:val="nil"/>
                    <w:tr2bl w:val="nil"/>
                  </w:tcBorders>
                  <w:vAlign w:val="center"/>
                </w:tcPr>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污染治理技术</w:t>
                  </w:r>
                </w:p>
                <w:p>
                  <w:pPr>
                    <w:autoSpaceDE w:val="0"/>
                    <w:autoSpaceDN w:val="0"/>
                    <w:adjustRightInd w:val="0"/>
                    <w:snapToGrid w:val="0"/>
                    <w:jc w:val="both"/>
                    <w:rPr>
                      <w:rFonts w:hint="eastAsia"/>
                      <w:color w:val="auto"/>
                      <w:szCs w:val="21"/>
                      <w:lang w:val="en-US" w:eastAsia="zh-CN"/>
                    </w:rPr>
                  </w:pPr>
                </w:p>
              </w:tc>
              <w:tc>
                <w:tcPr>
                  <w:tcW w:w="4045" w:type="dxa"/>
                  <w:tcBorders>
                    <w:tl2br w:val="nil"/>
                    <w:tr2bl w:val="nil"/>
                  </w:tcBorders>
                  <w:vAlign w:val="center"/>
                </w:tcPr>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1.VOCs 废气治理技术。车间或生产设施排气中NMHC 初始排放速率≥2kg/h 时，末端使用除尘+燃烧或者除尘+活性炭吸附+燃烧，处理效率不应低于90%；车间或生产设施排气中NMHC初始排放速率&lt;2kg/h时，可使用除尘+固定床吸附技术，吸附材料吸附饱和需要进行更换，其中使用溶剂型涂料时，调漆、喷漆、流平、烘干、清洗等工序含VOCs废气要采用吸附浓缩+燃烧、燃烧等治理技术，处理效率≥90%。</w:t>
                  </w:r>
                </w:p>
                <w:p>
                  <w:pPr>
                    <w:autoSpaceDE w:val="0"/>
                    <w:autoSpaceDN w:val="0"/>
                    <w:adjustRightInd w:val="0"/>
                    <w:snapToGrid w:val="0"/>
                    <w:jc w:val="both"/>
                    <w:rPr>
                      <w:rFonts w:hint="eastAsia"/>
                      <w:color w:val="auto"/>
                      <w:szCs w:val="21"/>
                      <w:lang w:val="en-US" w:eastAsia="zh-CN"/>
                    </w:rPr>
                  </w:pPr>
                  <w:r>
                    <w:rPr>
                      <w:rFonts w:hint="eastAsia"/>
                      <w:color w:val="auto"/>
                      <w:szCs w:val="21"/>
                      <w:lang w:val="en-US" w:eastAsia="zh-CN"/>
                    </w:rPr>
                    <w:t>车间或生产设施排气筒排放的NMHC为30-40mg/m</w:t>
                  </w:r>
                  <w:r>
                    <w:rPr>
                      <w:rFonts w:hint="eastAsia"/>
                      <w:color w:val="auto"/>
                      <w:szCs w:val="21"/>
                      <w:vertAlign w:val="superscript"/>
                      <w:lang w:val="en-US" w:eastAsia="zh-CN"/>
                    </w:rPr>
                    <w:t>3</w:t>
                  </w:r>
                  <w:r>
                    <w:rPr>
                      <w:rFonts w:hint="eastAsia"/>
                      <w:color w:val="auto"/>
                      <w:szCs w:val="21"/>
                      <w:lang w:val="en-US" w:eastAsia="zh-CN"/>
                    </w:rPr>
                    <w:t>、TVOC为50-60mg/m</w:t>
                  </w:r>
                  <w:r>
                    <w:rPr>
                      <w:rFonts w:hint="eastAsia"/>
                      <w:color w:val="auto"/>
                      <w:szCs w:val="21"/>
                      <w:vertAlign w:val="superscript"/>
                      <w:lang w:val="en-US" w:eastAsia="zh-CN"/>
                    </w:rPr>
                    <w:t>3</w:t>
                  </w:r>
                  <w:r>
                    <w:rPr>
                      <w:rFonts w:hint="eastAsia"/>
                      <w:color w:val="auto"/>
                      <w:szCs w:val="21"/>
                      <w:lang w:val="en-US" w:eastAsia="zh-CN"/>
                    </w:rPr>
                    <w:t>；厂区内无组织排放监控点NMHC 的小时平均浓度值不超过6mg/m</w:t>
                  </w:r>
                  <w:r>
                    <w:rPr>
                      <w:rFonts w:hint="eastAsia"/>
                      <w:color w:val="auto"/>
                      <w:szCs w:val="21"/>
                      <w:vertAlign w:val="superscript"/>
                      <w:lang w:val="en-US" w:eastAsia="zh-CN"/>
                    </w:rPr>
                    <w:t>3</w:t>
                  </w:r>
                  <w:r>
                    <w:rPr>
                      <w:rFonts w:hint="eastAsia"/>
                      <w:color w:val="auto"/>
                      <w:szCs w:val="21"/>
                      <w:lang w:val="en-US" w:eastAsia="zh-CN"/>
                    </w:rPr>
                    <w:t>、任意一次浓度值不超过20 mg/m</w:t>
                  </w:r>
                  <w:r>
                    <w:rPr>
                      <w:rFonts w:hint="eastAsia"/>
                      <w:color w:val="auto"/>
                      <w:szCs w:val="21"/>
                      <w:vertAlign w:val="superscript"/>
                      <w:lang w:val="en-US" w:eastAsia="zh-CN"/>
                    </w:rPr>
                    <w:t>3</w:t>
                  </w:r>
                  <w:r>
                    <w:rPr>
                      <w:rFonts w:hint="eastAsia"/>
                      <w:color w:val="auto"/>
                      <w:szCs w:val="21"/>
                      <w:lang w:val="en-US" w:eastAsia="zh-CN"/>
                    </w:rPr>
                    <w:t>；其他各项污染物稳定达到现行排放控制要求，并从严地方要求。</w:t>
                  </w:r>
                </w:p>
              </w:tc>
              <w:tc>
                <w:tcPr>
                  <w:tcW w:w="1798" w:type="dxa"/>
                  <w:tcBorders>
                    <w:tl2br w:val="nil"/>
                    <w:tr2bl w:val="nil"/>
                  </w:tcBorders>
                  <w:vAlign w:val="center"/>
                </w:tcPr>
                <w:p>
                  <w:pPr>
                    <w:autoSpaceDE w:val="0"/>
                    <w:autoSpaceDN w:val="0"/>
                    <w:adjustRightInd w:val="0"/>
                    <w:snapToGrid w:val="0"/>
                    <w:jc w:val="center"/>
                    <w:rPr>
                      <w:rFonts w:hint="default" w:eastAsia="宋体"/>
                      <w:color w:val="auto"/>
                      <w:szCs w:val="21"/>
                      <w:lang w:val="en-US" w:eastAsia="zh-CN"/>
                    </w:rPr>
                  </w:pPr>
                  <w:r>
                    <w:rPr>
                      <w:rFonts w:hint="eastAsia"/>
                      <w:color w:val="auto"/>
                      <w:szCs w:val="21"/>
                      <w:lang w:val="en-US" w:eastAsia="zh-CN"/>
                    </w:rPr>
                    <w:t>项目车间或生产设施排气非甲烷总烃初始排放速率&lt;2kg/h，使用活性炭吸附技术，处理效率≥90%，排放标准执行《大气污染物综合排放标准》（GB16297-1996）表2中相关限值</w:t>
                  </w:r>
                </w:p>
              </w:tc>
              <w:tc>
                <w:tcPr>
                  <w:tcW w:w="728" w:type="dxa"/>
                  <w:tcBorders>
                    <w:tl2br w:val="nil"/>
                    <w:tr2bl w:val="nil"/>
                  </w:tcBorders>
                  <w:vAlign w:val="center"/>
                </w:tcPr>
                <w:p>
                  <w:pPr>
                    <w:spacing w:line="240" w:lineRule="auto"/>
                    <w:jc w:val="center"/>
                    <w:rPr>
                      <w:color w:val="auto"/>
                      <w:sz w:val="21"/>
                      <w:szCs w:val="21"/>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8" w:type="dxa"/>
                  <w:vMerge w:val="continue"/>
                  <w:tcBorders>
                    <w:tl2br w:val="nil"/>
                    <w:tr2bl w:val="nil"/>
                  </w:tcBorders>
                  <w:vAlign w:val="center"/>
                </w:tcPr>
                <w:p>
                  <w:pPr>
                    <w:spacing w:line="240" w:lineRule="auto"/>
                    <w:jc w:val="center"/>
                  </w:pPr>
                </w:p>
              </w:tc>
              <w:tc>
                <w:tcPr>
                  <w:tcW w:w="4045" w:type="dxa"/>
                  <w:tcBorders>
                    <w:tl2br w:val="nil"/>
                    <w:tr2bl w:val="nil"/>
                  </w:tcBorders>
                  <w:vAlign w:val="center"/>
                </w:tcPr>
                <w:p>
                  <w:pPr>
                    <w:autoSpaceDE w:val="0"/>
                    <w:autoSpaceDN w:val="0"/>
                    <w:adjustRightInd w:val="0"/>
                    <w:snapToGrid w:val="0"/>
                    <w:jc w:val="left"/>
                    <w:rPr>
                      <w:rFonts w:hint="eastAsia"/>
                      <w:color w:val="auto"/>
                      <w:szCs w:val="21"/>
                      <w:lang w:val="en-US" w:eastAsia="zh-CN"/>
                    </w:rPr>
                  </w:pPr>
                  <w:r>
                    <w:rPr>
                      <w:rFonts w:hint="eastAsia"/>
                      <w:color w:val="auto"/>
                      <w:szCs w:val="21"/>
                      <w:lang w:val="en-US" w:eastAsia="zh-CN"/>
                    </w:rPr>
                    <w:t>2.SO</w:t>
                  </w:r>
                  <w:r>
                    <w:rPr>
                      <w:rFonts w:hint="eastAsia"/>
                      <w:color w:val="auto"/>
                      <w:szCs w:val="21"/>
                      <w:vertAlign w:val="subscript"/>
                      <w:lang w:val="en-US" w:eastAsia="zh-CN"/>
                    </w:rPr>
                    <w:t>2</w:t>
                  </w:r>
                  <w:r>
                    <w:rPr>
                      <w:rFonts w:hint="eastAsia"/>
                      <w:color w:val="auto"/>
                      <w:szCs w:val="21"/>
                      <w:lang w:val="en-US" w:eastAsia="zh-CN"/>
                    </w:rPr>
                    <w:t>、NOx、治理技术。脱硫采用石灰/石-石膏法、半干法/干法等脱硫工艺；脱硝采用SNCR或低氮燃烧技术等脱硝工艺。SO,、NOx排放浓度均不高于100mg/m</w:t>
                  </w:r>
                  <w:r>
                    <w:rPr>
                      <w:rFonts w:hint="eastAsia"/>
                      <w:color w:val="auto"/>
                      <w:szCs w:val="21"/>
                      <w:vertAlign w:val="superscript"/>
                      <w:lang w:val="en-US" w:eastAsia="zh-CN"/>
                    </w:rPr>
                    <w:t>3</w:t>
                  </w:r>
                  <w:r>
                    <w:rPr>
                      <w:rFonts w:hint="eastAsia"/>
                      <w:color w:val="auto"/>
                      <w:szCs w:val="21"/>
                      <w:lang w:val="en-US" w:eastAsia="zh-CN"/>
                    </w:rPr>
                    <w:t>。有行业标准、限值要求的从严执行。</w:t>
                  </w:r>
                </w:p>
              </w:tc>
              <w:tc>
                <w:tcPr>
                  <w:tcW w:w="1798" w:type="dxa"/>
                  <w:tcBorders>
                    <w:tl2br w:val="nil"/>
                    <w:tr2bl w:val="nil"/>
                  </w:tcBorders>
                  <w:vAlign w:val="center"/>
                </w:tcPr>
                <w:p>
                  <w:pPr>
                    <w:spacing w:line="240" w:lineRule="auto"/>
                    <w:jc w:val="center"/>
                    <w:rPr>
                      <w:rFonts w:hint="default"/>
                      <w:color w:val="auto"/>
                      <w:szCs w:val="21"/>
                      <w:lang w:val="en-US" w:eastAsia="zh-CN"/>
                    </w:rPr>
                  </w:pPr>
                  <w:r>
                    <w:rPr>
                      <w:rFonts w:hint="eastAsia"/>
                      <w:color w:val="auto"/>
                      <w:szCs w:val="21"/>
                      <w:lang w:val="en-US" w:eastAsia="zh-CN"/>
                    </w:rPr>
                    <w:t>本项目不涉及SO</w:t>
                  </w:r>
                  <w:r>
                    <w:rPr>
                      <w:rFonts w:hint="eastAsia"/>
                      <w:color w:val="auto"/>
                      <w:szCs w:val="21"/>
                      <w:vertAlign w:val="subscript"/>
                      <w:lang w:val="en-US" w:eastAsia="zh-CN"/>
                    </w:rPr>
                    <w:t>2</w:t>
                  </w:r>
                  <w:r>
                    <w:rPr>
                      <w:rFonts w:hint="eastAsia"/>
                      <w:color w:val="auto"/>
                      <w:szCs w:val="21"/>
                      <w:lang w:val="en-US" w:eastAsia="zh-CN"/>
                    </w:rPr>
                    <w:t>、NOx排放。</w:t>
                  </w:r>
                </w:p>
              </w:tc>
              <w:tc>
                <w:tcPr>
                  <w:tcW w:w="728" w:type="dxa"/>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8" w:type="dxa"/>
                  <w:vMerge w:val="continue"/>
                  <w:tcBorders>
                    <w:tl2br w:val="nil"/>
                    <w:tr2bl w:val="nil"/>
                  </w:tcBorders>
                  <w:vAlign w:val="center"/>
                </w:tcPr>
                <w:p>
                  <w:pPr>
                    <w:spacing w:line="240" w:lineRule="auto"/>
                    <w:jc w:val="center"/>
                    <w:rPr>
                      <w:rFonts w:hint="eastAsia"/>
                      <w:color w:val="auto"/>
                      <w:szCs w:val="21"/>
                      <w:lang w:val="en-US" w:eastAsia="zh-CN"/>
                    </w:rPr>
                  </w:pPr>
                </w:p>
              </w:tc>
              <w:tc>
                <w:tcPr>
                  <w:tcW w:w="4045" w:type="dxa"/>
                  <w:tcBorders>
                    <w:tl2br w:val="nil"/>
                    <w:tr2bl w:val="nil"/>
                  </w:tcBorders>
                  <w:vAlign w:val="center"/>
                </w:tcPr>
                <w:p>
                  <w:pPr>
                    <w:autoSpaceDE w:val="0"/>
                    <w:autoSpaceDN w:val="0"/>
                    <w:adjustRightInd w:val="0"/>
                    <w:snapToGrid w:val="0"/>
                    <w:jc w:val="left"/>
                    <w:rPr>
                      <w:rFonts w:hint="eastAsia"/>
                      <w:color w:val="auto"/>
                      <w:szCs w:val="21"/>
                      <w:lang w:val="en-US" w:eastAsia="zh-CN"/>
                    </w:rPr>
                  </w:pPr>
                  <w:r>
                    <w:rPr>
                      <w:rFonts w:hint="eastAsia"/>
                      <w:color w:val="auto"/>
                      <w:szCs w:val="21"/>
                      <w:lang w:val="en-US" w:eastAsia="zh-CN"/>
                    </w:rPr>
                    <w:t>3.颗粒物治理技术。采用覆膜袋式除尘、滤筒除尘或电除尘等除尘工艺，颗粒物排放浓度不高于10mg/m</w:t>
                  </w:r>
                  <w:r>
                    <w:rPr>
                      <w:rFonts w:hint="eastAsia"/>
                      <w:color w:val="auto"/>
                      <w:szCs w:val="21"/>
                      <w:vertAlign w:val="superscript"/>
                      <w:lang w:val="en-US" w:eastAsia="zh-CN"/>
                    </w:rPr>
                    <w:t>3</w:t>
                  </w:r>
                  <w:r>
                    <w:rPr>
                      <w:rFonts w:hint="eastAsia"/>
                      <w:color w:val="auto"/>
                      <w:szCs w:val="21"/>
                      <w:lang w:val="en-US" w:eastAsia="zh-CN"/>
                    </w:rPr>
                    <w:t>，达到国家和地方对行业污染物排放限值要求。</w:t>
                  </w:r>
                </w:p>
              </w:tc>
              <w:tc>
                <w:tcPr>
                  <w:tcW w:w="1798" w:type="dxa"/>
                  <w:tcBorders>
                    <w:tl2br w:val="nil"/>
                    <w:tr2bl w:val="nil"/>
                  </w:tcBorders>
                  <w:vAlign w:val="center"/>
                </w:tcPr>
                <w:p>
                  <w:pPr>
                    <w:spacing w:line="240" w:lineRule="auto"/>
                    <w:jc w:val="center"/>
                    <w:rPr>
                      <w:rFonts w:hint="default"/>
                      <w:color w:val="auto"/>
                      <w:szCs w:val="21"/>
                      <w:lang w:val="en-US" w:eastAsia="zh-CN"/>
                    </w:rPr>
                  </w:pPr>
                  <w:r>
                    <w:rPr>
                      <w:rFonts w:hint="eastAsia"/>
                      <w:color w:val="auto"/>
                      <w:szCs w:val="21"/>
                      <w:lang w:val="en-US" w:eastAsia="zh-CN"/>
                    </w:rPr>
                    <w:t>本项目金属切割、焊接、抛丸产生的颗粒物均采用袋式除尘工艺，废气排放执行《大气污染物综合排放标准》（GB16297-1996）表2中相关限值要求</w:t>
                  </w:r>
                </w:p>
              </w:tc>
              <w:tc>
                <w:tcPr>
                  <w:tcW w:w="728" w:type="dxa"/>
                  <w:tcBorders>
                    <w:tl2br w:val="nil"/>
                    <w:tr2bl w:val="nil"/>
                  </w:tcBorders>
                  <w:vAlign w:val="center"/>
                </w:tcPr>
                <w:p>
                  <w:pPr>
                    <w:spacing w:line="240" w:lineRule="auto"/>
                    <w:jc w:val="center"/>
                    <w:rPr>
                      <w:rFonts w:hint="default"/>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8" w:type="dxa"/>
                  <w:vMerge w:val="continue"/>
                  <w:tcBorders>
                    <w:tl2br w:val="nil"/>
                    <w:tr2bl w:val="nil"/>
                  </w:tcBorders>
                  <w:vAlign w:val="center"/>
                </w:tcPr>
                <w:p>
                  <w:pPr>
                    <w:spacing w:line="240" w:lineRule="auto"/>
                    <w:jc w:val="center"/>
                    <w:rPr>
                      <w:rFonts w:hint="eastAsia"/>
                      <w:color w:val="auto"/>
                      <w:szCs w:val="21"/>
                      <w:lang w:val="en-US" w:eastAsia="zh-CN"/>
                    </w:rPr>
                  </w:pPr>
                </w:p>
              </w:tc>
              <w:tc>
                <w:tcPr>
                  <w:tcW w:w="4045" w:type="dxa"/>
                  <w:tcBorders>
                    <w:tl2br w:val="nil"/>
                    <w:tr2bl w:val="nil"/>
                  </w:tcBorders>
                  <w:vAlign w:val="center"/>
                </w:tcPr>
                <w:p>
                  <w:pPr>
                    <w:autoSpaceDE w:val="0"/>
                    <w:autoSpaceDN w:val="0"/>
                    <w:adjustRightInd w:val="0"/>
                    <w:snapToGrid w:val="0"/>
                    <w:jc w:val="left"/>
                    <w:rPr>
                      <w:rFonts w:hint="eastAsia"/>
                      <w:color w:val="auto"/>
                      <w:szCs w:val="21"/>
                      <w:lang w:val="en-US" w:eastAsia="zh-CN"/>
                    </w:rPr>
                  </w:pPr>
                  <w:r>
                    <w:rPr>
                      <w:rFonts w:hint="eastAsia"/>
                      <w:color w:val="auto"/>
                      <w:szCs w:val="21"/>
                      <w:lang w:val="en-US" w:eastAsia="zh-CN"/>
                    </w:rPr>
                    <w:t>4.运输方式。大宗物料和产品运输采用清洁运输方式或电动重型载货车辆的比例不低于50%；其他运输部分使用新能源车辆或达到国六排放标准的重型载货车辆的比例不低于80%，其他达到国四排放标准；其他原辅材料公路运输部分使用达到国五及以上排放标准的重型载货车辆（含燃气)或新能源车辆；厂内运输车辆全部达到国五及以上排放标准(含燃气）或使用新能源车辆；厂内非道路移动机械和吸排车等特种运输机械全部达到国三及以上。</w:t>
                  </w:r>
                </w:p>
              </w:tc>
              <w:tc>
                <w:tcPr>
                  <w:tcW w:w="1798" w:type="dxa"/>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厂内运输车辆全部达到国五及以上排放标准(含燃气）或使用新能源车辆；厂内非道路移动机械和吸排车等特种运输机械全部达到国三及以上。</w:t>
                  </w:r>
                </w:p>
              </w:tc>
              <w:tc>
                <w:tcPr>
                  <w:tcW w:w="728" w:type="dxa"/>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8" w:type="dxa"/>
                  <w:vMerge w:val="continue"/>
                  <w:tcBorders>
                    <w:tl2br w:val="nil"/>
                    <w:tr2bl w:val="nil"/>
                  </w:tcBorders>
                  <w:vAlign w:val="center"/>
                </w:tcPr>
                <w:p>
                  <w:pPr>
                    <w:spacing w:line="240" w:lineRule="auto"/>
                    <w:jc w:val="center"/>
                    <w:rPr>
                      <w:rFonts w:hint="eastAsia"/>
                      <w:color w:val="auto"/>
                      <w:szCs w:val="21"/>
                      <w:lang w:val="en-US" w:eastAsia="zh-CN"/>
                    </w:rPr>
                  </w:pPr>
                </w:p>
              </w:tc>
              <w:tc>
                <w:tcPr>
                  <w:tcW w:w="4045" w:type="dxa"/>
                  <w:tcBorders>
                    <w:tl2br w:val="nil"/>
                    <w:tr2bl w:val="nil"/>
                  </w:tcBorders>
                  <w:vAlign w:val="center"/>
                </w:tcPr>
                <w:p>
                  <w:pPr>
                    <w:autoSpaceDE w:val="0"/>
                    <w:autoSpaceDN w:val="0"/>
                    <w:adjustRightInd w:val="0"/>
                    <w:snapToGrid w:val="0"/>
                    <w:jc w:val="left"/>
                    <w:rPr>
                      <w:rFonts w:hint="eastAsia"/>
                      <w:color w:val="auto"/>
                      <w:szCs w:val="21"/>
                      <w:lang w:val="en-US" w:eastAsia="zh-CN"/>
                    </w:rPr>
                  </w:pPr>
                  <w:r>
                    <w:rPr>
                      <w:rFonts w:hint="eastAsia"/>
                      <w:color w:val="auto"/>
                      <w:szCs w:val="21"/>
                      <w:lang w:val="en-US" w:eastAsia="zh-CN"/>
                    </w:rPr>
                    <w:t>5.无组织排放管控。粉状物料采用料仓、储罐等方式密闭储存，采用密闭皮带、封闭通廊、管状带式输送机或密闭车厢等方式输送；破碎、筛分等设备设置密封罩，并配备除尘设施；物料输送过程中产尘点采取有效抑尘措施；厂区道路硬化。车间采取密闭、封闭等措施，无可见烟粉尘外逸；生产工艺（装置）产尘点采用密闭、封闭或设置集气罩等措施；粒状、块状物料采用入棚、入仓等方式储存，堆场建设防风抑尘网，粒状物料采用密闭、封闭等方式输送；物料装卸、储存、输送过程中产尘点采取有效抑尘措施；料棚配备喷雾抑尘设施或物料全部封闭储存，产尘点及车间不得有可见烟（粉）尘外逸出入口配备自动门。料场出入口等易产生颗粒物排放环节，安装高清视频监控设施。视频监控数据保存三个月以上；主要生产设施与污染防治设施分表计电。</w:t>
                  </w:r>
                </w:p>
              </w:tc>
              <w:tc>
                <w:tcPr>
                  <w:tcW w:w="1798" w:type="dxa"/>
                  <w:tcBorders>
                    <w:tl2br w:val="nil"/>
                    <w:tr2bl w:val="nil"/>
                  </w:tcBorders>
                  <w:vAlign w:val="center"/>
                </w:tcPr>
                <w:p>
                  <w:pPr>
                    <w:spacing w:line="240" w:lineRule="auto"/>
                    <w:jc w:val="left"/>
                    <w:rPr>
                      <w:rFonts w:hint="eastAsia"/>
                      <w:color w:val="auto"/>
                      <w:szCs w:val="21"/>
                      <w:lang w:val="en-US" w:eastAsia="zh-CN"/>
                    </w:rPr>
                  </w:pPr>
                  <w:r>
                    <w:rPr>
                      <w:rFonts w:hint="eastAsia"/>
                      <w:color w:val="auto"/>
                      <w:szCs w:val="21"/>
                      <w:lang w:val="en-US" w:eastAsia="zh-CN"/>
                    </w:rPr>
                    <w:t>废气无组织排放采取措施为密闭式喷漆房、晾干房，车间封闭等；厂区道路硬化。车间采取密闭、封闭等措施，无可见烟粉尘外逸；</w:t>
                  </w:r>
                </w:p>
              </w:tc>
              <w:tc>
                <w:tcPr>
                  <w:tcW w:w="728" w:type="dxa"/>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8" w:type="dxa"/>
                  <w:vMerge w:val="continue"/>
                  <w:tcBorders>
                    <w:tl2br w:val="nil"/>
                    <w:tr2bl w:val="nil"/>
                  </w:tcBorders>
                  <w:vAlign w:val="center"/>
                </w:tcPr>
                <w:p>
                  <w:pPr>
                    <w:spacing w:line="240" w:lineRule="auto"/>
                    <w:jc w:val="center"/>
                    <w:rPr>
                      <w:rFonts w:hint="eastAsia"/>
                      <w:color w:val="auto"/>
                      <w:szCs w:val="21"/>
                      <w:lang w:val="en-US" w:eastAsia="zh-CN"/>
                    </w:rPr>
                  </w:pPr>
                </w:p>
              </w:tc>
              <w:tc>
                <w:tcPr>
                  <w:tcW w:w="4045" w:type="dxa"/>
                  <w:tcBorders>
                    <w:tl2br w:val="nil"/>
                    <w:tr2bl w:val="nil"/>
                  </w:tcBorders>
                  <w:vAlign w:val="center"/>
                </w:tcPr>
                <w:p>
                  <w:pPr>
                    <w:spacing w:line="240" w:lineRule="auto"/>
                    <w:jc w:val="left"/>
                    <w:rPr>
                      <w:rFonts w:hint="eastAsia"/>
                      <w:color w:val="auto"/>
                      <w:szCs w:val="21"/>
                      <w:lang w:val="en-US" w:eastAsia="zh-CN"/>
                    </w:rPr>
                  </w:pPr>
                  <w:r>
                    <w:rPr>
                      <w:rFonts w:hint="eastAsia"/>
                      <w:color w:val="auto"/>
                      <w:szCs w:val="21"/>
                      <w:lang w:val="en-US" w:eastAsia="zh-CN"/>
                    </w:rPr>
                    <w:t>6.废气收集方式。城市建成区内的新建项目产生VOCs、颗粒物大气污染物的车间应采用负压收集措施。</w:t>
                  </w:r>
                </w:p>
              </w:tc>
              <w:tc>
                <w:tcPr>
                  <w:tcW w:w="1798" w:type="dxa"/>
                  <w:tcBorders>
                    <w:tl2br w:val="nil"/>
                    <w:tr2bl w:val="nil"/>
                  </w:tcBorders>
                  <w:vAlign w:val="center"/>
                </w:tcPr>
                <w:p>
                  <w:pPr>
                    <w:spacing w:line="240" w:lineRule="auto"/>
                    <w:jc w:val="left"/>
                    <w:rPr>
                      <w:rFonts w:hint="default"/>
                      <w:color w:val="auto"/>
                      <w:szCs w:val="21"/>
                      <w:lang w:val="en-US" w:eastAsia="zh-CN"/>
                    </w:rPr>
                  </w:pPr>
                  <w:r>
                    <w:rPr>
                      <w:rFonts w:hint="eastAsia"/>
                      <w:color w:val="auto"/>
                      <w:szCs w:val="21"/>
                      <w:lang w:val="en-US" w:eastAsia="zh-CN"/>
                    </w:rPr>
                    <w:t>项目喷漆房、晾干房产生的VOCs、颗粒物大气污染物的车间采用负压收集措施</w:t>
                  </w:r>
                </w:p>
              </w:tc>
              <w:tc>
                <w:tcPr>
                  <w:tcW w:w="728" w:type="dxa"/>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符合</w:t>
                  </w:r>
                </w:p>
              </w:tc>
            </w:tr>
          </w:tbl>
          <w:p>
            <w:pPr>
              <w:autoSpaceDE w:val="0"/>
              <w:autoSpaceDN w:val="0"/>
              <w:adjustRightInd w:val="0"/>
              <w:snapToGrid w:val="0"/>
              <w:spacing w:line="360" w:lineRule="auto"/>
              <w:ind w:firstLine="480" w:firstLineChars="200"/>
              <w:rPr>
                <w:rFonts w:hint="default" w:eastAsia="宋体"/>
                <w:color w:val="auto"/>
                <w:lang w:val="en-US" w:eastAsia="zh-CN"/>
              </w:rPr>
            </w:pPr>
            <w:r>
              <w:rPr>
                <w:color w:val="auto"/>
                <w:sz w:val="24"/>
                <w:szCs w:val="24"/>
              </w:rPr>
              <w:t>本项目</w:t>
            </w:r>
            <w:r>
              <w:rPr>
                <w:rFonts w:hint="eastAsia"/>
                <w:color w:val="auto"/>
                <w:sz w:val="24"/>
                <w:szCs w:val="24"/>
                <w:lang w:val="en-US" w:eastAsia="zh-CN"/>
              </w:rPr>
              <w:t>运营期产生的</w:t>
            </w:r>
            <w:r>
              <w:rPr>
                <w:color w:val="auto"/>
                <w:sz w:val="24"/>
                <w:szCs w:val="24"/>
              </w:rPr>
              <w:t>废气</w:t>
            </w:r>
            <w:r>
              <w:rPr>
                <w:rFonts w:hint="eastAsia"/>
                <w:color w:val="auto"/>
                <w:sz w:val="24"/>
                <w:szCs w:val="24"/>
                <w:lang w:val="en-US" w:eastAsia="zh-CN"/>
              </w:rPr>
              <w:t>经过相关可行处理措施处理后，</w:t>
            </w:r>
            <w:r>
              <w:rPr>
                <w:color w:val="auto"/>
                <w:sz w:val="24"/>
                <w:szCs w:val="24"/>
              </w:rPr>
              <w:t>排放的废气能够满足相关要求，对环境空气影响相对较小。</w:t>
            </w:r>
          </w:p>
        </w:tc>
      </w:tr>
    </w:tbl>
    <w:p>
      <w:pPr>
        <w:rPr>
          <w:rFonts w:ascii="黑体" w:hAnsi="黑体" w:eastAsia="黑体"/>
          <w:snapToGrid w:val="0"/>
          <w:color w:val="auto"/>
          <w:sz w:val="30"/>
          <w:szCs w:val="30"/>
        </w:rPr>
      </w:pPr>
      <w:r>
        <w:rPr>
          <w:rFonts w:hint="eastAsia" w:ascii="黑体" w:hAnsi="黑体" w:eastAsia="黑体"/>
          <w:snapToGrid w:val="0"/>
          <w:color w:val="auto"/>
          <w:sz w:val="30"/>
          <w:szCs w:val="30"/>
        </w:rPr>
        <w:br w:type="page"/>
      </w:r>
    </w:p>
    <w:p>
      <w:pPr>
        <w:pStyle w:val="31"/>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34"/>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2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设</w:t>
            </w:r>
          </w:p>
          <w:p>
            <w:pPr>
              <w:spacing w:line="360" w:lineRule="auto"/>
              <w:jc w:val="center"/>
              <w:rPr>
                <w:rFonts w:hAnsi="宋体"/>
                <w:color w:val="auto"/>
                <w:sz w:val="24"/>
                <w:highlight w:val="none"/>
              </w:rPr>
            </w:pPr>
            <w:r>
              <w:rPr>
                <w:rFonts w:hint="eastAsia" w:ascii="宋体" w:hAnsi="宋体" w:cs="宋体"/>
                <w:color w:val="auto"/>
                <w:kern w:val="0"/>
                <w:sz w:val="24"/>
                <w:highlight w:val="none"/>
              </w:rPr>
              <w:t>内 容</w:t>
            </w:r>
          </w:p>
        </w:tc>
        <w:tc>
          <w:tcPr>
            <w:tcW w:w="8216" w:type="dxa"/>
            <w:vAlign w:val="center"/>
          </w:tcPr>
          <w:p>
            <w:pPr>
              <w:spacing w:line="360" w:lineRule="auto"/>
              <w:ind w:firstLine="482" w:firstLineChars="20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2.1项目概况</w:t>
            </w:r>
          </w:p>
          <w:p>
            <w:pPr>
              <w:pStyle w:val="2"/>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项目名称：</w:t>
            </w:r>
            <w:r>
              <w:rPr>
                <w:rFonts w:hint="default" w:ascii="Times New Roman" w:hAnsi="Times New Roman" w:cs="Times New Roman"/>
                <w:color w:val="auto"/>
                <w:sz w:val="24"/>
                <w:szCs w:val="24"/>
                <w:highlight w:val="none"/>
                <w:lang w:eastAsia="zh-CN"/>
              </w:rPr>
              <w:t>中拓机械制造项目</w:t>
            </w:r>
          </w:p>
          <w:p>
            <w:pPr>
              <w:pStyle w:val="2"/>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建设单位：</w:t>
            </w:r>
            <w:r>
              <w:rPr>
                <w:rFonts w:hint="default" w:ascii="Times New Roman" w:hAnsi="Times New Roman" w:cs="Times New Roman"/>
                <w:color w:val="auto"/>
                <w:sz w:val="24"/>
                <w:szCs w:val="24"/>
                <w:highlight w:val="none"/>
                <w:lang w:eastAsia="zh-CN"/>
              </w:rPr>
              <w:t>安徽中拓机械制造有限公司</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项目性质：新建</w:t>
            </w:r>
          </w:p>
          <w:p>
            <w:pPr>
              <w:pStyle w:val="2"/>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建设地点：杜集经济开发区富强路与青春路交叉口东北侧3号</w:t>
            </w:r>
            <w:r>
              <w:rPr>
                <w:rFonts w:hint="default" w:ascii="Times New Roman" w:hAnsi="Times New Roman" w:cs="Times New Roman"/>
                <w:color w:val="auto"/>
                <w:sz w:val="24"/>
                <w:szCs w:val="24"/>
                <w:highlight w:val="none"/>
                <w:lang w:val="zh-CN"/>
              </w:rPr>
              <w:t>。</w:t>
            </w:r>
            <w:r>
              <w:rPr>
                <w:rFonts w:hint="default" w:ascii="Times New Roman" w:hAnsi="Times New Roman" w:cs="Times New Roman"/>
                <w:color w:val="auto"/>
                <w:sz w:val="24"/>
                <w:szCs w:val="24"/>
                <w:highlight w:val="none"/>
                <w:lang w:val="en-US" w:eastAsia="zh-CN"/>
              </w:rPr>
              <w:t>详见附图一。</w:t>
            </w:r>
          </w:p>
          <w:p>
            <w:pPr>
              <w:pStyle w:val="2"/>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highlight w:val="none"/>
              </w:rPr>
              <w:t>项目由来</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shd w:val="clear" w:color="auto" w:fill="FFFFFF"/>
              </w:rPr>
              <w:t>为了实现国民经济的可持续发展，环境保护已成为我国的基本国策，环保设备制造行业也将因此获得良好的发展机遇，潜在的市场机会巨大。巨大的环保投资，将为环保设备制造业构筑巨大的市场</w:t>
            </w:r>
            <w:r>
              <w:rPr>
                <w:rFonts w:hint="default" w:ascii="Times New Roman" w:hAnsi="Times New Roman" w:eastAsia="宋体" w:cs="Times New Roman"/>
                <w:color w:val="auto"/>
                <w:sz w:val="24"/>
                <w:highlight w:val="none"/>
              </w:rPr>
              <w:t>。为满足市场需求</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eastAsia="zh-CN"/>
              </w:rPr>
              <w:t>安徽中拓机械制造有限公司</w:t>
            </w:r>
            <w:r>
              <w:rPr>
                <w:rFonts w:hint="default" w:ascii="Times New Roman" w:hAnsi="Times New Roman" w:eastAsia="宋体" w:cs="Times New Roman"/>
                <w:color w:val="auto"/>
                <w:kern w:val="0"/>
                <w:sz w:val="24"/>
                <w:highlight w:val="none"/>
              </w:rPr>
              <w:t>拟投资</w:t>
            </w:r>
            <w:r>
              <w:rPr>
                <w:rFonts w:hint="default" w:ascii="Times New Roman" w:hAnsi="Times New Roman" w:eastAsia="宋体" w:cs="Times New Roman"/>
                <w:color w:val="auto"/>
                <w:sz w:val="24"/>
                <w:highlight w:val="none"/>
                <w:lang w:val="en-US" w:eastAsia="zh-CN"/>
              </w:rPr>
              <w:t>58</w:t>
            </w:r>
            <w:r>
              <w:rPr>
                <w:rFonts w:hint="default" w:ascii="Times New Roman" w:hAnsi="Times New Roman" w:eastAsia="宋体" w:cs="Times New Roman"/>
                <w:color w:val="auto"/>
                <w:sz w:val="24"/>
                <w:highlight w:val="none"/>
              </w:rPr>
              <w:t>000</w:t>
            </w:r>
            <w:r>
              <w:rPr>
                <w:rFonts w:hint="default" w:ascii="Times New Roman" w:hAnsi="Times New Roman" w:eastAsia="宋体" w:cs="Times New Roman"/>
                <w:color w:val="auto"/>
                <w:kern w:val="0"/>
                <w:sz w:val="24"/>
                <w:highlight w:val="none"/>
              </w:rPr>
              <w:t>万元在</w:t>
            </w:r>
            <w:r>
              <w:rPr>
                <w:rFonts w:hint="default" w:ascii="Times New Roman" w:hAnsi="Times New Roman" w:eastAsia="宋体" w:cs="Times New Roman"/>
                <w:color w:val="auto"/>
                <w:sz w:val="24"/>
                <w:szCs w:val="24"/>
                <w:highlight w:val="none"/>
              </w:rPr>
              <w:t>杜集经济开发区</w:t>
            </w:r>
            <w:r>
              <w:rPr>
                <w:rFonts w:hint="default" w:ascii="Times New Roman" w:hAnsi="Times New Roman" w:eastAsia="宋体" w:cs="Times New Roman"/>
                <w:color w:val="auto"/>
                <w:sz w:val="24"/>
                <w:highlight w:val="none"/>
              </w:rPr>
              <w:t>建设“</w:t>
            </w:r>
            <w:r>
              <w:rPr>
                <w:rFonts w:hint="default" w:ascii="Times New Roman" w:hAnsi="Times New Roman" w:eastAsia="宋体" w:cs="Times New Roman"/>
                <w:color w:val="auto"/>
                <w:sz w:val="24"/>
                <w:szCs w:val="24"/>
                <w:highlight w:val="none"/>
                <w:lang w:eastAsia="zh-CN"/>
              </w:rPr>
              <w:t>中拓机械制造项目</w:t>
            </w:r>
            <w:r>
              <w:rPr>
                <w:rFonts w:hint="default" w:ascii="Times New Roman" w:hAnsi="Times New Roman" w:eastAsia="宋体" w:cs="Times New Roman"/>
                <w:color w:val="auto"/>
                <w:sz w:val="24"/>
                <w:highlight w:val="none"/>
              </w:rPr>
              <w:t>”，项目建成后将形成</w:t>
            </w:r>
            <w:r>
              <w:rPr>
                <w:rFonts w:hint="default" w:ascii="Times New Roman" w:hAnsi="Times New Roman" w:eastAsia="宋体" w:cs="Times New Roman"/>
                <w:color w:val="auto"/>
                <w:kern w:val="2"/>
                <w:sz w:val="24"/>
                <w:szCs w:val="24"/>
                <w:highlight w:val="none"/>
                <w:lang w:val="en-US" w:eastAsia="zh-CN"/>
              </w:rPr>
              <w:t>形成</w:t>
            </w:r>
            <w:r>
              <w:rPr>
                <w:rFonts w:hint="default" w:ascii="Times New Roman" w:hAnsi="Times New Roman" w:eastAsia="宋体" w:cs="Times New Roman"/>
                <w:color w:val="auto"/>
                <w:kern w:val="2"/>
                <w:sz w:val="24"/>
                <w:szCs w:val="24"/>
                <w:highlight w:val="none"/>
              </w:rPr>
              <w:t>年产浓缩机、浮选机等环保成套设备约1500台（套）生产能力。</w:t>
            </w:r>
          </w:p>
          <w:p>
            <w:pPr>
              <w:pStyle w:val="2"/>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根据《中华人民共和国环境保护法》《中华人民共和国环境影响评价法》和《建设项目环境保护管理条例》(国务院682号令)中有关规定，</w:t>
            </w:r>
            <w:r>
              <w:rPr>
                <w:rFonts w:hint="default" w:ascii="Times New Roman" w:hAnsi="Times New Roman" w:cs="Times New Roman"/>
                <w:color w:val="auto"/>
                <w:sz w:val="24"/>
                <w:szCs w:val="24"/>
                <w:highlight w:val="none"/>
                <w:lang w:eastAsia="zh-CN"/>
              </w:rPr>
              <w:t>安徽中拓机械制造有限公司</w:t>
            </w:r>
            <w:r>
              <w:rPr>
                <w:rFonts w:hint="default" w:ascii="Times New Roman" w:hAnsi="Times New Roman" w:cs="Times New Roman"/>
                <w:color w:val="auto"/>
                <w:sz w:val="24"/>
                <w:szCs w:val="24"/>
                <w:highlight w:val="none"/>
              </w:rPr>
              <w:t>于2022年</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月委托我公司对该项目进行的环评工作。依据《建设项目环境影响评价分类管理名录（2021版）》（部令16号），本项目属于</w:t>
            </w:r>
            <w:r>
              <w:rPr>
                <w:rFonts w:hint="default" w:ascii="Times New Roman" w:hAnsi="Times New Roman" w:cs="Times New Roman"/>
                <w:b/>
                <w:bCs/>
                <w:color w:val="auto"/>
                <w:sz w:val="24"/>
                <w:szCs w:val="24"/>
                <w:highlight w:val="none"/>
              </w:rPr>
              <w:t>“三十一、通用设备制造业</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34</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中</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69</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其他通用设备制造业 349”</w:t>
            </w:r>
            <w:r>
              <w:rPr>
                <w:rFonts w:hint="default" w:ascii="Times New Roman" w:hAnsi="Times New Roman" w:cs="Times New Roman"/>
                <w:color w:val="auto"/>
                <w:sz w:val="24"/>
                <w:szCs w:val="24"/>
                <w:highlight w:val="none"/>
              </w:rPr>
              <w:t>的项目，其他（仅分割、焊接、组装的除外；年用非溶剂型低VOCs含量涂料10吨以下的除外），应当编制环境影响报告表。我公司在接到委托后，按项目特点与专业要求，进行现场踏勘、收集资料，针对项目可能涉及的污染问题，从工程角度和环境角度进行了分析，并对污染等问题提出了相应的防治对策和管理措施，在此基础上，编制了《</w:t>
            </w:r>
            <w:r>
              <w:rPr>
                <w:rFonts w:hint="default" w:ascii="Times New Roman" w:hAnsi="Times New Roman" w:cs="Times New Roman"/>
                <w:color w:val="auto"/>
                <w:sz w:val="24"/>
                <w:szCs w:val="24"/>
                <w:highlight w:val="none"/>
                <w:lang w:eastAsia="zh-CN"/>
              </w:rPr>
              <w:t>中拓机械制造项目</w:t>
            </w:r>
            <w:r>
              <w:rPr>
                <w:rFonts w:hint="default" w:ascii="Times New Roman" w:hAnsi="Times New Roman" w:cs="Times New Roman"/>
                <w:color w:val="auto"/>
                <w:sz w:val="24"/>
                <w:szCs w:val="24"/>
                <w:highlight w:val="none"/>
              </w:rPr>
              <w:t>环境影响报告表》，呈报生态环境主管部门审批。</w:t>
            </w:r>
          </w:p>
          <w:p>
            <w:pPr>
              <w:spacing w:line="360" w:lineRule="auto"/>
              <w:ind w:firstLine="482" w:firstLineChars="200"/>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2.2建设规模及主要建设内容</w:t>
            </w:r>
          </w:p>
          <w:p>
            <w:pPr>
              <w:spacing w:line="360" w:lineRule="auto"/>
              <w:ind w:firstLine="482" w:firstLineChars="200"/>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1、建设规模及主要建设内容</w:t>
            </w:r>
          </w:p>
          <w:p>
            <w:pPr>
              <w:spacing w:line="360" w:lineRule="auto"/>
              <w:ind w:firstLine="480" w:firstLineChars="200"/>
              <w:rPr>
                <w:rFonts w:hint="default" w:ascii="Times New Roman" w:hAnsi="Times New Roman" w:cs="Times New Roman"/>
                <w:b/>
                <w:bCs/>
                <w:color w:val="auto"/>
                <w:sz w:val="24"/>
                <w:szCs w:val="24"/>
                <w:highlight w:val="none"/>
                <w:lang w:bidi="en-US"/>
              </w:rPr>
            </w:pPr>
            <w:r>
              <w:rPr>
                <w:rFonts w:hint="default" w:ascii="Times New Roman" w:hAnsi="Times New Roman" w:eastAsia="宋体" w:cs="Times New Roman"/>
                <w:b w:val="0"/>
                <w:bCs w:val="0"/>
                <w:color w:val="auto"/>
                <w:sz w:val="24"/>
                <w:szCs w:val="24"/>
                <w:highlight w:val="none"/>
                <w:lang w:val="en-US" w:eastAsia="zh-CN"/>
              </w:rPr>
              <w:t>建设内容及规模：</w:t>
            </w:r>
            <w:r>
              <w:rPr>
                <w:rFonts w:hint="default" w:ascii="Times New Roman" w:hAnsi="Times New Roman" w:eastAsia="宋体" w:cs="Times New Roman"/>
                <w:color w:val="auto"/>
                <w:kern w:val="2"/>
                <w:sz w:val="24"/>
                <w:szCs w:val="24"/>
                <w:highlight w:val="none"/>
              </w:rPr>
              <w:t>总建筑面积47600㎡，其中建设厂房34200</w:t>
            </w:r>
            <w:r>
              <w:rPr>
                <w:rFonts w:hint="eastAsia"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，办公楼8200</w:t>
            </w:r>
            <w:r>
              <w:rPr>
                <w:rFonts w:hint="eastAsia"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，研发楼4200</w:t>
            </w:r>
            <w:r>
              <w:rPr>
                <w:rFonts w:hint="eastAsia"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，道路停车场3000㎡，绿化、亮化3000</w:t>
            </w:r>
            <w:r>
              <w:rPr>
                <w:rFonts w:hint="eastAsia"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，辅助用房约1000</w:t>
            </w:r>
            <w:r>
              <w:rPr>
                <w:rFonts w:hint="eastAsia"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门岗、配电房、水电汽配套、候工室），购置相关生产设备。主要能耗设备，卷板机2台、卷管机2台、剪板机6台、钻床6台、锯床4台、车床10台、车床5台、刨床3台、铣床3台、油压机2台、电焊机30台、行车20台、空压机4台、切割机2台、全自动切割机3台、废气处理设备1套、抛丸设备1套、其它设备</w:t>
            </w:r>
            <w:r>
              <w:rPr>
                <w:rFonts w:hint="default"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lang w:val="en-US" w:eastAsia="zh-CN"/>
              </w:rPr>
              <w:t>形成</w:t>
            </w:r>
            <w:r>
              <w:rPr>
                <w:rFonts w:hint="default" w:ascii="Times New Roman" w:hAnsi="Times New Roman" w:eastAsia="宋体" w:cs="Times New Roman"/>
                <w:color w:val="auto"/>
                <w:kern w:val="2"/>
                <w:sz w:val="24"/>
                <w:szCs w:val="24"/>
                <w:highlight w:val="none"/>
              </w:rPr>
              <w:t>年产浓缩机、浮选机等环保成套设备约1500台（套）生产能力。</w:t>
            </w:r>
          </w:p>
          <w:p>
            <w:pPr>
              <w:spacing w:line="360" w:lineRule="auto"/>
              <w:jc w:val="center"/>
              <w:rPr>
                <w:rFonts w:ascii="宋体" w:hAnsi="宋体"/>
                <w:color w:val="auto"/>
                <w:szCs w:val="21"/>
                <w:highlight w:val="none"/>
              </w:rPr>
            </w:pPr>
            <w:r>
              <w:rPr>
                <w:rFonts w:hint="eastAsia" w:hAnsi="宋体" w:cs="宋体"/>
                <w:b/>
                <w:bCs/>
                <w:color w:val="auto"/>
                <w:sz w:val="24"/>
                <w:szCs w:val="24"/>
                <w:highlight w:val="none"/>
                <w:lang w:bidi="en-US"/>
              </w:rPr>
              <w:t xml:space="preserve">表2-1   </w:t>
            </w:r>
            <w:r>
              <w:rPr>
                <w:rFonts w:hAnsi="宋体" w:cs="宋体"/>
                <w:b/>
                <w:bCs/>
                <w:color w:val="auto"/>
                <w:sz w:val="24"/>
                <w:szCs w:val="24"/>
                <w:highlight w:val="none"/>
                <w:lang w:bidi="en-US"/>
              </w:rPr>
              <w:t>拟建项目建设组成一览表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12"/>
              <w:gridCol w:w="3263"/>
              <w:gridCol w:w="1846"/>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28" w:type="pc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工程类别</w:t>
                  </w:r>
                </w:p>
              </w:tc>
              <w:tc>
                <w:tcPr>
                  <w:tcW w:w="821" w:type="pc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单项工程名称</w:t>
                  </w:r>
                </w:p>
              </w:tc>
              <w:tc>
                <w:tcPr>
                  <w:tcW w:w="2041" w:type="pc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工程内容</w:t>
                  </w:r>
                </w:p>
              </w:tc>
              <w:tc>
                <w:tcPr>
                  <w:tcW w:w="1155" w:type="pc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工程规模</w:t>
                  </w:r>
                </w:p>
              </w:tc>
              <w:tc>
                <w:tcPr>
                  <w:tcW w:w="453" w:type="pc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528" w:type="pc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主体工程</w:t>
                  </w:r>
                </w:p>
              </w:tc>
              <w:tc>
                <w:tcPr>
                  <w:tcW w:w="821" w:type="pct"/>
                  <w:vAlign w:val="center"/>
                </w:tcPr>
                <w:p>
                  <w:pPr>
                    <w:pStyle w:val="74"/>
                    <w:widowControl w:val="0"/>
                    <w:spacing w:before="0" w:beforeAutospacing="0" w:after="0" w:afterAutospacing="0" w:line="240" w:lineRule="auto"/>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生产车间</w:t>
                  </w:r>
                </w:p>
              </w:tc>
              <w:tc>
                <w:tcPr>
                  <w:tcW w:w="2041" w:type="pct"/>
                  <w:vAlign w:val="center"/>
                </w:tcPr>
                <w:p>
                  <w:pPr>
                    <w:pStyle w:val="74"/>
                    <w:widowControl w:val="0"/>
                    <w:spacing w:before="0" w:beforeAutospacing="0" w:after="0" w:afterAutospacing="0" w:line="240"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总建筑面积</w:t>
                  </w:r>
                  <w:r>
                    <w:rPr>
                      <w:rFonts w:hint="eastAsia" w:ascii="Times New Roman" w:hAnsi="Times New Roman" w:eastAsia="宋体" w:cs="Times New Roman"/>
                      <w:color w:val="auto"/>
                      <w:kern w:val="2"/>
                      <w:sz w:val="21"/>
                      <w:szCs w:val="21"/>
                      <w:highlight w:val="none"/>
                      <w:lang w:val="en-US" w:eastAsia="zh-CN"/>
                    </w:rPr>
                    <w:t>476</w:t>
                  </w:r>
                  <w:r>
                    <w:rPr>
                      <w:rFonts w:hint="default" w:ascii="Times New Roman" w:hAnsi="Times New Roman" w:eastAsia="宋体" w:cs="Times New Roman"/>
                      <w:color w:val="auto"/>
                      <w:kern w:val="2"/>
                      <w:sz w:val="21"/>
                      <w:szCs w:val="21"/>
                      <w:highlight w:val="none"/>
                    </w:rPr>
                    <w:t>00平方米，其中建设厂房34200平方米</w:t>
                  </w:r>
                  <w:r>
                    <w:rPr>
                      <w:rFonts w:hint="eastAsia"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设备</w:t>
                  </w:r>
                  <w:r>
                    <w:rPr>
                      <w:rFonts w:hint="eastAsia" w:ascii="Times New Roman" w:hAnsi="Times New Roman" w:eastAsia="宋体" w:cs="Times New Roman"/>
                      <w:color w:val="auto"/>
                      <w:kern w:val="2"/>
                      <w:sz w:val="21"/>
                      <w:szCs w:val="21"/>
                      <w:highlight w:val="none"/>
                      <w:lang w:eastAsia="zh-CN"/>
                    </w:rPr>
                    <w:t>：卷板机、卷管机、剪板机、钻床、锯床、车床、刨床、铣床、油压机、电焊机、行车、空压机、切割机、全自动切割机、抛丸设备</w:t>
                  </w:r>
                  <w:r>
                    <w:rPr>
                      <w:rFonts w:hint="default" w:ascii="Times New Roman" w:hAnsi="Times New Roman" w:eastAsia="宋体" w:cs="Times New Roman"/>
                      <w:color w:val="auto"/>
                      <w:kern w:val="2"/>
                      <w:sz w:val="21"/>
                      <w:szCs w:val="21"/>
                      <w:highlight w:val="none"/>
                    </w:rPr>
                    <w:t>等。</w:t>
                  </w:r>
                </w:p>
              </w:tc>
              <w:tc>
                <w:tcPr>
                  <w:tcW w:w="1155" w:type="pct"/>
                  <w:vAlign w:val="center"/>
                </w:tcPr>
                <w:p>
                  <w:pPr>
                    <w:spacing w:line="240" w:lineRule="auto"/>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年产浓缩机、浮选机等环保成套设备约1500台（套）</w:t>
                  </w:r>
                </w:p>
              </w:tc>
              <w:tc>
                <w:tcPr>
                  <w:tcW w:w="453" w:type="pct"/>
                  <w:vMerge w:val="restart"/>
                  <w:vAlign w:val="center"/>
                </w:tcPr>
                <w:p>
                  <w:pPr>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28" w:type="pct"/>
                  <w:vMerge w:val="restar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辅助工程</w:t>
                  </w:r>
                </w:p>
              </w:tc>
              <w:tc>
                <w:tcPr>
                  <w:tcW w:w="821" w:type="pct"/>
                  <w:vAlign w:val="center"/>
                </w:tcPr>
                <w:p>
                  <w:pPr>
                    <w:pStyle w:val="74"/>
                    <w:widowControl w:val="0"/>
                    <w:spacing w:before="0" w:beforeAutospacing="0" w:after="0" w:afterAutospacing="0" w:line="360" w:lineRule="exact"/>
                    <w:textAlignment w:val="auto"/>
                    <w:rPr>
                      <w:rFonts w:hint="default" w:ascii="Times New Roman" w:hAnsi="Times New Roman" w:eastAsia="宋体" w:cs="Times New Roman"/>
                      <w:b/>
                      <w:bCs/>
                      <w:color w:val="auto"/>
                      <w:kern w:val="2"/>
                      <w:sz w:val="21"/>
                      <w:szCs w:val="21"/>
                      <w:highlight w:val="none"/>
                      <w:u w:val="single"/>
                    </w:rPr>
                  </w:pPr>
                  <w:r>
                    <w:rPr>
                      <w:rFonts w:hint="default" w:ascii="Times New Roman" w:hAnsi="Times New Roman" w:eastAsia="宋体" w:cs="Times New Roman"/>
                      <w:b w:val="0"/>
                      <w:bCs w:val="0"/>
                      <w:color w:val="auto"/>
                      <w:kern w:val="2"/>
                      <w:sz w:val="21"/>
                      <w:szCs w:val="21"/>
                      <w:highlight w:val="none"/>
                    </w:rPr>
                    <w:t>办公及配套设施</w:t>
                  </w:r>
                </w:p>
              </w:tc>
              <w:tc>
                <w:tcPr>
                  <w:tcW w:w="3197" w:type="pct"/>
                  <w:gridSpan w:val="2"/>
                  <w:vAlign w:val="center"/>
                </w:tcPr>
                <w:p>
                  <w:pPr>
                    <w:pStyle w:val="74"/>
                    <w:widowControl w:val="0"/>
                    <w:spacing w:before="0" w:beforeAutospacing="0" w:after="0" w:afterAutospacing="0" w:line="240" w:lineRule="auto"/>
                    <w:jc w:val="both"/>
                    <w:textAlignment w:val="auto"/>
                    <w:rPr>
                      <w:rFonts w:hint="eastAsia"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总建筑面积47600㎡，</w:t>
                  </w:r>
                  <w:r>
                    <w:rPr>
                      <w:rFonts w:hint="eastAsia" w:ascii="Times New Roman" w:hAnsi="Times New Roman" w:eastAsia="宋体" w:cs="Times New Roman"/>
                      <w:color w:val="auto"/>
                      <w:kern w:val="2"/>
                      <w:sz w:val="21"/>
                      <w:szCs w:val="21"/>
                      <w:highlight w:val="none"/>
                      <w:lang w:val="en-US" w:eastAsia="zh-CN"/>
                    </w:rPr>
                    <w:t>其中</w:t>
                  </w:r>
                  <w:r>
                    <w:rPr>
                      <w:rFonts w:hint="default" w:ascii="Times New Roman" w:hAnsi="Times New Roman" w:eastAsia="宋体" w:cs="Times New Roman"/>
                      <w:color w:val="auto"/>
                      <w:kern w:val="2"/>
                      <w:sz w:val="21"/>
                      <w:szCs w:val="21"/>
                      <w:highlight w:val="none"/>
                    </w:rPr>
                    <w:t>办公楼8200</w:t>
                  </w:r>
                  <w:r>
                    <w:rPr>
                      <w:rFonts w:hint="eastAsia"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，研发楼4200</w:t>
                  </w:r>
                  <w:r>
                    <w:rPr>
                      <w:rFonts w:hint="eastAsia"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，道路停车场3000㎡，绿化、亮化3000</w:t>
                  </w:r>
                  <w:r>
                    <w:rPr>
                      <w:rFonts w:hint="eastAsia"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，辅助用房约1000</w:t>
                  </w:r>
                  <w:r>
                    <w:rPr>
                      <w:rFonts w:hint="eastAsia"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（门岗、配电房、水电汽配套、候工室）</w:t>
                  </w:r>
                  <w:r>
                    <w:rPr>
                      <w:rFonts w:hint="eastAsia" w:ascii="Times New Roman" w:hAnsi="Times New Roman" w:eastAsia="宋体" w:cs="Times New Roman"/>
                      <w:color w:val="auto"/>
                      <w:kern w:val="2"/>
                      <w:sz w:val="21"/>
                      <w:szCs w:val="21"/>
                      <w:highlight w:val="none"/>
                      <w:lang w:eastAsia="zh-CN"/>
                    </w:rPr>
                    <w:t>。</w:t>
                  </w:r>
                </w:p>
              </w:tc>
              <w:tc>
                <w:tcPr>
                  <w:tcW w:w="453" w:type="pct"/>
                  <w:vMerge w:val="continue"/>
                  <w:vAlign w:val="center"/>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喷漆、晾干房</w:t>
                  </w:r>
                </w:p>
              </w:tc>
              <w:tc>
                <w:tcPr>
                  <w:tcW w:w="3197" w:type="pct"/>
                  <w:gridSpan w:val="2"/>
                  <w:vAlign w:val="center"/>
                </w:tcPr>
                <w:p>
                  <w:pPr>
                    <w:tabs>
                      <w:tab w:val="left" w:pos="645"/>
                    </w:tabs>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一体式密闭喷漆及晾干房，</w:t>
                  </w:r>
                  <w:r>
                    <w:rPr>
                      <w:rFonts w:hint="default" w:ascii="Times New Roman" w:hAnsi="Times New Roman" w:cs="Times New Roman"/>
                      <w:color w:val="auto"/>
                      <w:kern w:val="0"/>
                      <w:sz w:val="21"/>
                      <w:szCs w:val="21"/>
                      <w:highlight w:val="none"/>
                    </w:rPr>
                    <w:t>在生产车间内</w:t>
                  </w:r>
                  <w:r>
                    <w:rPr>
                      <w:rFonts w:hint="default" w:ascii="Times New Roman" w:hAnsi="Times New Roman" w:cs="Times New Roman"/>
                      <w:color w:val="auto"/>
                      <w:kern w:val="0"/>
                      <w:sz w:val="21"/>
                      <w:szCs w:val="21"/>
                      <w:highlight w:val="none"/>
                      <w:lang w:val="en-US" w:eastAsia="zh-CN"/>
                    </w:rPr>
                    <w:t>西北</w:t>
                  </w:r>
                  <w:r>
                    <w:rPr>
                      <w:rFonts w:hint="default" w:ascii="Times New Roman" w:hAnsi="Times New Roman" w:cs="Times New Roman"/>
                      <w:color w:val="auto"/>
                      <w:kern w:val="0"/>
                      <w:sz w:val="21"/>
                      <w:szCs w:val="21"/>
                      <w:highlight w:val="none"/>
                    </w:rPr>
                    <w:t>侧，</w:t>
                  </w:r>
                  <w:r>
                    <w:rPr>
                      <w:rFonts w:hint="default" w:ascii="Times New Roman" w:hAnsi="Times New Roman" w:cs="Times New Roman"/>
                      <w:color w:val="auto"/>
                      <w:sz w:val="21"/>
                      <w:szCs w:val="21"/>
                      <w:highlight w:val="none"/>
                    </w:rPr>
                    <w:t>建筑面积</w:t>
                  </w:r>
                  <w:r>
                    <w:rPr>
                      <w:rFonts w:hint="default" w:ascii="Times New Roman" w:hAnsi="Times New Roman" w:cs="Times New Roman"/>
                      <w:color w:val="auto"/>
                      <w:sz w:val="21"/>
                      <w:szCs w:val="21"/>
                      <w:highlight w:val="none"/>
                      <w:lang w:val="en-US" w:eastAsia="zh-CN"/>
                    </w:rPr>
                    <w:t>1000</w:t>
                  </w:r>
                  <w:r>
                    <w:rPr>
                      <w:rFonts w:hint="default" w:ascii="Times New Roman" w:hAnsi="Times New Roman" w:cs="Times New Roman"/>
                      <w:color w:val="auto"/>
                      <w:sz w:val="21"/>
                      <w:szCs w:val="21"/>
                      <w:highlight w:val="none"/>
                    </w:rPr>
                    <w:t>平方米。</w:t>
                  </w:r>
                </w:p>
              </w:tc>
              <w:tc>
                <w:tcPr>
                  <w:tcW w:w="453" w:type="pct"/>
                  <w:vMerge w:val="continue"/>
                  <w:vAlign w:val="center"/>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28" w:type="pct"/>
                  <w:vMerge w:val="restar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储运工程</w:t>
                  </w: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原料</w:t>
                  </w:r>
                  <w:r>
                    <w:rPr>
                      <w:rFonts w:hint="eastAsia" w:ascii="Times New Roman" w:hAnsi="Times New Roman" w:cs="Times New Roman"/>
                      <w:color w:val="auto"/>
                      <w:sz w:val="21"/>
                      <w:szCs w:val="21"/>
                      <w:highlight w:val="none"/>
                      <w:lang w:val="en-US" w:eastAsia="zh-CN"/>
                    </w:rPr>
                    <w:t>库</w:t>
                  </w:r>
                </w:p>
              </w:tc>
              <w:tc>
                <w:tcPr>
                  <w:tcW w:w="2041" w:type="pct"/>
                  <w:vAlign w:val="center"/>
                </w:tcPr>
                <w:p>
                  <w:pPr>
                    <w:spacing w:line="360" w:lineRule="exact"/>
                    <w:jc w:val="both"/>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位于</w:t>
                  </w:r>
                  <w:r>
                    <w:rPr>
                      <w:rFonts w:hint="default" w:ascii="Times New Roman" w:hAnsi="Times New Roman" w:cs="Times New Roman"/>
                      <w:color w:val="auto"/>
                      <w:sz w:val="21"/>
                      <w:szCs w:val="21"/>
                      <w:highlight w:val="none"/>
                      <w:lang w:val="en-US" w:eastAsia="zh-CN"/>
                    </w:rPr>
                    <w:t>厂区北侧</w:t>
                  </w:r>
                </w:p>
              </w:tc>
              <w:tc>
                <w:tcPr>
                  <w:tcW w:w="1155" w:type="pct"/>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建筑面积：</w:t>
                  </w:r>
                  <w:r>
                    <w:rPr>
                      <w:rFonts w:hint="default" w:ascii="Times New Roman" w:hAnsi="Times New Roman" w:cs="Times New Roman"/>
                      <w:color w:val="auto"/>
                      <w:sz w:val="21"/>
                      <w:szCs w:val="21"/>
                      <w:highlight w:val="none"/>
                      <w:lang w:val="en-US" w:eastAsia="zh-CN"/>
                    </w:rPr>
                    <w:t>600</w:t>
                  </w: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2</w:t>
                  </w:r>
                </w:p>
              </w:tc>
              <w:tc>
                <w:tcPr>
                  <w:tcW w:w="453" w:type="pct"/>
                  <w:vMerge w:val="continue"/>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成品库</w:t>
                  </w:r>
                </w:p>
              </w:tc>
              <w:tc>
                <w:tcPr>
                  <w:tcW w:w="2041" w:type="pct"/>
                  <w:vAlign w:val="center"/>
                </w:tcPr>
                <w:p>
                  <w:pPr>
                    <w:spacing w:line="360" w:lineRule="exact"/>
                    <w:jc w:val="both"/>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位于</w:t>
                  </w:r>
                  <w:r>
                    <w:rPr>
                      <w:rFonts w:hint="default" w:ascii="Times New Roman" w:hAnsi="Times New Roman" w:cs="Times New Roman"/>
                      <w:color w:val="auto"/>
                      <w:sz w:val="21"/>
                      <w:szCs w:val="21"/>
                      <w:highlight w:val="none"/>
                      <w:lang w:val="en-US" w:eastAsia="zh-CN"/>
                    </w:rPr>
                    <w:t>厂区北侧生产车间内</w:t>
                  </w:r>
                </w:p>
              </w:tc>
              <w:tc>
                <w:tcPr>
                  <w:tcW w:w="1155" w:type="pct"/>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建筑面积：</w:t>
                  </w:r>
                  <w:r>
                    <w:rPr>
                      <w:rFonts w:hint="default" w:ascii="Times New Roman" w:hAnsi="Times New Roman" w:cs="Times New Roman"/>
                      <w:color w:val="auto"/>
                      <w:sz w:val="21"/>
                      <w:szCs w:val="21"/>
                      <w:highlight w:val="none"/>
                      <w:lang w:val="en-US" w:eastAsia="zh-CN"/>
                    </w:rPr>
                    <w:t>200</w:t>
                  </w: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2</w:t>
                  </w:r>
                </w:p>
              </w:tc>
              <w:tc>
                <w:tcPr>
                  <w:tcW w:w="453" w:type="pct"/>
                  <w:vMerge w:val="continue"/>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漆料存放间</w:t>
                  </w:r>
                </w:p>
              </w:tc>
              <w:tc>
                <w:tcPr>
                  <w:tcW w:w="2041" w:type="pct"/>
                  <w:vAlign w:val="center"/>
                </w:tcPr>
                <w:p>
                  <w:pPr>
                    <w:tabs>
                      <w:tab w:val="left" w:pos="645"/>
                    </w:tabs>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位于</w:t>
                  </w:r>
                  <w:r>
                    <w:rPr>
                      <w:rFonts w:hint="default" w:ascii="Times New Roman" w:hAnsi="Times New Roman" w:cs="Times New Roman"/>
                      <w:color w:val="auto"/>
                      <w:sz w:val="21"/>
                      <w:szCs w:val="21"/>
                      <w:highlight w:val="none"/>
                      <w:lang w:val="en-US" w:eastAsia="zh-CN"/>
                    </w:rPr>
                    <w:t>厂区北侧</w:t>
                  </w:r>
                  <w:r>
                    <w:rPr>
                      <w:rFonts w:hint="default" w:ascii="Times New Roman" w:hAnsi="Times New Roman" w:cs="Times New Roman"/>
                      <w:color w:val="auto"/>
                      <w:kern w:val="0"/>
                      <w:sz w:val="21"/>
                      <w:szCs w:val="21"/>
                      <w:highlight w:val="none"/>
                    </w:rPr>
                    <w:t>生产车间内，</w:t>
                  </w:r>
                  <w:r>
                    <w:rPr>
                      <w:rFonts w:hint="default" w:ascii="Times New Roman" w:hAnsi="Times New Roman" w:cs="Times New Roman"/>
                      <w:color w:val="auto"/>
                      <w:sz w:val="21"/>
                      <w:szCs w:val="21"/>
                      <w:highlight w:val="none"/>
                    </w:rPr>
                    <w:t>喷漆房的</w:t>
                  </w:r>
                  <w:r>
                    <w:rPr>
                      <w:rFonts w:hint="default" w:ascii="Times New Roman" w:hAnsi="Times New Roman" w:cs="Times New Roman"/>
                      <w:color w:val="auto"/>
                      <w:sz w:val="21"/>
                      <w:szCs w:val="21"/>
                      <w:highlight w:val="none"/>
                      <w:lang w:val="en-US" w:eastAsia="zh-CN"/>
                    </w:rPr>
                    <w:t>南</w:t>
                  </w:r>
                  <w:r>
                    <w:rPr>
                      <w:rFonts w:hint="default" w:ascii="Times New Roman" w:hAnsi="Times New Roman" w:cs="Times New Roman"/>
                      <w:color w:val="auto"/>
                      <w:sz w:val="21"/>
                      <w:szCs w:val="21"/>
                      <w:highlight w:val="none"/>
                    </w:rPr>
                    <w:t>侧位置。</w:t>
                  </w:r>
                </w:p>
              </w:tc>
              <w:tc>
                <w:tcPr>
                  <w:tcW w:w="1155" w:type="pct"/>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建筑面积：</w:t>
                  </w:r>
                  <w:r>
                    <w:rPr>
                      <w:rFonts w:hint="default" w:ascii="Times New Roman" w:hAnsi="Times New Roman" w:cs="Times New Roman"/>
                      <w:color w:val="auto"/>
                      <w:sz w:val="21"/>
                      <w:szCs w:val="21"/>
                      <w:highlight w:val="none"/>
                      <w:lang w:val="en-US" w:eastAsia="zh-CN"/>
                    </w:rPr>
                    <w:t>30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p>
              </w:tc>
              <w:tc>
                <w:tcPr>
                  <w:tcW w:w="453" w:type="pct"/>
                  <w:vMerge w:val="continue"/>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机油</w:t>
                  </w:r>
                  <w:r>
                    <w:rPr>
                      <w:rFonts w:hint="default" w:ascii="Times New Roman" w:hAnsi="Times New Roman" w:cs="Times New Roman"/>
                      <w:color w:val="auto"/>
                      <w:sz w:val="21"/>
                      <w:szCs w:val="21"/>
                      <w:highlight w:val="none"/>
                    </w:rPr>
                    <w:t>存储间</w:t>
                  </w:r>
                </w:p>
              </w:tc>
              <w:tc>
                <w:tcPr>
                  <w:tcW w:w="2041" w:type="pct"/>
                  <w:vAlign w:val="center"/>
                </w:tcPr>
                <w:p>
                  <w:pPr>
                    <w:tabs>
                      <w:tab w:val="left" w:pos="645"/>
                    </w:tabs>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位于</w:t>
                  </w:r>
                  <w:r>
                    <w:rPr>
                      <w:rFonts w:hint="default" w:ascii="Times New Roman" w:hAnsi="Times New Roman" w:cs="Times New Roman"/>
                      <w:color w:val="auto"/>
                      <w:sz w:val="21"/>
                      <w:szCs w:val="21"/>
                      <w:highlight w:val="none"/>
                      <w:lang w:val="en-US" w:eastAsia="zh-CN"/>
                    </w:rPr>
                    <w:t>厂区北侧</w:t>
                  </w:r>
                  <w:r>
                    <w:rPr>
                      <w:rFonts w:hint="default" w:ascii="Times New Roman" w:hAnsi="Times New Roman" w:cs="Times New Roman"/>
                      <w:color w:val="auto"/>
                      <w:kern w:val="0"/>
                      <w:sz w:val="21"/>
                      <w:szCs w:val="21"/>
                      <w:highlight w:val="none"/>
                    </w:rPr>
                    <w:t>生产车间内，</w:t>
                  </w:r>
                  <w:r>
                    <w:rPr>
                      <w:rFonts w:hint="default" w:ascii="Times New Roman" w:hAnsi="Times New Roman" w:cs="Times New Roman"/>
                      <w:color w:val="auto"/>
                      <w:sz w:val="21"/>
                      <w:szCs w:val="21"/>
                      <w:highlight w:val="none"/>
                    </w:rPr>
                    <w:t>漆料间</w:t>
                  </w:r>
                  <w:r>
                    <w:rPr>
                      <w:rFonts w:hint="default" w:ascii="Times New Roman" w:hAnsi="Times New Roman" w:cs="Times New Roman"/>
                      <w:color w:val="auto"/>
                      <w:sz w:val="21"/>
                      <w:szCs w:val="21"/>
                      <w:highlight w:val="none"/>
                      <w:lang w:val="en-US" w:eastAsia="zh-CN"/>
                    </w:rPr>
                    <w:t>内</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lang w:val="en-US" w:eastAsia="zh-CN"/>
                    </w:rPr>
                    <w:t>南</w:t>
                  </w:r>
                  <w:r>
                    <w:rPr>
                      <w:rFonts w:hint="default" w:ascii="Times New Roman" w:hAnsi="Times New Roman" w:cs="Times New Roman"/>
                      <w:color w:val="auto"/>
                      <w:sz w:val="21"/>
                      <w:szCs w:val="21"/>
                      <w:highlight w:val="none"/>
                    </w:rPr>
                    <w:t>侧位置。</w:t>
                  </w:r>
                </w:p>
              </w:tc>
              <w:tc>
                <w:tcPr>
                  <w:tcW w:w="1155" w:type="pct"/>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建筑面积：</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p>
              </w:tc>
              <w:tc>
                <w:tcPr>
                  <w:tcW w:w="453" w:type="pct"/>
                  <w:vMerge w:val="continue"/>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运输</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主要运输原辅材料、成品，以汽运为主。</w:t>
                  </w:r>
                </w:p>
              </w:tc>
              <w:tc>
                <w:tcPr>
                  <w:tcW w:w="453" w:type="pct"/>
                  <w:vMerge w:val="continue"/>
                </w:tcPr>
                <w:p>
                  <w:pPr>
                    <w:spacing w:line="360" w:lineRule="exact"/>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28" w:type="pct"/>
                  <w:vMerge w:val="restar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公用工程</w:t>
                  </w: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供水</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依托杜集经济开发区供水管网供水</w:t>
                  </w:r>
                </w:p>
              </w:tc>
              <w:tc>
                <w:tcPr>
                  <w:tcW w:w="453"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排水</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雨污分流，生活污水经化粪池预处理后接管进入龙湖污水处理厂深度处理。</w:t>
                  </w:r>
                </w:p>
              </w:tc>
              <w:tc>
                <w:tcPr>
                  <w:tcW w:w="453" w:type="pct"/>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供电</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由开发区供电管网供电。</w:t>
                  </w:r>
                </w:p>
              </w:tc>
              <w:tc>
                <w:tcPr>
                  <w:tcW w:w="453" w:type="pct"/>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消防</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项目室外消防用水量为30L/S，室内消防用水量为15L/S。主车间等单体室内按间距不大于30m设置室内消火栓，室外以间距不大于120m设置室外消火栓</w:t>
                  </w:r>
                </w:p>
              </w:tc>
              <w:tc>
                <w:tcPr>
                  <w:tcW w:w="453" w:type="pct"/>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28" w:type="pct"/>
                  <w:vMerge w:val="restart"/>
                  <w:vAlign w:val="center"/>
                </w:tcPr>
                <w:p>
                  <w:pPr>
                    <w:spacing w:line="360" w:lineRule="exact"/>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环保工程</w:t>
                  </w: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3197" w:type="pct"/>
                  <w:gridSpan w:val="2"/>
                  <w:vAlign w:val="center"/>
                </w:tcPr>
                <w:p>
                  <w:pPr>
                    <w:pStyle w:val="30"/>
                    <w:spacing w:after="0" w:line="360" w:lineRule="exact"/>
                    <w:jc w:val="both"/>
                    <w:rPr>
                      <w:rFonts w:hint="default" w:ascii="Times New Roman" w:hAnsi="Times New Roman" w:cs="Times New Roman"/>
                      <w:color w:val="auto"/>
                      <w:sz w:val="21"/>
                      <w:szCs w:val="21"/>
                      <w:highlight w:val="none"/>
                    </w:rPr>
                  </w:pPr>
                  <w:r>
                    <w:rPr>
                      <w:rFonts w:hint="eastAsia"/>
                      <w:color w:val="auto"/>
                    </w:rPr>
                    <w:t>生活污水经化粪池预处理</w:t>
                  </w:r>
                  <w:r>
                    <w:rPr>
                      <w:color w:val="auto"/>
                      <w:szCs w:val="21"/>
                    </w:rPr>
                    <w:t>达《污水综合排放标准》（GB8978-1996）三级标准</w:t>
                  </w:r>
                  <w:r>
                    <w:rPr>
                      <w:rFonts w:hint="eastAsia"/>
                      <w:color w:val="auto"/>
                    </w:rPr>
                    <w:t>及</w:t>
                  </w:r>
                  <w:r>
                    <w:rPr>
                      <w:rFonts w:hint="eastAsia"/>
                      <w:color w:val="auto"/>
                      <w:szCs w:val="21"/>
                    </w:rPr>
                    <w:t>龙湖</w:t>
                  </w:r>
                  <w:r>
                    <w:rPr>
                      <w:rFonts w:hint="eastAsia"/>
                      <w:color w:val="auto"/>
                    </w:rPr>
                    <w:t>污水处理厂接管标准</w:t>
                  </w:r>
                  <w:r>
                    <w:rPr>
                      <w:color w:val="auto"/>
                      <w:szCs w:val="21"/>
                    </w:rPr>
                    <w:t>，接管</w:t>
                  </w:r>
                  <w:r>
                    <w:rPr>
                      <w:rFonts w:hint="eastAsia"/>
                      <w:color w:val="auto"/>
                      <w:szCs w:val="21"/>
                    </w:rPr>
                    <w:t>开发区</w:t>
                  </w:r>
                  <w:r>
                    <w:rPr>
                      <w:color w:val="auto"/>
                      <w:szCs w:val="21"/>
                    </w:rPr>
                    <w:t>污水管网进龙湖污水处理厂处理达标后废水就近排入</w:t>
                  </w:r>
                  <w:r>
                    <w:rPr>
                      <w:rFonts w:hint="eastAsia"/>
                      <w:color w:val="auto"/>
                      <w:szCs w:val="21"/>
                    </w:rPr>
                    <w:t>龙河</w:t>
                  </w:r>
                  <w:r>
                    <w:rPr>
                      <w:rFonts w:hint="eastAsia" w:hAnsi="宋体"/>
                      <w:bCs/>
                      <w:color w:val="auto"/>
                      <w:szCs w:val="21"/>
                    </w:rPr>
                    <w:t>。</w:t>
                  </w:r>
                </w:p>
              </w:tc>
              <w:tc>
                <w:tcPr>
                  <w:tcW w:w="453" w:type="pct"/>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Merge w:val="restar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w:t>
                  </w:r>
                </w:p>
              </w:tc>
              <w:tc>
                <w:tcPr>
                  <w:tcW w:w="5109" w:type="dxa"/>
                  <w:gridSpan w:val="2"/>
                  <w:vAlign w:val="center"/>
                </w:tcPr>
                <w:p>
                  <w:pPr>
                    <w:pStyle w:val="12"/>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Cs w:val="21"/>
                      <w:highlight w:val="none"/>
                    </w:rPr>
                    <w:t>下料产生的金属粉尘：设集气系统、管道收集，经布袋除尘器处理后经不低于15m高排气筒</w:t>
                  </w:r>
                  <w:r>
                    <w:rPr>
                      <w:rFonts w:hint="default" w:ascii="Times New Roman" w:hAnsi="Times New Roman" w:cs="Times New Roman"/>
                      <w:color w:val="auto"/>
                      <w:highlight w:val="none"/>
                    </w:rPr>
                    <w:t>（DA001）</w:t>
                  </w:r>
                  <w:r>
                    <w:rPr>
                      <w:rFonts w:hint="default" w:ascii="Times New Roman" w:hAnsi="Times New Roman" w:cs="Times New Roman"/>
                      <w:color w:val="auto"/>
                      <w:kern w:val="0"/>
                      <w:szCs w:val="21"/>
                      <w:highlight w:val="none"/>
                    </w:rPr>
                    <w:t>达标排放</w:t>
                  </w:r>
                </w:p>
              </w:tc>
              <w:tc>
                <w:tcPr>
                  <w:tcW w:w="453" w:type="pct"/>
                  <w:vMerge w:val="restar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c>
                <w:tcPr>
                  <w:tcW w:w="5109" w:type="dxa"/>
                  <w:gridSpan w:val="2"/>
                  <w:vAlign w:val="center"/>
                </w:tcPr>
                <w:p>
                  <w:pPr>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Cs w:val="21"/>
                      <w:highlight w:val="none"/>
                    </w:rPr>
                    <w:t>焊接烟尘：焊接烟尘</w:t>
                  </w:r>
                  <w:r>
                    <w:rPr>
                      <w:rFonts w:hint="default" w:ascii="Times New Roman" w:hAnsi="Times New Roman" w:cs="Times New Roman"/>
                      <w:color w:val="auto"/>
                      <w:kern w:val="0"/>
                      <w:szCs w:val="21"/>
                      <w:highlight w:val="none"/>
                    </w:rPr>
                    <w:t>设集气系统、管道收集后经布袋除尘器处理后经不低于15m高排气筒</w:t>
                  </w:r>
                  <w:r>
                    <w:rPr>
                      <w:rFonts w:hint="default" w:ascii="Times New Roman" w:hAnsi="Times New Roman" w:cs="Times New Roman"/>
                      <w:color w:val="auto"/>
                      <w:highlight w:val="none"/>
                    </w:rPr>
                    <w:t>（DA002）</w:t>
                  </w:r>
                  <w:r>
                    <w:rPr>
                      <w:rFonts w:hint="default" w:ascii="Times New Roman" w:hAnsi="Times New Roman" w:cs="Times New Roman"/>
                      <w:color w:val="auto"/>
                      <w:kern w:val="0"/>
                      <w:szCs w:val="21"/>
                      <w:highlight w:val="none"/>
                    </w:rPr>
                    <w:t>达标排放</w:t>
                  </w:r>
                </w:p>
              </w:tc>
              <w:tc>
                <w:tcPr>
                  <w:tcW w:w="453"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c>
                <w:tcPr>
                  <w:tcW w:w="5109" w:type="dxa"/>
                  <w:gridSpan w:val="2"/>
                  <w:vAlign w:val="center"/>
                </w:tcPr>
                <w:p>
                  <w:pPr>
                    <w:jc w:val="left"/>
                    <w:rPr>
                      <w:rFonts w:hint="default" w:ascii="Times New Roman" w:hAnsi="Times New Roman" w:cs="Times New Roman"/>
                      <w:color w:val="auto"/>
                      <w:sz w:val="21"/>
                      <w:szCs w:val="21"/>
                      <w:highlight w:val="none"/>
                    </w:rPr>
                  </w:pPr>
                  <w:r>
                    <w:rPr>
                      <w:rFonts w:hint="eastAsia" w:ascii="Times New Roman" w:hAnsi="Times New Roman" w:cs="Times New Roman"/>
                      <w:color w:val="auto"/>
                      <w:szCs w:val="21"/>
                      <w:highlight w:val="none"/>
                      <w:lang w:val="en-US" w:eastAsia="zh-CN"/>
                    </w:rPr>
                    <w:t>抛丸</w:t>
                  </w:r>
                  <w:r>
                    <w:rPr>
                      <w:rFonts w:hint="default" w:ascii="Times New Roman" w:hAnsi="Times New Roman" w:cs="Times New Roman"/>
                      <w:color w:val="auto"/>
                      <w:szCs w:val="21"/>
                      <w:highlight w:val="none"/>
                    </w:rPr>
                    <w:t>产生的粉尘：由</w:t>
                  </w:r>
                  <w:r>
                    <w:rPr>
                      <w:rFonts w:hint="eastAsia" w:ascii="Times New Roman" w:hAnsi="Times New Roman" w:cs="Times New Roman"/>
                      <w:color w:val="auto"/>
                      <w:szCs w:val="21"/>
                      <w:highlight w:val="none"/>
                      <w:lang w:val="en-US" w:eastAsia="zh-CN"/>
                    </w:rPr>
                    <w:t>抛丸</w:t>
                  </w:r>
                  <w:r>
                    <w:rPr>
                      <w:rFonts w:hint="default" w:ascii="Times New Roman" w:hAnsi="Times New Roman" w:cs="Times New Roman"/>
                      <w:color w:val="auto"/>
                      <w:szCs w:val="21"/>
                      <w:highlight w:val="none"/>
                    </w:rPr>
                    <w:t>机自带集气系统收集，由引风机引入经管道进入布袋除尘器处理后经不低于15m高排气筒（DA003）达标排放</w:t>
                  </w:r>
                </w:p>
              </w:tc>
              <w:tc>
                <w:tcPr>
                  <w:tcW w:w="453"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28" w:type="pct"/>
                  <w:vMerge w:val="continue"/>
                  <w:vAlign w:val="center"/>
                </w:tcPr>
                <w:p>
                  <w:pPr>
                    <w:spacing w:line="360" w:lineRule="exact"/>
                    <w:jc w:val="center"/>
                    <w:rPr>
                      <w:rFonts w:hint="default" w:ascii="Times New Roman" w:hAnsi="Times New Roman" w:cs="Times New Roman"/>
                      <w:b/>
                      <w:color w:val="auto"/>
                      <w:sz w:val="21"/>
                      <w:szCs w:val="21"/>
                      <w:highlight w:val="none"/>
                    </w:rPr>
                  </w:pPr>
                </w:p>
              </w:tc>
              <w:tc>
                <w:tcPr>
                  <w:tcW w:w="821"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c>
                <w:tcPr>
                  <w:tcW w:w="3197" w:type="pct"/>
                  <w:gridSpan w:val="2"/>
                  <w:vAlign w:val="center"/>
                </w:tcPr>
                <w:p>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喷漆、晾干废气：密闭式喷漆晾干房，废气经负压收集，通过引风机经管道引入过滤棉+二级活性炭（活性炭纤维+活性炭颗粒）吸附装置处理，通过不低于15m排气筒（</w:t>
                  </w:r>
                  <w:r>
                    <w:rPr>
                      <w:rFonts w:hint="default" w:ascii="Times New Roman" w:hAnsi="Times New Roman" w:cs="Times New Roman"/>
                      <w:color w:val="auto"/>
                      <w:sz w:val="21"/>
                      <w:szCs w:val="21"/>
                      <w:highlight w:val="none"/>
                      <w:lang w:eastAsia="zh-CN"/>
                    </w:rPr>
                    <w:t>DA00</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）排放</w:t>
                  </w:r>
                </w:p>
              </w:tc>
              <w:tc>
                <w:tcPr>
                  <w:tcW w:w="453"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tcPr>
                <w:p>
                  <w:pPr>
                    <w:spacing w:line="360" w:lineRule="exact"/>
                    <w:rPr>
                      <w:rFonts w:hint="default" w:ascii="Times New Roman" w:hAnsi="Times New Roman" w:cs="Times New Roman"/>
                      <w:b/>
                      <w:color w:val="auto"/>
                      <w:sz w:val="21"/>
                      <w:szCs w:val="21"/>
                      <w:highlight w:val="none"/>
                    </w:rPr>
                  </w:pPr>
                </w:p>
              </w:tc>
              <w:tc>
                <w:tcPr>
                  <w:tcW w:w="821"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针对主要噪声源采取隔声、减振等措施。</w:t>
                  </w:r>
                </w:p>
              </w:tc>
              <w:tc>
                <w:tcPr>
                  <w:tcW w:w="453"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528" w:type="pct"/>
                  <w:vMerge w:val="continue"/>
                </w:tcPr>
                <w:p>
                  <w:pPr>
                    <w:spacing w:line="360" w:lineRule="exact"/>
                    <w:rPr>
                      <w:rFonts w:hint="default" w:ascii="Times New Roman" w:hAnsi="Times New Roman" w:cs="Times New Roman"/>
                      <w:b/>
                      <w:color w:val="auto"/>
                      <w:sz w:val="21"/>
                      <w:szCs w:val="21"/>
                      <w:highlight w:val="none"/>
                    </w:rPr>
                  </w:pPr>
                </w:p>
              </w:tc>
              <w:tc>
                <w:tcPr>
                  <w:tcW w:w="821" w:type="pct"/>
                  <w:vMerge w:val="restar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设置一般固废暂存区1处，</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00</w:t>
                  </w:r>
                  <w:r>
                    <w:rPr>
                      <w:rFonts w:hint="default" w:ascii="Times New Roman" w:hAnsi="Times New Roman" w:cs="Times New Roman"/>
                      <w:color w:val="auto"/>
                      <w:sz w:val="21"/>
                      <w:szCs w:val="21"/>
                      <w:highlight w:val="none"/>
                    </w:rPr>
                    <w:t>m</w:t>
                  </w:r>
                  <w:r>
                    <w:rPr>
                      <w:rFonts w:hint="default" w:ascii="Times New Roman" w:hAnsi="Times New Roman" w:cs="Times New Roman"/>
                      <w:bCs/>
                      <w:color w:val="auto"/>
                      <w:sz w:val="21"/>
                      <w:szCs w:val="21"/>
                      <w:highlight w:val="none"/>
                      <w:vertAlign w:val="superscript"/>
                    </w:rPr>
                    <w:t>2</w:t>
                  </w:r>
                  <w:r>
                    <w:rPr>
                      <w:rFonts w:hint="default" w:ascii="Times New Roman" w:hAnsi="Times New Roman" w:cs="Times New Roman"/>
                      <w:bCs/>
                      <w:color w:val="auto"/>
                      <w:sz w:val="21"/>
                      <w:szCs w:val="21"/>
                      <w:highlight w:val="none"/>
                    </w:rPr>
                    <w:t>，</w:t>
                  </w:r>
                  <w:r>
                    <w:rPr>
                      <w:rFonts w:hint="default" w:ascii="Times New Roman" w:hAnsi="Times New Roman" w:cs="Times New Roman"/>
                      <w:color w:val="auto"/>
                      <w:sz w:val="21"/>
                      <w:szCs w:val="21"/>
                      <w:highlight w:val="none"/>
                    </w:rPr>
                    <w:t>位于</w:t>
                  </w:r>
                  <w:r>
                    <w:rPr>
                      <w:rFonts w:hint="default" w:ascii="Times New Roman" w:hAnsi="Times New Roman" w:cs="Times New Roman"/>
                      <w:color w:val="auto"/>
                      <w:kern w:val="0"/>
                      <w:sz w:val="21"/>
                      <w:szCs w:val="21"/>
                      <w:highlight w:val="none"/>
                    </w:rPr>
                    <w:t>位于</w:t>
                  </w:r>
                  <w:r>
                    <w:rPr>
                      <w:rFonts w:hint="eastAsia" w:ascii="Times New Roman" w:hAnsi="Times New Roman" w:cs="Times New Roman"/>
                      <w:color w:val="auto"/>
                      <w:sz w:val="21"/>
                      <w:szCs w:val="21"/>
                      <w:highlight w:val="none"/>
                      <w:lang w:val="en-US" w:eastAsia="zh-CN"/>
                    </w:rPr>
                    <w:t>厂区</w:t>
                  </w:r>
                  <w:r>
                    <w:rPr>
                      <w:rFonts w:hint="eastAsia" w:cs="Times New Roman"/>
                      <w:color w:val="auto"/>
                      <w:sz w:val="21"/>
                      <w:szCs w:val="21"/>
                      <w:highlight w:val="none"/>
                      <w:lang w:val="en-US" w:eastAsia="zh-CN"/>
                    </w:rPr>
                    <w:t>北侧</w:t>
                  </w:r>
                  <w:r>
                    <w:rPr>
                      <w:rFonts w:hint="default" w:ascii="Times New Roman" w:hAnsi="Times New Roman" w:cs="Times New Roman"/>
                      <w:color w:val="auto"/>
                      <w:kern w:val="0"/>
                      <w:sz w:val="21"/>
                      <w:szCs w:val="21"/>
                      <w:highlight w:val="none"/>
                    </w:rPr>
                    <w:t>生产车间内</w:t>
                  </w:r>
                </w:p>
              </w:tc>
              <w:tc>
                <w:tcPr>
                  <w:tcW w:w="453" w:type="pct"/>
                  <w:vMerge w:val="restar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8" w:type="pct"/>
                  <w:vMerge w:val="continue"/>
                </w:tcPr>
                <w:p>
                  <w:pPr>
                    <w:spacing w:line="360" w:lineRule="exact"/>
                    <w:rPr>
                      <w:rFonts w:hint="default" w:ascii="Times New Roman" w:hAnsi="Times New Roman" w:cs="Times New Roman"/>
                      <w:b/>
                      <w:color w:val="auto"/>
                      <w:sz w:val="21"/>
                      <w:szCs w:val="21"/>
                      <w:highlight w:val="none"/>
                    </w:rPr>
                  </w:pPr>
                </w:p>
              </w:tc>
              <w:tc>
                <w:tcPr>
                  <w:tcW w:w="821"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c>
                <w:tcPr>
                  <w:tcW w:w="3197" w:type="pct"/>
                  <w:gridSpan w:val="2"/>
                  <w:vAlign w:val="center"/>
                </w:tcPr>
                <w:p>
                  <w:pPr>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建设危险废物暂存间，</w:t>
                  </w:r>
                  <w:r>
                    <w:rPr>
                      <w:rFonts w:hint="eastAsia" w:ascii="Times New Roman" w:hAnsi="Times New Roman" w:cs="Times New Roman"/>
                      <w:color w:val="auto"/>
                      <w:sz w:val="21"/>
                      <w:szCs w:val="21"/>
                      <w:highlight w:val="none"/>
                      <w:lang w:val="en-US" w:eastAsia="zh-CN"/>
                    </w:rPr>
                    <w:t>30</w:t>
                  </w:r>
                  <w:r>
                    <w:rPr>
                      <w:rFonts w:hint="default" w:ascii="Times New Roman" w:hAnsi="Times New Roman" w:cs="Times New Roman"/>
                      <w:color w:val="auto"/>
                      <w:sz w:val="21"/>
                      <w:szCs w:val="21"/>
                      <w:highlight w:val="none"/>
                    </w:rPr>
                    <w:t>m</w:t>
                  </w:r>
                  <w:r>
                    <w:rPr>
                      <w:rFonts w:hint="default" w:ascii="Times New Roman" w:hAnsi="Times New Roman" w:cs="Times New Roman"/>
                      <w:bCs/>
                      <w:color w:val="auto"/>
                      <w:sz w:val="21"/>
                      <w:szCs w:val="21"/>
                      <w:highlight w:val="none"/>
                      <w:vertAlign w:val="superscript"/>
                    </w:rPr>
                    <w:t>2</w:t>
                  </w:r>
                  <w:r>
                    <w:rPr>
                      <w:rFonts w:hint="default" w:ascii="Times New Roman" w:hAnsi="Times New Roman" w:cs="Times New Roman"/>
                      <w:bCs/>
                      <w:color w:val="auto"/>
                      <w:sz w:val="21"/>
                      <w:szCs w:val="21"/>
                      <w:highlight w:val="none"/>
                    </w:rPr>
                    <w:t>，</w:t>
                  </w:r>
                  <w:r>
                    <w:rPr>
                      <w:rFonts w:hint="default" w:ascii="Times New Roman" w:hAnsi="Times New Roman" w:cs="Times New Roman"/>
                      <w:color w:val="auto"/>
                      <w:kern w:val="0"/>
                      <w:sz w:val="21"/>
                      <w:szCs w:val="21"/>
                      <w:highlight w:val="none"/>
                    </w:rPr>
                    <w:t>位于</w:t>
                  </w:r>
                  <w:r>
                    <w:rPr>
                      <w:rFonts w:hint="eastAsia" w:ascii="Times New Roman" w:hAnsi="Times New Roman" w:cs="Times New Roman"/>
                      <w:color w:val="auto"/>
                      <w:sz w:val="21"/>
                      <w:szCs w:val="21"/>
                      <w:highlight w:val="none"/>
                      <w:lang w:val="en-US" w:eastAsia="zh-CN"/>
                    </w:rPr>
                    <w:t>厂区</w:t>
                  </w:r>
                  <w:r>
                    <w:rPr>
                      <w:rFonts w:hint="eastAsia" w:cs="Times New Roman"/>
                      <w:color w:val="auto"/>
                      <w:sz w:val="21"/>
                      <w:szCs w:val="21"/>
                      <w:highlight w:val="none"/>
                      <w:lang w:val="en-US" w:eastAsia="zh-CN"/>
                    </w:rPr>
                    <w:t>北侧</w:t>
                  </w:r>
                  <w:r>
                    <w:rPr>
                      <w:rFonts w:hint="default" w:ascii="Times New Roman" w:hAnsi="Times New Roman" w:cs="Times New Roman"/>
                      <w:color w:val="auto"/>
                      <w:kern w:val="0"/>
                      <w:sz w:val="21"/>
                      <w:szCs w:val="21"/>
                      <w:highlight w:val="none"/>
                    </w:rPr>
                    <w:t>生产车间内</w:t>
                  </w:r>
                  <w:r>
                    <w:rPr>
                      <w:rFonts w:hint="default" w:ascii="Times New Roman" w:hAnsi="Times New Roman" w:cs="Times New Roman"/>
                      <w:bCs/>
                      <w:color w:val="auto"/>
                      <w:sz w:val="21"/>
                      <w:szCs w:val="21"/>
                      <w:highlight w:val="none"/>
                    </w:rPr>
                    <w:t>，</w:t>
                  </w:r>
                  <w:r>
                    <w:rPr>
                      <w:rFonts w:hint="default" w:ascii="Times New Roman" w:hAnsi="Times New Roman" w:cs="Times New Roman"/>
                      <w:color w:val="auto"/>
                      <w:sz w:val="21"/>
                      <w:szCs w:val="21"/>
                      <w:highlight w:val="none"/>
                    </w:rPr>
                    <w:t>废</w:t>
                  </w:r>
                  <w:r>
                    <w:rPr>
                      <w:rFonts w:hint="eastAsia" w:cs="Times New Roman"/>
                      <w:color w:val="auto"/>
                      <w:sz w:val="21"/>
                      <w:szCs w:val="21"/>
                      <w:highlight w:val="none"/>
                      <w:lang w:eastAsia="zh-CN"/>
                    </w:rPr>
                    <w:t>机油</w:t>
                  </w:r>
                  <w:r>
                    <w:rPr>
                      <w:rFonts w:hint="default" w:ascii="Times New Roman" w:hAnsi="Times New Roman" w:cs="Times New Roman"/>
                      <w:color w:val="auto"/>
                      <w:sz w:val="21"/>
                      <w:szCs w:val="21"/>
                      <w:highlight w:val="none"/>
                    </w:rPr>
                    <w:t>、废漆料桶、废过滤棉、废活性炭、废</w:t>
                  </w:r>
                  <w:r>
                    <w:rPr>
                      <w:rFonts w:hint="eastAsia" w:cs="Times New Roman"/>
                      <w:color w:val="auto"/>
                      <w:sz w:val="21"/>
                      <w:szCs w:val="21"/>
                      <w:highlight w:val="none"/>
                      <w:lang w:eastAsia="zh-CN"/>
                    </w:rPr>
                    <w:t>机油</w:t>
                  </w:r>
                  <w:r>
                    <w:rPr>
                      <w:rFonts w:hint="default" w:ascii="Times New Roman" w:hAnsi="Times New Roman" w:cs="Times New Roman"/>
                      <w:color w:val="auto"/>
                      <w:sz w:val="21"/>
                      <w:szCs w:val="21"/>
                      <w:highlight w:val="none"/>
                    </w:rPr>
                    <w:t>桶等危险废物委托具有危险废物处理资质的单位集中处置。</w:t>
                  </w:r>
                </w:p>
              </w:tc>
              <w:tc>
                <w:tcPr>
                  <w:tcW w:w="453"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28" w:type="pct"/>
                  <w:vMerge w:val="continue"/>
                </w:tcPr>
                <w:p>
                  <w:pPr>
                    <w:spacing w:line="360" w:lineRule="exact"/>
                    <w:rPr>
                      <w:rFonts w:hint="default" w:ascii="Times New Roman" w:hAnsi="Times New Roman" w:cs="Times New Roman"/>
                      <w:b/>
                      <w:color w:val="auto"/>
                      <w:sz w:val="21"/>
                      <w:szCs w:val="21"/>
                      <w:highlight w:val="none"/>
                    </w:rPr>
                  </w:pPr>
                </w:p>
              </w:tc>
              <w:tc>
                <w:tcPr>
                  <w:tcW w:w="821"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c>
                <w:tcPr>
                  <w:tcW w:w="3197" w:type="pct"/>
                  <w:gridSpan w:val="2"/>
                  <w:vAlign w:val="center"/>
                </w:tcPr>
                <w:p>
                  <w:pPr>
                    <w:spacing w:line="360" w:lineRule="exact"/>
                    <w:jc w:val="both"/>
                    <w:rPr>
                      <w:rFonts w:hint="default" w:ascii="Times New Roman" w:hAnsi="Times New Roman" w:cs="Times New Roman"/>
                      <w:bCs/>
                      <w:color w:val="auto"/>
                      <w:sz w:val="21"/>
                      <w:szCs w:val="21"/>
                      <w:highlight w:val="none"/>
                    </w:rPr>
                  </w:pPr>
                  <w:r>
                    <w:rPr>
                      <w:rFonts w:hint="default" w:ascii="Times New Roman" w:hAnsi="Times New Roman" w:cs="Times New Roman"/>
                      <w:color w:val="auto"/>
                      <w:kern w:val="0"/>
                      <w:sz w:val="21"/>
                      <w:szCs w:val="21"/>
                      <w:highlight w:val="none"/>
                    </w:rPr>
                    <w:t>生活垃圾：统一收集后交由环卫部门处置</w:t>
                  </w:r>
                </w:p>
              </w:tc>
              <w:tc>
                <w:tcPr>
                  <w:tcW w:w="453" w:type="pct"/>
                  <w:vMerge w:val="continue"/>
                  <w:vAlign w:val="center"/>
                </w:tcPr>
                <w:p>
                  <w:pPr>
                    <w:spacing w:line="360" w:lineRule="exact"/>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28" w:type="pct"/>
                  <w:vMerge w:val="continue"/>
                </w:tcPr>
                <w:p>
                  <w:pPr>
                    <w:spacing w:line="360" w:lineRule="exact"/>
                    <w:rPr>
                      <w:rFonts w:hint="default" w:ascii="Times New Roman" w:hAnsi="Times New Roman" w:cs="Times New Roman"/>
                      <w:b/>
                      <w:color w:val="auto"/>
                      <w:sz w:val="21"/>
                      <w:szCs w:val="21"/>
                      <w:highlight w:val="none"/>
                    </w:rPr>
                  </w:pPr>
                </w:p>
              </w:tc>
              <w:tc>
                <w:tcPr>
                  <w:tcW w:w="821" w:type="pct"/>
                  <w:vAlign w:val="center"/>
                </w:tcPr>
                <w:p>
                  <w:pPr>
                    <w:overflowPunct w:val="0"/>
                    <w:adjustRightInd w:val="0"/>
                    <w:snapToGrid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防渗</w:t>
                  </w:r>
                </w:p>
              </w:tc>
              <w:tc>
                <w:tcPr>
                  <w:tcW w:w="3197" w:type="pct"/>
                  <w:gridSpan w:val="2"/>
                  <w:vAlign w:val="center"/>
                </w:tcPr>
                <w:p>
                  <w:pPr>
                    <w:tabs>
                      <w:tab w:val="left" w:pos="645"/>
                    </w:tabs>
                    <w:spacing w:line="36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分区防渗：</w:t>
                  </w:r>
                  <w:r>
                    <w:rPr>
                      <w:rFonts w:hint="eastAsia" w:cs="Times New Roman"/>
                      <w:bCs/>
                      <w:color w:val="auto"/>
                      <w:sz w:val="21"/>
                      <w:szCs w:val="21"/>
                      <w:highlight w:val="none"/>
                      <w:lang w:val="en-US" w:eastAsia="zh-CN"/>
                    </w:rPr>
                    <w:t>漆料间</w:t>
                  </w:r>
                  <w:r>
                    <w:rPr>
                      <w:rFonts w:hint="default" w:ascii="Times New Roman" w:hAnsi="Times New Roman" w:cs="Times New Roman"/>
                      <w:bCs/>
                      <w:color w:val="auto"/>
                      <w:sz w:val="21"/>
                      <w:szCs w:val="21"/>
                      <w:highlight w:val="none"/>
                    </w:rPr>
                    <w:t>、喷漆房、危废暂存间、事故池</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化粪池</w:t>
                  </w:r>
                  <w:r>
                    <w:rPr>
                      <w:rFonts w:hint="default" w:ascii="Times New Roman" w:hAnsi="Times New Roman" w:cs="Times New Roman"/>
                      <w:bCs/>
                      <w:color w:val="auto"/>
                      <w:sz w:val="21"/>
                      <w:szCs w:val="21"/>
                      <w:highlight w:val="none"/>
                    </w:rPr>
                    <w:t>重点防渗，渗透系数不大于1.0×10</w:t>
                  </w:r>
                  <w:r>
                    <w:rPr>
                      <w:rFonts w:hint="default" w:ascii="Times New Roman" w:hAnsi="Times New Roman" w:cs="Times New Roman"/>
                      <w:bCs/>
                      <w:color w:val="auto"/>
                      <w:sz w:val="21"/>
                      <w:szCs w:val="21"/>
                      <w:highlight w:val="none"/>
                      <w:vertAlign w:val="superscript"/>
                    </w:rPr>
                    <w:t>-10</w:t>
                  </w:r>
                  <w:r>
                    <w:rPr>
                      <w:rFonts w:hint="default" w:ascii="Times New Roman" w:hAnsi="Times New Roman" w:cs="Times New Roman"/>
                      <w:bCs/>
                      <w:color w:val="auto"/>
                      <w:sz w:val="21"/>
                      <w:szCs w:val="21"/>
                      <w:highlight w:val="none"/>
                    </w:rPr>
                    <w:t>cm/s；车间内其他区域一般防渗，渗透系数不大于1.0×10</w:t>
                  </w:r>
                  <w:r>
                    <w:rPr>
                      <w:rFonts w:hint="default" w:ascii="Times New Roman" w:hAnsi="Times New Roman" w:cs="Times New Roman"/>
                      <w:bCs/>
                      <w:color w:val="auto"/>
                      <w:sz w:val="21"/>
                      <w:szCs w:val="21"/>
                      <w:highlight w:val="none"/>
                      <w:vertAlign w:val="superscript"/>
                    </w:rPr>
                    <w:t>-7</w:t>
                  </w:r>
                  <w:r>
                    <w:rPr>
                      <w:rFonts w:hint="default" w:ascii="Times New Roman" w:hAnsi="Times New Roman" w:cs="Times New Roman"/>
                      <w:bCs/>
                      <w:color w:val="auto"/>
                      <w:sz w:val="21"/>
                      <w:szCs w:val="21"/>
                      <w:highlight w:val="none"/>
                    </w:rPr>
                    <w:t>cm/s</w:t>
                  </w:r>
                </w:p>
              </w:tc>
              <w:tc>
                <w:tcPr>
                  <w:tcW w:w="453" w:type="pct"/>
                  <w:vAlign w:val="center"/>
                </w:tcPr>
                <w:p>
                  <w:pPr>
                    <w:tabs>
                      <w:tab w:val="left" w:pos="645"/>
                    </w:tabs>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tcPr>
                <w:p>
                  <w:pPr>
                    <w:spacing w:line="360" w:lineRule="exact"/>
                    <w:rPr>
                      <w:rFonts w:hint="default" w:ascii="Times New Roman" w:hAnsi="Times New Roman" w:cs="Times New Roman"/>
                      <w:b/>
                      <w:color w:val="auto"/>
                      <w:sz w:val="21"/>
                      <w:szCs w:val="21"/>
                      <w:highlight w:val="none"/>
                    </w:rPr>
                  </w:pPr>
                </w:p>
              </w:tc>
              <w:tc>
                <w:tcPr>
                  <w:tcW w:w="821" w:type="pct"/>
                  <w:vAlign w:val="center"/>
                </w:tcPr>
                <w:p>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环境风险</w:t>
                  </w:r>
                </w:p>
              </w:tc>
              <w:tc>
                <w:tcPr>
                  <w:tcW w:w="3197" w:type="pct"/>
                  <w:gridSpan w:val="2"/>
                  <w:vAlign w:val="center"/>
                </w:tcPr>
                <w:p>
                  <w:pPr>
                    <w:pStyle w:val="57"/>
                    <w:spacing w:before="31" w:after="31"/>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配备应急物资、开展应急培训、应急演练，设置有效容积不小于</w:t>
                  </w:r>
                  <w:r>
                    <w:rPr>
                      <w:rFonts w:hint="eastAsia" w:ascii="Times New Roman" w:hAnsi="Times New Roman" w:cs="Times New Roman"/>
                      <w:color w:val="auto"/>
                      <w:sz w:val="21"/>
                      <w:szCs w:val="21"/>
                      <w:highlight w:val="none"/>
                      <w:lang w:val="en-US" w:eastAsia="zh-CN"/>
                    </w:rPr>
                    <w:t>60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的应急事故池，本项目自建应急事故池（</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0m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453" w:type="pct"/>
                  <w:vAlign w:val="center"/>
                </w:tcPr>
                <w:p>
                  <w:pPr>
                    <w:spacing w:line="40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新建</w:t>
                  </w:r>
                </w:p>
              </w:tc>
            </w:tr>
          </w:tbl>
          <w:p>
            <w:pPr>
              <w:overflowPunct w:val="0"/>
              <w:spacing w:line="360" w:lineRule="auto"/>
              <w:ind w:firstLine="482" w:firstLineChars="200"/>
              <w:rPr>
                <w:rFonts w:hAnsi="宋体" w:cs="宋体"/>
                <w:b/>
                <w:bCs/>
                <w:color w:val="auto"/>
                <w:sz w:val="24"/>
                <w:highlight w:val="none"/>
                <w:lang w:bidi="en-US"/>
              </w:rPr>
            </w:pPr>
            <w:r>
              <w:rPr>
                <w:rFonts w:hint="eastAsia"/>
                <w:b/>
                <w:bCs/>
                <w:color w:val="auto"/>
                <w:sz w:val="24"/>
                <w:highlight w:val="none"/>
              </w:rPr>
              <w:t>2、产品方案</w:t>
            </w:r>
          </w:p>
          <w:p>
            <w:pPr>
              <w:adjustRightInd w:val="0"/>
              <w:snapToGrid w:val="0"/>
              <w:ind w:left="2730"/>
              <w:rPr>
                <w:rFonts w:hAnsi="宋体" w:cs="宋体"/>
                <w:b/>
                <w:bCs/>
                <w:color w:val="auto"/>
                <w:szCs w:val="21"/>
                <w:highlight w:val="none"/>
                <w:lang w:bidi="en-US"/>
              </w:rPr>
            </w:pPr>
            <w:r>
              <w:rPr>
                <w:rFonts w:hint="eastAsia" w:hAnsi="宋体" w:cs="宋体"/>
                <w:b/>
                <w:bCs/>
                <w:color w:val="auto"/>
                <w:szCs w:val="21"/>
                <w:highlight w:val="none"/>
                <w:lang w:bidi="en-US"/>
              </w:rPr>
              <w:t>表2-2   项目产品方案一览表</w:t>
            </w:r>
          </w:p>
          <w:tbl>
            <w:tblPr>
              <w:tblStyle w:val="34"/>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852"/>
              <w:gridCol w:w="217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76" w:type="dxa"/>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产品名称</w:t>
                  </w:r>
                </w:p>
              </w:tc>
              <w:tc>
                <w:tcPr>
                  <w:tcW w:w="2852" w:type="dxa"/>
                  <w:vAlign w:val="center"/>
                </w:tcPr>
                <w:p>
                  <w:pP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型号/规格</w:t>
                  </w:r>
                </w:p>
              </w:tc>
              <w:tc>
                <w:tcPr>
                  <w:tcW w:w="2174" w:type="dxa"/>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建设规模</w:t>
                  </w:r>
                </w:p>
              </w:tc>
              <w:tc>
                <w:tcPr>
                  <w:tcW w:w="1496" w:type="dxa"/>
                  <w:vAlign w:val="center"/>
                </w:tcPr>
                <w:p>
                  <w:pPr>
                    <w:jc w:val="center"/>
                    <w:rPr>
                      <w:rFonts w:hint="eastAsia" w:ascii="Times New Roman" w:hAnsi="Times New Roman" w:eastAsia="宋体"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浓缩机</w:t>
                  </w:r>
                </w:p>
              </w:tc>
              <w:tc>
                <w:tcPr>
                  <w:tcW w:w="2852" w:type="dxa"/>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GZN</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NJG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NT、NJ、NZ</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NXZ</w:t>
                  </w:r>
                  <w:r>
                    <w:rPr>
                      <w:rFonts w:hint="default" w:ascii="Times New Roman" w:hAnsi="Times New Roman" w:eastAsia="宋体" w:cs="Times New Roman"/>
                      <w:color w:val="auto"/>
                      <w:sz w:val="21"/>
                      <w:szCs w:val="21"/>
                      <w:highlight w:val="none"/>
                      <w:lang w:eastAsia="zh-CN"/>
                    </w:rPr>
                    <w:t>；</w:t>
                  </w:r>
                </w:p>
              </w:tc>
              <w:tc>
                <w:tcPr>
                  <w:tcW w:w="2174" w:type="dxa"/>
                  <w:vMerge w:val="restart"/>
                  <w:vAlign w:val="center"/>
                </w:tcPr>
                <w:p>
                  <w:pPr>
                    <w:jc w:val="center"/>
                    <w:rPr>
                      <w:rFonts w:hint="default" w:ascii="Times New Roman" w:hAnsi="Times New Roman" w:eastAsia="宋体" w:cs="Times New Roman"/>
                      <w:color w:val="auto"/>
                      <w:sz w:val="21"/>
                      <w:szCs w:val="21"/>
                      <w:highlight w:val="none"/>
                    </w:rPr>
                  </w:pPr>
                  <w:r>
                    <w:rPr>
                      <w:rFonts w:hint="eastAsia" w:cs="Times New Roman"/>
                      <w:bCs/>
                      <w:color w:val="auto"/>
                      <w:sz w:val="21"/>
                      <w:szCs w:val="21"/>
                      <w:highlight w:val="none"/>
                      <w:lang w:val="en-US" w:eastAsia="zh-CN"/>
                    </w:rPr>
                    <w:t>1500</w:t>
                  </w:r>
                  <w:r>
                    <w:rPr>
                      <w:rFonts w:hint="default" w:ascii="Times New Roman" w:hAnsi="Times New Roman" w:eastAsia="宋体" w:cs="Times New Roman"/>
                      <w:bCs/>
                      <w:color w:val="auto"/>
                      <w:sz w:val="21"/>
                      <w:szCs w:val="21"/>
                      <w:highlight w:val="none"/>
                    </w:rPr>
                    <w:t>套/年</w:t>
                  </w:r>
                </w:p>
              </w:tc>
              <w:tc>
                <w:tcPr>
                  <w:tcW w:w="1496" w:type="dxa"/>
                  <w:vMerge w:val="restart"/>
                  <w:vAlign w:val="center"/>
                </w:tcPr>
                <w:p>
                  <w:pPr>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非标定制产品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浮选机</w:t>
                  </w:r>
                </w:p>
              </w:tc>
              <w:tc>
                <w:tcPr>
                  <w:tcW w:w="2852" w:type="dxa"/>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BF、SF、CLF、KYF、XCF、XJM</w:t>
                  </w:r>
                  <w:r>
                    <w:rPr>
                      <w:rFonts w:hint="default" w:ascii="Times New Roman" w:hAnsi="Times New Roman" w:eastAsia="宋体" w:cs="Times New Roman"/>
                      <w:color w:val="auto"/>
                      <w:sz w:val="21"/>
                      <w:szCs w:val="21"/>
                      <w:highlight w:val="none"/>
                      <w:lang w:eastAsia="zh-CN"/>
                    </w:rPr>
                    <w:t>；</w:t>
                  </w:r>
                  <w:r>
                    <w:rPr>
                      <w:rFonts w:hint="default" w:ascii="宋体" w:hAnsi="宋体" w:eastAsia="宋体" w:cs="宋体"/>
                      <w:color w:val="auto"/>
                      <w:sz w:val="21"/>
                      <w:szCs w:val="21"/>
                      <w:highlight w:val="none"/>
                    </w:rPr>
                    <w:t>Φ</w:t>
                  </w:r>
                  <w:r>
                    <w:rPr>
                      <w:rFonts w:hint="default" w:ascii="Times New Roman" w:hAnsi="Times New Roman" w:eastAsia="宋体" w:cs="Times New Roman"/>
                      <w:color w:val="auto"/>
                      <w:sz w:val="21"/>
                      <w:szCs w:val="21"/>
                      <w:highlight w:val="none"/>
                    </w:rPr>
                    <w:t>1.2-</w:t>
                  </w:r>
                  <w:r>
                    <w:rPr>
                      <w:rFonts w:hint="default" w:ascii="宋体" w:hAnsi="宋体" w:eastAsia="宋体" w:cs="宋体"/>
                      <w:color w:val="auto"/>
                      <w:sz w:val="21"/>
                      <w:szCs w:val="21"/>
                      <w:highlight w:val="none"/>
                    </w:rPr>
                    <w:t>Φ</w:t>
                  </w:r>
                  <w:r>
                    <w:rPr>
                      <w:rFonts w:hint="default" w:ascii="Times New Roman" w:hAnsi="Times New Roman" w:eastAsia="宋体" w:cs="Times New Roman"/>
                      <w:color w:val="auto"/>
                      <w:sz w:val="21"/>
                      <w:szCs w:val="21"/>
                      <w:highlight w:val="none"/>
                    </w:rPr>
                    <w:t>50</w:t>
                  </w:r>
                </w:p>
              </w:tc>
              <w:tc>
                <w:tcPr>
                  <w:tcW w:w="2174" w:type="dxa"/>
                  <w:vMerge w:val="continue"/>
                  <w:vAlign w:val="center"/>
                </w:tcPr>
                <w:p>
                  <w:pPr>
                    <w:jc w:val="center"/>
                    <w:rPr>
                      <w:rFonts w:hint="default" w:ascii="Times New Roman" w:hAnsi="Times New Roman" w:eastAsia="宋体" w:cs="Times New Roman"/>
                      <w:color w:val="auto"/>
                      <w:sz w:val="21"/>
                      <w:szCs w:val="21"/>
                      <w:highlight w:val="none"/>
                    </w:rPr>
                  </w:pPr>
                </w:p>
              </w:tc>
              <w:tc>
                <w:tcPr>
                  <w:tcW w:w="1496" w:type="dxa"/>
                  <w:vMerge w:val="continue"/>
                  <w:vAlign w:val="center"/>
                </w:tcPr>
                <w:p>
                  <w:pPr>
                    <w:jc w:val="center"/>
                    <w:rPr>
                      <w:rFonts w:hint="default" w:ascii="Times New Roman" w:hAnsi="Times New Roman" w:eastAsia="宋体" w:cs="Times New Roman"/>
                      <w:color w:val="auto"/>
                      <w:sz w:val="21"/>
                      <w:szCs w:val="21"/>
                      <w:highlight w:val="none"/>
                    </w:rPr>
                  </w:pPr>
                </w:p>
              </w:tc>
            </w:tr>
          </w:tbl>
          <w:p>
            <w:pPr>
              <w:spacing w:line="360" w:lineRule="auto"/>
              <w:ind w:firstLine="482" w:firstLineChars="200"/>
              <w:jc w:val="left"/>
              <w:rPr>
                <w:rFonts w:hAnsi="宋体" w:cs="宋体"/>
                <w:b/>
                <w:bCs/>
                <w:color w:val="auto"/>
                <w:sz w:val="24"/>
                <w:highlight w:val="none"/>
                <w:lang w:bidi="en-US"/>
              </w:rPr>
            </w:pPr>
            <w:r>
              <w:rPr>
                <w:rFonts w:hint="eastAsia"/>
                <w:b/>
                <w:bCs/>
                <w:color w:val="auto"/>
                <w:sz w:val="24"/>
                <w:highlight w:val="none"/>
              </w:rPr>
              <w:t>3、</w:t>
            </w:r>
            <w:r>
              <w:rPr>
                <w:b/>
                <w:bCs/>
                <w:color w:val="auto"/>
                <w:sz w:val="24"/>
                <w:highlight w:val="none"/>
              </w:rPr>
              <w:t>主要</w:t>
            </w:r>
            <w:r>
              <w:rPr>
                <w:rFonts w:hint="eastAsia"/>
                <w:b/>
                <w:bCs/>
                <w:color w:val="auto"/>
                <w:sz w:val="24"/>
                <w:highlight w:val="none"/>
              </w:rPr>
              <w:t>原辅材料及</w:t>
            </w:r>
            <w:r>
              <w:rPr>
                <w:b/>
                <w:bCs/>
                <w:color w:val="auto"/>
                <w:sz w:val="24"/>
                <w:highlight w:val="none"/>
              </w:rPr>
              <w:t>能源消耗</w:t>
            </w:r>
          </w:p>
          <w:p>
            <w:pPr>
              <w:spacing w:line="360" w:lineRule="auto"/>
              <w:ind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涂料用量核算：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项目涂料用量参考《怎样确定保护性涂层涂料的使用量》（王贵连 戴玉新 辽宁省水利水电工程局 沈阳市 110179 湖南水利水电 2005年第三期）中推荐的计算公式：</w:t>
            </w:r>
          </w:p>
          <w:p>
            <w:pPr>
              <w:spacing w:line="36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position w:val="-24"/>
                <w:sz w:val="24"/>
                <w:szCs w:val="24"/>
                <w:highlight w:val="none"/>
                <w:lang w:eastAsia="zh-CN"/>
              </w:rPr>
              <w:object>
                <v:shape id="_x0000_i1025" o:spt="75" type="#_x0000_t75" style="height:31pt;width:67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G——涂料的消耗量，g；</w:t>
            </w:r>
          </w:p>
          <w:p>
            <w:pPr>
              <w:spacing w:line="360" w:lineRule="auto"/>
              <w:jc w:val="both"/>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 xml:space="preserve">          ρ——涂料的比重，g/cm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p>
          <w:p>
            <w:pPr>
              <w:spacing w:line="360" w:lineRule="auto"/>
              <w:jc w:val="both"/>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 xml:space="preserve">          F——</w:t>
            </w:r>
            <w:r>
              <w:rPr>
                <w:rFonts w:hint="eastAsia" w:ascii="Times New Roman" w:hAnsi="Times New Roman" w:eastAsia="宋体" w:cs="Times New Roman"/>
                <w:color w:val="auto"/>
                <w:sz w:val="24"/>
                <w:szCs w:val="24"/>
                <w:highlight w:val="none"/>
                <w:vertAlign w:val="baseline"/>
                <w:lang w:val="en-US" w:eastAsia="zh-CN"/>
              </w:rPr>
              <w:t>涂覆</w:t>
            </w:r>
            <w:r>
              <w:rPr>
                <w:rFonts w:hint="default" w:ascii="Times New Roman" w:hAnsi="Times New Roman" w:eastAsia="宋体" w:cs="Times New Roman"/>
                <w:color w:val="auto"/>
                <w:sz w:val="24"/>
                <w:szCs w:val="24"/>
                <w:highlight w:val="none"/>
                <w:vertAlign w:val="baseline"/>
                <w:lang w:val="en-US" w:eastAsia="zh-CN"/>
              </w:rPr>
              <w:t>的面积，m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w:t>
            </w:r>
          </w:p>
          <w:p>
            <w:pPr>
              <w:spacing w:line="360" w:lineRule="auto"/>
              <w:jc w:val="both"/>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 xml:space="preserve">          δ——漆膜的厚度，μm；</w:t>
            </w:r>
          </w:p>
          <w:p>
            <w:pPr>
              <w:spacing w:line="360" w:lineRule="auto"/>
              <w:jc w:val="both"/>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 xml:space="preserve">          b——涂料的固体份含量，%。</w:t>
            </w:r>
          </w:p>
          <w:p>
            <w:pPr>
              <w:spacing w:line="360" w:lineRule="auto"/>
              <w:ind w:firstLine="482" w:firstLineChars="200"/>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涂装面积核算：</w:t>
            </w:r>
          </w:p>
          <w:p>
            <w:pPr>
              <w:spacing w:line="36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根据建设单位提供的资料，项目年加工10000吨钢材，涂装面积F（m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）=10000吨*13.95m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/吨（平均）＝139500m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，其中50%使用油性漆（</w:t>
            </w:r>
            <w:r>
              <w:rPr>
                <w:rFonts w:hint="eastAsia" w:ascii="Times New Roman" w:hAnsi="Times New Roman" w:eastAsia="宋体" w:cs="Times New Roman"/>
                <w:color w:val="auto"/>
                <w:sz w:val="24"/>
                <w:szCs w:val="24"/>
                <w:highlight w:val="none"/>
                <w:lang w:val="en-US" w:eastAsia="zh-CN"/>
              </w:rPr>
              <w:t>第一层喷涂</w:t>
            </w:r>
            <w:r>
              <w:rPr>
                <w:rFonts w:hint="default" w:ascii="Times New Roman" w:hAnsi="Times New Roman" w:eastAsia="宋体" w:cs="Times New Roman"/>
                <w:color w:val="auto"/>
                <w:sz w:val="24"/>
                <w:szCs w:val="24"/>
                <w:highlight w:val="none"/>
                <w:lang w:val="en-US" w:eastAsia="zh-CN"/>
              </w:rPr>
              <w:t>醇酸防锈漆</w:t>
            </w:r>
            <w:r>
              <w:rPr>
                <w:rFonts w:hint="eastAsia" w:ascii="Times New Roman" w:hAnsi="Times New Roman" w:eastAsia="宋体" w:cs="Times New Roman"/>
                <w:color w:val="auto"/>
                <w:sz w:val="24"/>
                <w:szCs w:val="24"/>
                <w:highlight w:val="none"/>
                <w:lang w:val="en-US" w:eastAsia="zh-CN"/>
              </w:rPr>
              <w:t>，第二层喷涂</w:t>
            </w:r>
            <w:r>
              <w:rPr>
                <w:rFonts w:hint="default" w:ascii="Times New Roman" w:hAnsi="Times New Roman" w:eastAsia="宋体" w:cs="Times New Roman"/>
                <w:color w:val="auto"/>
                <w:sz w:val="24"/>
                <w:szCs w:val="24"/>
                <w:highlight w:val="none"/>
                <w:lang w:val="en-US" w:eastAsia="zh-CN"/>
              </w:rPr>
              <w:t>醇酸调和漆</w:t>
            </w:r>
            <w:r>
              <w:rPr>
                <w:rFonts w:hint="eastAsia" w:ascii="Times New Roman" w:hAnsi="Times New Roman" w:cs="Times New Roman"/>
                <w:color w:val="auto"/>
                <w:sz w:val="24"/>
                <w:szCs w:val="24"/>
                <w:highlight w:val="none"/>
                <w:lang w:val="en-US" w:eastAsia="zh-CN"/>
              </w:rPr>
              <w:t>）喷涂，50%使用水性漆（</w:t>
            </w:r>
            <w:r>
              <w:rPr>
                <w:rFonts w:hint="eastAsia" w:ascii="Times New Roman" w:hAnsi="Times New Roman" w:eastAsia="宋体" w:cs="Times New Roman"/>
                <w:color w:val="auto"/>
                <w:sz w:val="24"/>
                <w:szCs w:val="24"/>
                <w:highlight w:val="none"/>
                <w:lang w:val="en-US" w:eastAsia="zh-CN"/>
              </w:rPr>
              <w:t>第一层喷涂水性环氧富锌底漆，第二层喷涂水性醇酸面漆</w:t>
            </w:r>
            <w:r>
              <w:rPr>
                <w:rFonts w:hint="eastAsia" w:ascii="Times New Roman" w:hAnsi="Times New Roman" w:cs="Times New Roman"/>
                <w:color w:val="auto"/>
                <w:sz w:val="24"/>
                <w:szCs w:val="24"/>
                <w:highlight w:val="none"/>
                <w:lang w:val="en-US" w:eastAsia="zh-CN"/>
              </w:rPr>
              <w:t>）喷涂。</w:t>
            </w:r>
          </w:p>
          <w:p>
            <w:pPr>
              <w:spacing w:line="240" w:lineRule="auto"/>
              <w:jc w:val="center"/>
              <w:rPr>
                <w:rFonts w:hint="default" w:ascii="Times New Roman" w:hAnsi="Times New Roman" w:cs="Times New Roman"/>
                <w:color w:val="auto"/>
                <w:sz w:val="24"/>
                <w:szCs w:val="24"/>
                <w:highlight w:val="none"/>
                <w:lang w:val="en-US" w:eastAsia="zh-CN"/>
              </w:rPr>
            </w:pPr>
            <w:r>
              <w:rPr>
                <w:rFonts w:hint="eastAsia" w:hAnsi="宋体" w:cs="宋体"/>
                <w:b/>
                <w:bCs/>
                <w:color w:val="auto"/>
                <w:szCs w:val="21"/>
                <w:highlight w:val="none"/>
                <w:lang w:bidi="en-US"/>
              </w:rPr>
              <w:t>表2</w:t>
            </w:r>
            <w:r>
              <w:rPr>
                <w:rFonts w:hint="eastAsia" w:ascii="Times New Roman" w:hAnsi="宋体" w:eastAsia="宋体" w:cs="宋体"/>
                <w:b/>
                <w:bCs/>
                <w:color w:val="auto"/>
                <w:szCs w:val="21"/>
                <w:highlight w:val="none"/>
                <w:lang w:bidi="en-US"/>
              </w:rPr>
              <w:t>-3</w:t>
            </w:r>
            <w:r>
              <w:rPr>
                <w:rFonts w:hint="eastAsia" w:ascii="Times New Roman" w:hAnsi="宋体" w:eastAsia="宋体" w:cs="宋体"/>
                <w:b/>
                <w:bCs/>
                <w:color w:val="auto"/>
                <w:szCs w:val="21"/>
                <w:highlight w:val="none"/>
                <w:lang w:val="en-US" w:eastAsia="zh-CN" w:bidi="en-US"/>
              </w:rPr>
              <w:t xml:space="preserve"> </w:t>
            </w:r>
            <w:r>
              <w:rPr>
                <w:rFonts w:hint="default" w:ascii="Times New Roman" w:hAnsi="宋体" w:eastAsia="宋体" w:cs="宋体"/>
                <w:b/>
                <w:bCs/>
                <w:color w:val="auto"/>
                <w:szCs w:val="21"/>
                <w:highlight w:val="none"/>
                <w:lang w:val="en-US" w:eastAsia="zh-CN" w:bidi="en-US"/>
              </w:rPr>
              <w:t>涂料用量核算</w:t>
            </w:r>
            <w:r>
              <w:rPr>
                <w:rFonts w:hint="eastAsia" w:ascii="Times New Roman" w:hAnsi="宋体" w:eastAsia="宋体" w:cs="宋体"/>
                <w:b/>
                <w:bCs/>
                <w:color w:val="auto"/>
                <w:szCs w:val="21"/>
                <w:highlight w:val="none"/>
                <w:lang w:val="en-US" w:eastAsia="zh-CN" w:bidi="en-US"/>
              </w:rPr>
              <w:t>表</w:t>
            </w:r>
          </w:p>
          <w:tbl>
            <w:tblPr>
              <w:tblStyle w:val="34"/>
              <w:tblW w:w="799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4"/>
              <w:gridCol w:w="1207"/>
              <w:gridCol w:w="977"/>
              <w:gridCol w:w="940"/>
              <w:gridCol w:w="1165"/>
              <w:gridCol w:w="1107"/>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lang w:val="en-US" w:eastAsia="zh-CN"/>
                    </w:rPr>
                  </w:pPr>
                  <w:r>
                    <w:rPr>
                      <w:rStyle w:val="86"/>
                      <w:rFonts w:hint="default" w:ascii="Times New Roman" w:hAnsi="Times New Roman" w:eastAsia="宋体" w:cs="Times New Roman"/>
                      <w:b/>
                      <w:bCs/>
                      <w:color w:val="auto"/>
                      <w:sz w:val="21"/>
                      <w:szCs w:val="21"/>
                      <w:highlight w:val="none"/>
                      <w:lang w:val="en-US" w:eastAsia="zh-CN" w:bidi="ar"/>
                    </w:rPr>
                    <w:t>涂料</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ρ—</w:t>
                  </w:r>
                  <w:r>
                    <w:rPr>
                      <w:rStyle w:val="86"/>
                      <w:rFonts w:hint="default" w:ascii="Times New Roman" w:hAnsi="Times New Roman" w:eastAsia="宋体" w:cs="Times New Roman"/>
                      <w:b/>
                      <w:bCs/>
                      <w:color w:val="auto"/>
                      <w:sz w:val="21"/>
                      <w:szCs w:val="21"/>
                      <w:highlight w:val="none"/>
                      <w:lang w:val="en-US" w:eastAsia="zh-CN" w:bidi="ar"/>
                    </w:rPr>
                    <w:t>涂料的比重，</w:t>
                  </w:r>
                  <w:r>
                    <w:rPr>
                      <w:rStyle w:val="87"/>
                      <w:rFonts w:hint="default" w:ascii="Times New Roman" w:hAnsi="Times New Roman" w:eastAsia="宋体" w:cs="Times New Roman"/>
                      <w:b/>
                      <w:bCs/>
                      <w:color w:val="auto"/>
                      <w:sz w:val="21"/>
                      <w:szCs w:val="21"/>
                      <w:highlight w:val="none"/>
                      <w:lang w:val="en-US" w:eastAsia="zh-CN" w:bidi="ar"/>
                    </w:rPr>
                    <w:t>g/cm</w:t>
                  </w:r>
                  <w:r>
                    <w:rPr>
                      <w:rStyle w:val="87"/>
                      <w:rFonts w:hint="default" w:ascii="Times New Roman" w:hAnsi="Times New Roman" w:eastAsia="宋体" w:cs="Times New Roman"/>
                      <w:b/>
                      <w:bCs/>
                      <w:color w:val="auto"/>
                      <w:sz w:val="21"/>
                      <w:szCs w:val="21"/>
                      <w:highlight w:val="none"/>
                      <w:vertAlign w:val="superscript"/>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F—</w:t>
                  </w:r>
                  <w:r>
                    <w:rPr>
                      <w:rStyle w:val="86"/>
                      <w:rFonts w:hint="default" w:ascii="Times New Roman" w:hAnsi="Times New Roman" w:eastAsia="宋体" w:cs="Times New Roman"/>
                      <w:b/>
                      <w:bCs/>
                      <w:color w:val="auto"/>
                      <w:sz w:val="21"/>
                      <w:szCs w:val="21"/>
                      <w:highlight w:val="none"/>
                      <w:lang w:val="en-US" w:eastAsia="zh-CN" w:bidi="ar"/>
                    </w:rPr>
                    <w:t>涂覆的面积，</w:t>
                  </w:r>
                  <w:r>
                    <w:rPr>
                      <w:rStyle w:val="87"/>
                      <w:rFonts w:hint="default" w:ascii="Times New Roman" w:hAnsi="Times New Roman" w:eastAsia="宋体" w:cs="Times New Roman"/>
                      <w:b/>
                      <w:bCs/>
                      <w:color w:val="auto"/>
                      <w:sz w:val="21"/>
                      <w:szCs w:val="21"/>
                      <w:highlight w:val="none"/>
                      <w:lang w:val="en-US" w:eastAsia="zh-CN" w:bidi="ar"/>
                    </w:rPr>
                    <w:t>m</w:t>
                  </w:r>
                  <w:r>
                    <w:rPr>
                      <w:rStyle w:val="87"/>
                      <w:rFonts w:hint="default" w:ascii="Times New Roman" w:hAnsi="Times New Roman" w:eastAsia="宋体" w:cs="Times New Roman"/>
                      <w:b/>
                      <w:bCs/>
                      <w:color w:val="auto"/>
                      <w:sz w:val="21"/>
                      <w:szCs w:val="21"/>
                      <w:highlight w:val="none"/>
                      <w:vertAlign w:val="superscript"/>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δ—</w:t>
                  </w:r>
                  <w:r>
                    <w:rPr>
                      <w:rStyle w:val="86"/>
                      <w:rFonts w:hint="default" w:ascii="Times New Roman" w:hAnsi="Times New Roman" w:eastAsia="宋体" w:cs="Times New Roman"/>
                      <w:b/>
                      <w:bCs/>
                      <w:color w:val="auto"/>
                      <w:sz w:val="21"/>
                      <w:szCs w:val="21"/>
                      <w:highlight w:val="none"/>
                      <w:lang w:val="en-US" w:eastAsia="zh-CN" w:bidi="ar"/>
                    </w:rPr>
                    <w:t>漆膜的厚度，</w:t>
                  </w:r>
                  <w:r>
                    <w:rPr>
                      <w:rStyle w:val="87"/>
                      <w:rFonts w:hint="default" w:ascii="Times New Roman" w:hAnsi="Times New Roman" w:eastAsia="宋体" w:cs="Times New Roman"/>
                      <w:b/>
                      <w:bCs/>
                      <w:color w:val="auto"/>
                      <w:sz w:val="21"/>
                      <w:szCs w:val="21"/>
                      <w:highlight w:val="none"/>
                      <w:lang w:val="en-US" w:eastAsia="zh-CN" w:bidi="ar"/>
                    </w:rPr>
                    <w:t>μm</w:t>
                  </w:r>
                  <w:r>
                    <w:rPr>
                      <w:rStyle w:val="86"/>
                      <w:rFonts w:hint="default" w:ascii="Times New Roman" w:hAnsi="Times New Roman" w:eastAsia="宋体" w:cs="Times New Roman"/>
                      <w:b/>
                      <w:bCs/>
                      <w:color w:val="auto"/>
                      <w:sz w:val="21"/>
                      <w:szCs w:val="21"/>
                      <w:highlight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b—</w:t>
                  </w:r>
                  <w:r>
                    <w:rPr>
                      <w:rStyle w:val="86"/>
                      <w:rFonts w:hint="default" w:ascii="Times New Roman" w:hAnsi="Times New Roman" w:eastAsia="宋体" w:cs="Times New Roman"/>
                      <w:b/>
                      <w:bCs/>
                      <w:color w:val="auto"/>
                      <w:sz w:val="21"/>
                      <w:szCs w:val="21"/>
                      <w:highlight w:val="none"/>
                      <w:lang w:val="en-US" w:eastAsia="zh-CN" w:bidi="ar"/>
                    </w:rPr>
                    <w:t>涂料的固体份含量，</w:t>
                  </w:r>
                  <w:r>
                    <w:rPr>
                      <w:rStyle w:val="87"/>
                      <w:rFonts w:hint="default" w:ascii="Times New Roman" w:hAnsi="Times New Roman" w:eastAsia="宋体" w:cs="Times New Roman"/>
                      <w:b/>
                      <w:bCs/>
                      <w:color w:val="auto"/>
                      <w:sz w:val="21"/>
                      <w:szCs w:val="21"/>
                      <w:highlight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G—</w:t>
                  </w:r>
                  <w:r>
                    <w:rPr>
                      <w:rStyle w:val="86"/>
                      <w:rFonts w:hint="default" w:ascii="Times New Roman" w:hAnsi="Times New Roman" w:eastAsia="宋体" w:cs="Times New Roman"/>
                      <w:b/>
                      <w:bCs/>
                      <w:color w:val="auto"/>
                      <w:sz w:val="21"/>
                      <w:szCs w:val="21"/>
                      <w:highlight w:val="none"/>
                      <w:lang w:val="en-US" w:eastAsia="zh-CN" w:bidi="ar"/>
                    </w:rPr>
                    <w:t>涂料的消耗量，</w:t>
                  </w:r>
                  <w:r>
                    <w:rPr>
                      <w:rStyle w:val="87"/>
                      <w:rFonts w:hint="default" w:ascii="Times New Roman" w:hAnsi="Times New Roman" w:eastAsia="宋体" w:cs="Times New Roman"/>
                      <w:b/>
                      <w:bCs/>
                      <w:color w:val="auto"/>
                      <w:sz w:val="21"/>
                      <w:szCs w:val="21"/>
                      <w:highlight w:val="none"/>
                      <w:lang w:val="en-US" w:eastAsia="zh-CN" w:bidi="ar"/>
                    </w:rPr>
                    <w:t>g</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G—</w:t>
                  </w:r>
                  <w:r>
                    <w:rPr>
                      <w:rStyle w:val="86"/>
                      <w:rFonts w:hint="default" w:ascii="Times New Roman" w:hAnsi="Times New Roman" w:eastAsia="宋体" w:cs="Times New Roman"/>
                      <w:b/>
                      <w:bCs/>
                      <w:color w:val="auto"/>
                      <w:sz w:val="21"/>
                      <w:szCs w:val="21"/>
                      <w:highlight w:val="none"/>
                      <w:lang w:val="en-US" w:eastAsia="zh-CN" w:bidi="ar"/>
                    </w:rPr>
                    <w:t>涂料的消耗量，</w:t>
                  </w:r>
                  <w:r>
                    <w:rPr>
                      <w:rStyle w:val="87"/>
                      <w:rFonts w:hint="default" w:ascii="Times New Roman" w:hAnsi="Times New Roman" w:eastAsia="宋体" w:cs="Times New Roman"/>
                      <w:b/>
                      <w:bCs/>
                      <w:color w:val="auto"/>
                      <w:sz w:val="21"/>
                      <w:szCs w:val="21"/>
                      <w:highlight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Style w:val="86"/>
                      <w:rFonts w:hint="default" w:ascii="Times New Roman" w:hAnsi="Times New Roman" w:eastAsia="宋体" w:cs="Times New Roman"/>
                      <w:color w:val="auto"/>
                      <w:sz w:val="21"/>
                      <w:szCs w:val="21"/>
                      <w:highlight w:val="none"/>
                      <w:lang w:val="en-US" w:eastAsia="zh-CN" w:bidi="ar"/>
                    </w:rPr>
                    <w:t>水性环氧富锌底漆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69750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10881000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Style w:val="88"/>
                      <w:rFonts w:hint="default" w:ascii="Times New Roman" w:hAnsi="Times New Roman" w:eastAsia="宋体" w:cs="Times New Roman"/>
                      <w:color w:val="auto"/>
                      <w:sz w:val="21"/>
                      <w:szCs w:val="21"/>
                      <w:highlight w:val="none"/>
                      <w:lang w:val="en-US" w:eastAsia="zh-CN" w:bidi="ar"/>
                    </w:rPr>
                    <w:t>水性醇酸面漆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69750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8370000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Style w:val="89"/>
                      <w:rFonts w:hint="default" w:ascii="Times New Roman" w:hAnsi="Times New Roman" w:eastAsia="宋体" w:cs="Times New Roman"/>
                      <w:color w:val="auto"/>
                      <w:sz w:val="21"/>
                      <w:szCs w:val="21"/>
                      <w:highlight w:val="none"/>
                      <w:lang w:val="en-US" w:eastAsia="zh-CN" w:bidi="ar"/>
                    </w:rPr>
                    <w:t>醇酸防锈漆</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69750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2391428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Style w:val="89"/>
                      <w:rFonts w:hint="default" w:ascii="Times New Roman" w:hAnsi="Times New Roman" w:eastAsia="宋体" w:cs="Times New Roman"/>
                      <w:color w:val="auto"/>
                      <w:sz w:val="21"/>
                      <w:szCs w:val="21"/>
                      <w:highlight w:val="none"/>
                      <w:lang w:val="en-US" w:eastAsia="zh-CN" w:bidi="ar"/>
                    </w:rPr>
                    <w:t>醇酸调和漆</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69750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63.23%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2647477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2.647</w:t>
                  </w:r>
                </w:p>
              </w:tc>
            </w:tr>
          </w:tbl>
          <w:p>
            <w:pPr>
              <w:adjustRightInd w:val="0"/>
              <w:snapToGrid w:val="0"/>
              <w:ind w:firstLine="420" w:firstLineChars="200"/>
              <w:jc w:val="left"/>
              <w:rPr>
                <w:rFonts w:hint="default" w:ascii="Times New Roman" w:hAnsi="Times New Roman" w:eastAsia="宋体" w:cs="Times New Roman"/>
                <w:b/>
                <w:bCs/>
                <w:color w:val="auto"/>
                <w:sz w:val="21"/>
                <w:szCs w:val="21"/>
                <w:highlight w:val="none"/>
                <w:lang w:val="en-US" w:bidi="en-US"/>
              </w:rPr>
            </w:pPr>
            <w:r>
              <w:rPr>
                <w:rFonts w:hint="default" w:ascii="Times New Roman" w:hAnsi="Times New Roman" w:eastAsia="宋体" w:cs="Times New Roman"/>
                <w:color w:val="auto"/>
                <w:sz w:val="21"/>
                <w:szCs w:val="21"/>
                <w:highlight w:val="none"/>
                <w:lang w:val="en-US" w:eastAsia="zh-CN"/>
              </w:rPr>
              <w:t>油性漆施工配比：漆：稀释剂=100：10（质量比），则稀释剂使用量约为0.5</w:t>
            </w:r>
            <w:r>
              <w:rPr>
                <w:rFonts w:hint="eastAsia" w:ascii="Times New Roman" w:hAnsi="Times New Roman" w:eastAsia="宋体" w:cs="Times New Roman"/>
                <w:color w:val="auto"/>
                <w:sz w:val="21"/>
                <w:szCs w:val="21"/>
                <w:highlight w:val="none"/>
                <w:lang w:val="en-US" w:eastAsia="zh-CN"/>
              </w:rPr>
              <w:t>04</w:t>
            </w:r>
            <w:r>
              <w:rPr>
                <w:rFonts w:hint="default" w:ascii="Times New Roman" w:hAnsi="Times New Roman" w:eastAsia="宋体" w:cs="Times New Roman"/>
                <w:color w:val="auto"/>
                <w:sz w:val="21"/>
                <w:szCs w:val="21"/>
                <w:highlight w:val="none"/>
                <w:lang w:val="en-US" w:eastAsia="zh-CN"/>
              </w:rPr>
              <w:t>t/a。</w:t>
            </w:r>
          </w:p>
          <w:p>
            <w:pPr>
              <w:adjustRightInd w:val="0"/>
              <w:snapToGrid w:val="0"/>
              <w:ind w:left="2730"/>
              <w:rPr>
                <w:rFonts w:hint="eastAsia" w:hAnsi="宋体" w:cs="宋体"/>
                <w:b/>
                <w:bCs/>
                <w:color w:val="auto"/>
                <w:szCs w:val="21"/>
                <w:highlight w:val="none"/>
                <w:lang w:bidi="en-US"/>
              </w:rPr>
            </w:pPr>
          </w:p>
          <w:p>
            <w:pPr>
              <w:adjustRightInd w:val="0"/>
              <w:snapToGrid w:val="0"/>
              <w:ind w:left="2730"/>
              <w:rPr>
                <w:rFonts w:hAnsi="宋体" w:cs="宋体"/>
                <w:b/>
                <w:bCs/>
                <w:color w:val="auto"/>
                <w:szCs w:val="21"/>
                <w:highlight w:val="none"/>
                <w:lang w:bidi="en-US"/>
              </w:rPr>
            </w:pPr>
            <w:r>
              <w:rPr>
                <w:rFonts w:hint="eastAsia" w:hAnsi="宋体" w:cs="宋体"/>
                <w:b/>
                <w:bCs/>
                <w:color w:val="auto"/>
                <w:szCs w:val="21"/>
                <w:highlight w:val="none"/>
                <w:lang w:bidi="en-US"/>
              </w:rPr>
              <w:t>表2-3   项目主要原材料消耗一览表</w:t>
            </w:r>
          </w:p>
          <w:tbl>
            <w:tblPr>
              <w:tblStyle w:val="34"/>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63"/>
              <w:gridCol w:w="249"/>
              <w:gridCol w:w="717"/>
              <w:gridCol w:w="766"/>
              <w:gridCol w:w="1265"/>
              <w:gridCol w:w="101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序号</w:t>
                  </w:r>
                </w:p>
              </w:tc>
              <w:tc>
                <w:tcPr>
                  <w:tcW w:w="879" w:type="pct"/>
                  <w:gridSpan w:val="2"/>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原辅材料名称</w:t>
                  </w:r>
                </w:p>
              </w:tc>
              <w:tc>
                <w:tcPr>
                  <w:tcW w:w="446" w:type="pct"/>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单位名称</w:t>
                  </w:r>
                </w:p>
              </w:tc>
              <w:tc>
                <w:tcPr>
                  <w:tcW w:w="476" w:type="pct"/>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年使用量</w:t>
                  </w:r>
                </w:p>
              </w:tc>
              <w:tc>
                <w:tcPr>
                  <w:tcW w:w="787" w:type="pct"/>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储存方式及储存地点</w:t>
                  </w:r>
                </w:p>
              </w:tc>
              <w:tc>
                <w:tcPr>
                  <w:tcW w:w="630" w:type="pct"/>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厂内最大</w:t>
                  </w:r>
                </w:p>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储存量</w:t>
                  </w:r>
                </w:p>
              </w:tc>
              <w:tc>
                <w:tcPr>
                  <w:tcW w:w="1416" w:type="pct"/>
                  <w:vAlign w:val="center"/>
                </w:tcPr>
                <w:p>
                  <w:pPr>
                    <w:adjustRightInd w:val="0"/>
                    <w:snapToGrid w:val="0"/>
                    <w:spacing w:line="320" w:lineRule="exact"/>
                    <w:jc w:val="center"/>
                    <w:rPr>
                      <w:rFonts w:hint="default" w:ascii="Times New Roman" w:hAnsi="Times New Roman" w:cs="Times New Roman"/>
                      <w:b/>
                      <w:bCs/>
                      <w:color w:val="auto"/>
                      <w:spacing w:val="-6"/>
                      <w:sz w:val="21"/>
                      <w:szCs w:val="21"/>
                      <w:highlight w:val="none"/>
                    </w:rPr>
                  </w:pPr>
                  <w:r>
                    <w:rPr>
                      <w:rFonts w:hint="default" w:ascii="Times New Roman" w:hAnsi="Times New Roman" w:cs="Times New Roman"/>
                      <w:b/>
                      <w:bCs/>
                      <w:color w:val="auto"/>
                      <w:spacing w:val="-6"/>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1</w:t>
                  </w:r>
                </w:p>
              </w:tc>
              <w:tc>
                <w:tcPr>
                  <w:tcW w:w="879" w:type="pct"/>
                  <w:gridSpan w:val="2"/>
                  <w:vAlign w:val="center"/>
                </w:tcPr>
                <w:p>
                  <w:pPr>
                    <w:spacing w:line="240" w:lineRule="auto"/>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钢板</w:t>
                  </w:r>
                </w:p>
              </w:tc>
              <w:tc>
                <w:tcPr>
                  <w:tcW w:w="446" w:type="pct"/>
                  <w:vAlign w:val="center"/>
                </w:tcPr>
                <w:p>
                  <w:pPr>
                    <w:spacing w:line="240" w:lineRule="auto"/>
                    <w:jc w:val="center"/>
                    <w:rPr>
                      <w:rFonts w:hint="default"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吨</w:t>
                  </w:r>
                </w:p>
              </w:tc>
              <w:tc>
                <w:tcPr>
                  <w:tcW w:w="476" w:type="pct"/>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cs="Times New Roman"/>
                      <w:color w:val="auto"/>
                      <w:spacing w:val="-6"/>
                      <w:sz w:val="21"/>
                      <w:szCs w:val="21"/>
                      <w:highlight w:val="none"/>
                      <w:lang w:val="en-US" w:eastAsia="zh-CN"/>
                    </w:rPr>
                    <w:t>50</w:t>
                  </w:r>
                  <w:r>
                    <w:rPr>
                      <w:rFonts w:hint="default" w:ascii="Times New Roman" w:hAnsi="Times New Roman" w:cs="Times New Roman"/>
                      <w:color w:val="auto"/>
                      <w:spacing w:val="-6"/>
                      <w:sz w:val="21"/>
                      <w:szCs w:val="21"/>
                      <w:highlight w:val="none"/>
                    </w:rPr>
                    <w:t>00</w:t>
                  </w:r>
                </w:p>
              </w:tc>
              <w:tc>
                <w:tcPr>
                  <w:tcW w:w="787"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500</w:t>
                  </w:r>
                </w:p>
              </w:tc>
              <w:tc>
                <w:tcPr>
                  <w:tcW w:w="1416"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2</w:t>
                  </w:r>
                </w:p>
              </w:tc>
              <w:tc>
                <w:tcPr>
                  <w:tcW w:w="879" w:type="pct"/>
                  <w:gridSpan w:val="2"/>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钢管</w:t>
                  </w:r>
                </w:p>
              </w:tc>
              <w:tc>
                <w:tcPr>
                  <w:tcW w:w="446" w:type="pct"/>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吨</w:t>
                  </w:r>
                </w:p>
              </w:tc>
              <w:tc>
                <w:tcPr>
                  <w:tcW w:w="476" w:type="pct"/>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cs="Times New Roman"/>
                      <w:color w:val="auto"/>
                      <w:spacing w:val="-6"/>
                      <w:sz w:val="21"/>
                      <w:szCs w:val="21"/>
                      <w:highlight w:val="none"/>
                      <w:lang w:val="en-US" w:eastAsia="zh-CN"/>
                    </w:rPr>
                    <w:t>30</w:t>
                  </w:r>
                  <w:r>
                    <w:rPr>
                      <w:rFonts w:hint="default" w:ascii="Times New Roman" w:hAnsi="Times New Roman" w:cs="Times New Roman"/>
                      <w:color w:val="auto"/>
                      <w:spacing w:val="-6"/>
                      <w:sz w:val="21"/>
                      <w:szCs w:val="21"/>
                      <w:highlight w:val="none"/>
                    </w:rPr>
                    <w:t>00</w:t>
                  </w:r>
                </w:p>
              </w:tc>
              <w:tc>
                <w:tcPr>
                  <w:tcW w:w="787"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300</w:t>
                  </w:r>
                </w:p>
              </w:tc>
              <w:tc>
                <w:tcPr>
                  <w:tcW w:w="1416"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3</w:t>
                  </w:r>
                </w:p>
              </w:tc>
              <w:tc>
                <w:tcPr>
                  <w:tcW w:w="879" w:type="pct"/>
                  <w:gridSpan w:val="2"/>
                  <w:vAlign w:val="center"/>
                </w:tcPr>
                <w:p>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型钢</w:t>
                  </w:r>
                </w:p>
              </w:tc>
              <w:tc>
                <w:tcPr>
                  <w:tcW w:w="446" w:type="pct"/>
                  <w:vAlign w:val="center"/>
                </w:tcPr>
                <w:p>
                  <w:pPr>
                    <w:adjustRightInd w:val="0"/>
                    <w:snapToGrid w:val="0"/>
                    <w:spacing w:line="320" w:lineRule="exact"/>
                    <w:jc w:val="center"/>
                    <w:rPr>
                      <w:rFonts w:hint="default" w:ascii="宋体" w:hAnsi="宋体" w:eastAsia="宋体" w:cs="宋体"/>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吨</w:t>
                  </w:r>
                </w:p>
              </w:tc>
              <w:tc>
                <w:tcPr>
                  <w:tcW w:w="476" w:type="pct"/>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cs="Times New Roman"/>
                      <w:color w:val="auto"/>
                      <w:spacing w:val="-6"/>
                      <w:sz w:val="21"/>
                      <w:szCs w:val="21"/>
                      <w:highlight w:val="none"/>
                      <w:lang w:val="en-US" w:eastAsia="zh-CN"/>
                    </w:rPr>
                    <w:t>2000</w:t>
                  </w:r>
                </w:p>
              </w:tc>
              <w:tc>
                <w:tcPr>
                  <w:tcW w:w="787" w:type="pct"/>
                  <w:vAlign w:val="center"/>
                </w:tcPr>
                <w:p>
                  <w:pPr>
                    <w:adjustRightInd w:val="0"/>
                    <w:snapToGrid w:val="0"/>
                    <w:spacing w:line="320" w:lineRule="exact"/>
                    <w:ind w:right="-76" w:rightChars="-36"/>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cs="Times New Roman"/>
                      <w:color w:val="auto"/>
                      <w:spacing w:val="-6"/>
                      <w:sz w:val="21"/>
                      <w:szCs w:val="21"/>
                      <w:highlight w:val="none"/>
                      <w:lang w:val="en-US" w:eastAsia="zh-CN"/>
                    </w:rPr>
                    <w:t>200</w:t>
                  </w:r>
                </w:p>
              </w:tc>
              <w:tc>
                <w:tcPr>
                  <w:tcW w:w="1416"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4</w:t>
                  </w:r>
                </w:p>
              </w:tc>
              <w:tc>
                <w:tcPr>
                  <w:tcW w:w="879" w:type="pct"/>
                  <w:gridSpan w:val="2"/>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水性环氧富锌底漆</w:t>
                  </w:r>
                </w:p>
              </w:tc>
              <w:tc>
                <w:tcPr>
                  <w:tcW w:w="446" w:type="pct"/>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吨</w:t>
                  </w:r>
                </w:p>
              </w:tc>
              <w:tc>
                <w:tcPr>
                  <w:tcW w:w="84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10.881</w:t>
                  </w:r>
                </w:p>
              </w:tc>
              <w:tc>
                <w:tcPr>
                  <w:tcW w:w="787" w:type="pct"/>
                  <w:vAlign w:val="center"/>
                </w:tcPr>
                <w:p>
                  <w:pPr>
                    <w:adjustRightInd w:val="0"/>
                    <w:snapToGrid w:val="0"/>
                    <w:spacing w:line="320" w:lineRule="exact"/>
                    <w:ind w:right="-76" w:rightChars="-36"/>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漆料间</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cs="Times New Roman"/>
                      <w:color w:val="auto"/>
                      <w:spacing w:val="-6"/>
                      <w:sz w:val="21"/>
                      <w:szCs w:val="21"/>
                      <w:highlight w:val="none"/>
                      <w:lang w:val="en-US" w:eastAsia="zh-CN"/>
                    </w:rPr>
                    <w:t>1</w:t>
                  </w:r>
                </w:p>
              </w:tc>
              <w:tc>
                <w:tcPr>
                  <w:tcW w:w="1416" w:type="pct"/>
                  <w:vAlign w:val="center"/>
                </w:tcPr>
                <w:p>
                  <w:pPr>
                    <w:adjustRightInd w:val="0"/>
                    <w:snapToGrid w:val="0"/>
                    <w:spacing w:line="320" w:lineRule="exact"/>
                    <w:jc w:val="left"/>
                    <w:rPr>
                      <w:rFonts w:hint="default"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cs="Times New Roman"/>
                      <w:color w:val="auto"/>
                      <w:spacing w:val="-6"/>
                      <w:sz w:val="21"/>
                      <w:szCs w:val="21"/>
                      <w:highlight w:val="none"/>
                      <w:lang w:val="en-US" w:eastAsia="zh-CN"/>
                    </w:rPr>
                    <w:t>水性漆</w:t>
                  </w:r>
                  <w:r>
                    <w:rPr>
                      <w:rFonts w:hint="default" w:ascii="Times New Roman" w:hAnsi="Times New Roman" w:cs="Times New Roman"/>
                      <w:color w:val="auto"/>
                      <w:spacing w:val="-6"/>
                      <w:sz w:val="21"/>
                      <w:szCs w:val="21"/>
                      <w:highlight w:val="none"/>
                    </w:rPr>
                    <w:t>外购。挥发性有机化合物含量</w:t>
                  </w:r>
                  <w:r>
                    <w:rPr>
                      <w:rFonts w:hint="eastAsia" w:cs="Times New Roman"/>
                      <w:color w:val="auto"/>
                      <w:spacing w:val="-6"/>
                      <w:sz w:val="21"/>
                      <w:szCs w:val="21"/>
                      <w:highlight w:val="none"/>
                      <w:lang w:val="en-US" w:eastAsia="zh-CN"/>
                    </w:rPr>
                    <w:t>为0</w:t>
                  </w:r>
                  <w:r>
                    <w:rPr>
                      <w:rFonts w:hint="default" w:ascii="Times New Roman" w:hAnsi="Times New Roman" w:cs="Times New Roman"/>
                      <w:color w:val="auto"/>
                      <w:spacing w:val="-6"/>
                      <w:sz w:val="21"/>
                      <w:szCs w:val="21"/>
                      <w:highlight w:val="none"/>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5</w:t>
                  </w:r>
                </w:p>
              </w:tc>
              <w:tc>
                <w:tcPr>
                  <w:tcW w:w="879" w:type="pct"/>
                  <w:gridSpan w:val="2"/>
                  <w:vAlign w:val="center"/>
                </w:tcPr>
                <w:p>
                  <w:pPr>
                    <w:adjustRightInd w:val="0"/>
                    <w:snapToGrid w:val="0"/>
                    <w:spacing w:line="320" w:lineRule="exact"/>
                    <w:jc w:val="center"/>
                    <w:rPr>
                      <w:rFonts w:hint="eastAsia"/>
                      <w:color w:val="auto"/>
                      <w:sz w:val="21"/>
                      <w:szCs w:val="21"/>
                      <w:highlight w:val="none"/>
                    </w:rPr>
                  </w:pPr>
                  <w:r>
                    <w:rPr>
                      <w:rFonts w:hint="eastAsia"/>
                      <w:color w:val="auto"/>
                      <w:sz w:val="21"/>
                      <w:szCs w:val="21"/>
                      <w:highlight w:val="none"/>
                    </w:rPr>
                    <w:t>水性醇酸面漆</w:t>
                  </w:r>
                </w:p>
              </w:tc>
              <w:tc>
                <w:tcPr>
                  <w:tcW w:w="446" w:type="pct"/>
                  <w:vAlign w:val="center"/>
                </w:tcPr>
                <w:p>
                  <w:pPr>
                    <w:adjustRightInd w:val="0"/>
                    <w:snapToGrid w:val="0"/>
                    <w:spacing w:line="3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吨</w:t>
                  </w:r>
                </w:p>
              </w:tc>
              <w:tc>
                <w:tcPr>
                  <w:tcW w:w="841" w:type="dxa"/>
                  <w:vAlign w:val="center"/>
                </w:tcPr>
                <w:p>
                  <w:pPr>
                    <w:keepNext w:val="0"/>
                    <w:keepLines w:val="0"/>
                    <w:widowControl/>
                    <w:suppressLineNumbers w:val="0"/>
                    <w:jc w:val="center"/>
                    <w:textAlignment w:val="center"/>
                    <w:rPr>
                      <w:rFonts w:hint="eastAsia" w:ascii="Times New Roman" w:hAnsi="Times New Roman" w:cs="Times New Roman"/>
                      <w:color w:val="auto"/>
                      <w:spacing w:val="-6"/>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8.37</w:t>
                  </w:r>
                </w:p>
              </w:tc>
              <w:tc>
                <w:tcPr>
                  <w:tcW w:w="787" w:type="pct"/>
                  <w:vAlign w:val="center"/>
                </w:tcPr>
                <w:p>
                  <w:pPr>
                    <w:adjustRightInd w:val="0"/>
                    <w:snapToGrid w:val="0"/>
                    <w:spacing w:line="320" w:lineRule="exact"/>
                    <w:ind w:right="-76" w:rightChars="-36"/>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漆料间</w:t>
                  </w:r>
                </w:p>
              </w:tc>
              <w:tc>
                <w:tcPr>
                  <w:tcW w:w="630" w:type="pct"/>
                  <w:vAlign w:val="center"/>
                </w:tcPr>
                <w:p>
                  <w:pPr>
                    <w:adjustRightInd w:val="0"/>
                    <w:snapToGrid w:val="0"/>
                    <w:spacing w:line="320" w:lineRule="exact"/>
                    <w:jc w:val="center"/>
                    <w:rPr>
                      <w:rFonts w:hint="eastAsia"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1</w:t>
                  </w:r>
                </w:p>
              </w:tc>
              <w:tc>
                <w:tcPr>
                  <w:tcW w:w="1416" w:type="pct"/>
                  <w:vAlign w:val="center"/>
                </w:tcPr>
                <w:p>
                  <w:pPr>
                    <w:adjustRightInd w:val="0"/>
                    <w:snapToGrid w:val="0"/>
                    <w:spacing w:line="320" w:lineRule="exact"/>
                    <w:jc w:val="left"/>
                    <w:rPr>
                      <w:rFonts w:hint="eastAsia"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水性漆</w:t>
                  </w:r>
                  <w:r>
                    <w:rPr>
                      <w:rFonts w:hint="default" w:ascii="Times New Roman" w:hAnsi="Times New Roman" w:cs="Times New Roman"/>
                      <w:color w:val="auto"/>
                      <w:spacing w:val="-6"/>
                      <w:sz w:val="21"/>
                      <w:szCs w:val="21"/>
                      <w:highlight w:val="none"/>
                    </w:rPr>
                    <w:t>外购。挥发性有机化合物含量</w:t>
                  </w:r>
                  <w:r>
                    <w:rPr>
                      <w:rFonts w:hint="eastAsia" w:cs="Times New Roman"/>
                      <w:color w:val="auto"/>
                      <w:spacing w:val="-6"/>
                      <w:sz w:val="21"/>
                      <w:szCs w:val="21"/>
                      <w:highlight w:val="none"/>
                      <w:lang w:val="en-US" w:eastAsia="zh-CN"/>
                    </w:rPr>
                    <w:t>为60</w:t>
                  </w:r>
                  <w:r>
                    <w:rPr>
                      <w:rFonts w:hint="default" w:ascii="Times New Roman" w:hAnsi="Times New Roman" w:cs="Times New Roman"/>
                      <w:color w:val="auto"/>
                      <w:spacing w:val="-6"/>
                      <w:sz w:val="21"/>
                      <w:szCs w:val="21"/>
                      <w:highlight w:val="none"/>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6</w:t>
                  </w:r>
                </w:p>
              </w:tc>
              <w:tc>
                <w:tcPr>
                  <w:tcW w:w="879" w:type="pct"/>
                  <w:gridSpan w:val="2"/>
                  <w:vAlign w:val="center"/>
                </w:tcPr>
                <w:p>
                  <w:pPr>
                    <w:adjustRightInd w:val="0"/>
                    <w:snapToGrid w:val="0"/>
                    <w:spacing w:line="320" w:lineRule="exact"/>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en-US"/>
                    </w:rPr>
                    <w:t>醇酸防锈漆</w:t>
                  </w:r>
                </w:p>
              </w:tc>
              <w:tc>
                <w:tcPr>
                  <w:tcW w:w="446" w:type="pct"/>
                  <w:vAlign w:val="center"/>
                </w:tcPr>
                <w:p>
                  <w:pPr>
                    <w:adjustRightInd w:val="0"/>
                    <w:snapToGrid w:val="0"/>
                    <w:spacing w:line="3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吨</w:t>
                  </w:r>
                </w:p>
              </w:tc>
              <w:tc>
                <w:tcPr>
                  <w:tcW w:w="841" w:type="dxa"/>
                  <w:vAlign w:val="center"/>
                </w:tcPr>
                <w:p>
                  <w:pPr>
                    <w:keepNext w:val="0"/>
                    <w:keepLines w:val="0"/>
                    <w:widowControl/>
                    <w:suppressLineNumbers w:val="0"/>
                    <w:jc w:val="center"/>
                    <w:textAlignment w:val="center"/>
                    <w:rPr>
                      <w:rFonts w:hint="default" w:ascii="Times New Roman" w:hAnsi="Times New Roman" w:cs="Times New Roman"/>
                      <w:color w:val="auto"/>
                      <w:spacing w:val="-6"/>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2.391</w:t>
                  </w:r>
                </w:p>
              </w:tc>
              <w:tc>
                <w:tcPr>
                  <w:tcW w:w="787" w:type="pct"/>
                  <w:vAlign w:val="center"/>
                </w:tcPr>
                <w:p>
                  <w:pPr>
                    <w:adjustRightInd w:val="0"/>
                    <w:snapToGrid w:val="0"/>
                    <w:spacing w:line="320" w:lineRule="exact"/>
                    <w:ind w:right="-76" w:rightChars="-36"/>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漆料间</w:t>
                  </w:r>
                </w:p>
              </w:tc>
              <w:tc>
                <w:tcPr>
                  <w:tcW w:w="630" w:type="pct"/>
                  <w:vAlign w:val="center"/>
                </w:tcPr>
                <w:p>
                  <w:pPr>
                    <w:adjustRightInd w:val="0"/>
                    <w:snapToGrid w:val="0"/>
                    <w:spacing w:line="320" w:lineRule="exact"/>
                    <w:jc w:val="center"/>
                    <w:rPr>
                      <w:rFonts w:hint="default"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0.5</w:t>
                  </w:r>
                </w:p>
              </w:tc>
              <w:tc>
                <w:tcPr>
                  <w:tcW w:w="1416" w:type="pct"/>
                  <w:vAlign w:val="center"/>
                </w:tcPr>
                <w:p>
                  <w:pPr>
                    <w:adjustRightInd w:val="0"/>
                    <w:snapToGrid w:val="0"/>
                    <w:spacing w:line="320" w:lineRule="exact"/>
                    <w:jc w:val="left"/>
                    <w:rPr>
                      <w:rFonts w:hint="eastAsia"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rPr>
                    <w:t>外购</w:t>
                  </w:r>
                  <w:r>
                    <w:rPr>
                      <w:rFonts w:hint="eastAsia" w:ascii="Times New Roman" w:hAnsi="Times New Roman" w:cs="Times New Roman"/>
                      <w:color w:val="auto"/>
                      <w:spacing w:val="-6"/>
                      <w:sz w:val="21"/>
                      <w:szCs w:val="21"/>
                      <w:highlight w:val="none"/>
                      <w:lang w:eastAsia="zh-CN"/>
                    </w:rPr>
                    <w:t>，</w:t>
                  </w:r>
                  <w:r>
                    <w:rPr>
                      <w:rFonts w:hint="default" w:ascii="Times New Roman" w:hAnsi="Times New Roman" w:cs="Times New Roman"/>
                      <w:color w:val="auto"/>
                      <w:spacing w:val="-6"/>
                      <w:sz w:val="21"/>
                      <w:szCs w:val="21"/>
                      <w:highlight w:val="none"/>
                    </w:rPr>
                    <w:t>挥发性有机化合物含量</w:t>
                  </w:r>
                  <w:r>
                    <w:rPr>
                      <w:rFonts w:hint="eastAsia" w:cs="Times New Roman"/>
                      <w:color w:val="auto"/>
                      <w:spacing w:val="-6"/>
                      <w:sz w:val="21"/>
                      <w:szCs w:val="21"/>
                      <w:highlight w:val="none"/>
                      <w:lang w:val="en-US" w:eastAsia="zh-CN"/>
                    </w:rPr>
                    <w:t>约为390</w:t>
                  </w:r>
                  <w:r>
                    <w:rPr>
                      <w:rFonts w:hint="default" w:ascii="Times New Roman" w:hAnsi="Times New Roman" w:cs="Times New Roman"/>
                      <w:color w:val="auto"/>
                      <w:spacing w:val="-6"/>
                      <w:sz w:val="21"/>
                      <w:szCs w:val="21"/>
                      <w:highlight w:val="none"/>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7</w:t>
                  </w:r>
                </w:p>
              </w:tc>
              <w:tc>
                <w:tcPr>
                  <w:tcW w:w="879" w:type="pct"/>
                  <w:gridSpan w:val="2"/>
                  <w:vAlign w:val="center"/>
                </w:tcPr>
                <w:p>
                  <w:pPr>
                    <w:adjustRightInd w:val="0"/>
                    <w:snapToGrid w:val="0"/>
                    <w:spacing w:line="320" w:lineRule="exact"/>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en-US"/>
                    </w:rPr>
                    <w:t>醇酸调和漆</w:t>
                  </w:r>
                </w:p>
              </w:tc>
              <w:tc>
                <w:tcPr>
                  <w:tcW w:w="446" w:type="pct"/>
                  <w:vAlign w:val="center"/>
                </w:tcPr>
                <w:p>
                  <w:pPr>
                    <w:adjustRightInd w:val="0"/>
                    <w:snapToGrid w:val="0"/>
                    <w:spacing w:line="3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吨</w:t>
                  </w:r>
                </w:p>
              </w:tc>
              <w:tc>
                <w:tcPr>
                  <w:tcW w:w="841"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auto"/>
                      <w:spacing w:val="-6"/>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2.647</w:t>
                  </w:r>
                </w:p>
              </w:tc>
              <w:tc>
                <w:tcPr>
                  <w:tcW w:w="787" w:type="pct"/>
                  <w:tcBorders>
                    <w:bottom w:val="single" w:color="auto" w:sz="4" w:space="0"/>
                  </w:tcBorders>
                  <w:vAlign w:val="center"/>
                </w:tcPr>
                <w:p>
                  <w:pPr>
                    <w:adjustRightInd w:val="0"/>
                    <w:snapToGrid w:val="0"/>
                    <w:spacing w:line="320" w:lineRule="exact"/>
                    <w:ind w:right="-76" w:rightChars="-36"/>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漆料间</w:t>
                  </w:r>
                </w:p>
              </w:tc>
              <w:tc>
                <w:tcPr>
                  <w:tcW w:w="630" w:type="pct"/>
                  <w:tcBorders>
                    <w:bottom w:val="single" w:color="auto" w:sz="4" w:space="0"/>
                  </w:tcBorders>
                  <w:vAlign w:val="center"/>
                </w:tcPr>
                <w:p>
                  <w:pPr>
                    <w:adjustRightInd w:val="0"/>
                    <w:snapToGrid w:val="0"/>
                    <w:spacing w:line="320" w:lineRule="exact"/>
                    <w:jc w:val="center"/>
                    <w:rPr>
                      <w:rFonts w:hint="default"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0.5</w:t>
                  </w:r>
                </w:p>
              </w:tc>
              <w:tc>
                <w:tcPr>
                  <w:tcW w:w="1416" w:type="pct"/>
                  <w:vAlign w:val="center"/>
                </w:tcPr>
                <w:p>
                  <w:pPr>
                    <w:adjustRightInd w:val="0"/>
                    <w:snapToGrid w:val="0"/>
                    <w:spacing w:line="320" w:lineRule="exact"/>
                    <w:jc w:val="left"/>
                    <w:rPr>
                      <w:rFonts w:hint="eastAsia"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rPr>
                    <w:t>外购</w:t>
                  </w:r>
                  <w:r>
                    <w:rPr>
                      <w:rFonts w:hint="eastAsia" w:ascii="Times New Roman" w:hAnsi="Times New Roman" w:cs="Times New Roman"/>
                      <w:color w:val="auto"/>
                      <w:spacing w:val="-6"/>
                      <w:sz w:val="21"/>
                      <w:szCs w:val="21"/>
                      <w:highlight w:val="none"/>
                      <w:lang w:eastAsia="zh-CN"/>
                    </w:rPr>
                    <w:t>，</w:t>
                  </w:r>
                  <w:r>
                    <w:rPr>
                      <w:rFonts w:hint="default" w:ascii="Times New Roman" w:hAnsi="Times New Roman" w:cs="Times New Roman"/>
                      <w:color w:val="auto"/>
                      <w:spacing w:val="-6"/>
                      <w:sz w:val="21"/>
                      <w:szCs w:val="21"/>
                      <w:highlight w:val="none"/>
                    </w:rPr>
                    <w:t>挥发性有机化合物含量</w:t>
                  </w:r>
                  <w:r>
                    <w:rPr>
                      <w:rFonts w:hint="eastAsia" w:cs="Times New Roman"/>
                      <w:color w:val="auto"/>
                      <w:spacing w:val="-6"/>
                      <w:sz w:val="21"/>
                      <w:szCs w:val="21"/>
                      <w:highlight w:val="none"/>
                      <w:lang w:val="en-US" w:eastAsia="zh-CN"/>
                    </w:rPr>
                    <w:t>为478</w:t>
                  </w:r>
                  <w:r>
                    <w:rPr>
                      <w:rFonts w:hint="default" w:ascii="Times New Roman" w:hAnsi="Times New Roman" w:cs="Times New Roman"/>
                      <w:color w:val="auto"/>
                      <w:spacing w:val="-6"/>
                      <w:sz w:val="21"/>
                      <w:szCs w:val="21"/>
                      <w:highlight w:val="none"/>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8</w:t>
                  </w:r>
                </w:p>
              </w:tc>
              <w:tc>
                <w:tcPr>
                  <w:tcW w:w="879" w:type="pct"/>
                  <w:gridSpan w:val="2"/>
                  <w:vAlign w:val="center"/>
                </w:tcPr>
                <w:p>
                  <w:pPr>
                    <w:adjustRightInd w:val="0"/>
                    <w:snapToGrid w:val="0"/>
                    <w:spacing w:line="32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en-US"/>
                    </w:rPr>
                    <w:t>醇酸</w:t>
                  </w:r>
                  <w:r>
                    <w:rPr>
                      <w:rFonts w:hint="eastAsia" w:ascii="Times New Roman" w:hAnsi="Times New Roman" w:eastAsia="宋体" w:cs="Times New Roman"/>
                      <w:color w:val="auto"/>
                      <w:sz w:val="21"/>
                      <w:szCs w:val="21"/>
                      <w:highlight w:val="none"/>
                      <w:lang w:val="en-US" w:eastAsia="zh-CN"/>
                    </w:rPr>
                    <w:t>稀释剂</w:t>
                  </w:r>
                </w:p>
              </w:tc>
              <w:tc>
                <w:tcPr>
                  <w:tcW w:w="446" w:type="pct"/>
                  <w:tcBorders>
                    <w:right w:val="single" w:color="auto" w:sz="4" w:space="0"/>
                  </w:tcBorders>
                  <w:vAlign w:val="center"/>
                </w:tcPr>
                <w:p>
                  <w:pPr>
                    <w:adjustRightInd w:val="0"/>
                    <w:snapToGrid w:val="0"/>
                    <w:spacing w:line="32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吨</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rPr>
                    <w:t>0.504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right="-76" w:rightChars="-36"/>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漆料间</w:t>
                  </w:r>
                </w:p>
              </w:tc>
              <w:tc>
                <w:tcPr>
                  <w:tcW w:w="630" w:type="pct"/>
                  <w:tcBorders>
                    <w:top w:val="single" w:color="auto" w:sz="4" w:space="0"/>
                    <w:left w:val="single" w:color="auto" w:sz="4" w:space="0"/>
                    <w:bottom w:val="single" w:color="auto" w:sz="4" w:space="0"/>
                  </w:tcBorders>
                  <w:vAlign w:val="center"/>
                </w:tcPr>
                <w:p>
                  <w:pPr>
                    <w:adjustRightInd w:val="0"/>
                    <w:snapToGrid w:val="0"/>
                    <w:spacing w:line="320" w:lineRule="exact"/>
                    <w:jc w:val="center"/>
                    <w:rPr>
                      <w:rFonts w:hint="default"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0.1</w:t>
                  </w:r>
                </w:p>
              </w:tc>
              <w:tc>
                <w:tcPr>
                  <w:tcW w:w="1416" w:type="pct"/>
                  <w:vAlign w:val="center"/>
                </w:tcPr>
                <w:p>
                  <w:pPr>
                    <w:adjustRightInd w:val="0"/>
                    <w:snapToGrid w:val="0"/>
                    <w:spacing w:line="320" w:lineRule="exact"/>
                    <w:jc w:val="left"/>
                    <w:rPr>
                      <w:rFonts w:hint="eastAsia"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9</w:t>
                  </w:r>
                </w:p>
              </w:tc>
              <w:tc>
                <w:tcPr>
                  <w:tcW w:w="879" w:type="pct"/>
                  <w:gridSpan w:val="2"/>
                  <w:vAlign w:val="center"/>
                </w:tcPr>
                <w:p>
                  <w:pPr>
                    <w:adjustRightInd w:val="0"/>
                    <w:snapToGrid w:val="0"/>
                    <w:spacing w:line="3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焊条</w:t>
                  </w:r>
                </w:p>
              </w:tc>
              <w:tc>
                <w:tcPr>
                  <w:tcW w:w="446" w:type="pct"/>
                  <w:tcBorders>
                    <w:right w:val="single" w:color="auto" w:sz="4" w:space="0"/>
                  </w:tcBorders>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吨</w:t>
                  </w:r>
                </w:p>
              </w:tc>
              <w:tc>
                <w:tcPr>
                  <w:tcW w:w="476" w:type="pct"/>
                  <w:tcBorders>
                    <w:top w:val="single" w:color="auto" w:sz="4" w:space="0"/>
                    <w:left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50</w:t>
                  </w:r>
                </w:p>
              </w:tc>
              <w:tc>
                <w:tcPr>
                  <w:tcW w:w="787" w:type="pc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tcBorders>
                    <w:top w:val="single" w:color="auto" w:sz="4" w:space="0"/>
                    <w:left w:val="single" w:color="auto" w:sz="4" w:space="0"/>
                  </w:tcBorders>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5</w:t>
                  </w:r>
                </w:p>
              </w:tc>
              <w:tc>
                <w:tcPr>
                  <w:tcW w:w="1416" w:type="pct"/>
                  <w:vAlign w:val="center"/>
                </w:tcPr>
                <w:p>
                  <w:pPr>
                    <w:adjustRightInd w:val="0"/>
                    <w:snapToGrid w:val="0"/>
                    <w:spacing w:line="320" w:lineRule="exact"/>
                    <w:jc w:val="left"/>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铸铁焊条、特殊用途焊条等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10</w:t>
                  </w:r>
                </w:p>
              </w:tc>
              <w:tc>
                <w:tcPr>
                  <w:tcW w:w="879" w:type="pct"/>
                  <w:gridSpan w:val="2"/>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焊丝</w:t>
                  </w:r>
                </w:p>
              </w:tc>
              <w:tc>
                <w:tcPr>
                  <w:tcW w:w="446" w:type="pct"/>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吨</w:t>
                  </w:r>
                </w:p>
              </w:tc>
              <w:tc>
                <w:tcPr>
                  <w:tcW w:w="476" w:type="pct"/>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30</w:t>
                  </w:r>
                </w:p>
              </w:tc>
              <w:tc>
                <w:tcPr>
                  <w:tcW w:w="787"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3</w:t>
                  </w:r>
                </w:p>
              </w:tc>
              <w:tc>
                <w:tcPr>
                  <w:tcW w:w="1416"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实芯焊丝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11</w:t>
                  </w:r>
                </w:p>
              </w:tc>
              <w:tc>
                <w:tcPr>
                  <w:tcW w:w="879" w:type="pct"/>
                  <w:gridSpan w:val="2"/>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氧气</w:t>
                  </w:r>
                </w:p>
              </w:tc>
              <w:tc>
                <w:tcPr>
                  <w:tcW w:w="446" w:type="pct"/>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瓶</w:t>
                  </w:r>
                </w:p>
              </w:tc>
              <w:tc>
                <w:tcPr>
                  <w:tcW w:w="476" w:type="pct"/>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3000</w:t>
                  </w:r>
                </w:p>
              </w:tc>
              <w:tc>
                <w:tcPr>
                  <w:tcW w:w="787"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180</w:t>
                  </w:r>
                </w:p>
              </w:tc>
              <w:tc>
                <w:tcPr>
                  <w:tcW w:w="1416"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63"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1</w:t>
                  </w:r>
                  <w:r>
                    <w:rPr>
                      <w:rFonts w:hint="eastAsia" w:ascii="Times New Roman" w:hAnsi="Times New Roman" w:cs="Times New Roman"/>
                      <w:color w:val="auto"/>
                      <w:spacing w:val="-6"/>
                      <w:sz w:val="21"/>
                      <w:szCs w:val="21"/>
                      <w:highlight w:val="none"/>
                      <w:lang w:val="en-US" w:eastAsia="zh-CN"/>
                    </w:rPr>
                    <w:t>2</w:t>
                  </w:r>
                </w:p>
              </w:tc>
              <w:tc>
                <w:tcPr>
                  <w:tcW w:w="879" w:type="pct"/>
                  <w:gridSpan w:val="2"/>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乙炔</w:t>
                  </w:r>
                </w:p>
              </w:tc>
              <w:tc>
                <w:tcPr>
                  <w:tcW w:w="446" w:type="pct"/>
                  <w:vAlign w:val="center"/>
                </w:tcPr>
                <w:p>
                  <w:pPr>
                    <w:adjustRightInd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瓶</w:t>
                  </w:r>
                </w:p>
              </w:tc>
              <w:tc>
                <w:tcPr>
                  <w:tcW w:w="476" w:type="pct"/>
                  <w:vAlign w:val="center"/>
                </w:tcPr>
                <w:p>
                  <w:pPr>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1000</w:t>
                  </w:r>
                </w:p>
              </w:tc>
              <w:tc>
                <w:tcPr>
                  <w:tcW w:w="787"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32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80</w:t>
                  </w:r>
                </w:p>
              </w:tc>
              <w:tc>
                <w:tcPr>
                  <w:tcW w:w="1416"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63" w:type="pct"/>
                  <w:vAlign w:val="center"/>
                </w:tcPr>
                <w:p>
                  <w:pPr>
                    <w:adjustRightInd w:val="0"/>
                    <w:snapToGrid w:val="0"/>
                    <w:spacing w:line="320" w:lineRule="exact"/>
                    <w:jc w:val="center"/>
                    <w:rPr>
                      <w:rFonts w:hint="eastAsia"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1</w:t>
                  </w:r>
                  <w:r>
                    <w:rPr>
                      <w:rFonts w:hint="eastAsia" w:ascii="Times New Roman" w:hAnsi="Times New Roman" w:cs="Times New Roman"/>
                      <w:color w:val="auto"/>
                      <w:spacing w:val="-6"/>
                      <w:sz w:val="21"/>
                      <w:szCs w:val="21"/>
                      <w:highlight w:val="none"/>
                      <w:lang w:val="en-US" w:eastAsia="zh-CN"/>
                    </w:rPr>
                    <w:t>3</w:t>
                  </w:r>
                </w:p>
              </w:tc>
              <w:tc>
                <w:tcPr>
                  <w:tcW w:w="879" w:type="pct"/>
                  <w:gridSpan w:val="2"/>
                  <w:vAlign w:val="center"/>
                </w:tcPr>
                <w:p>
                  <w:pPr>
                    <w:adjustRightInd w:val="0"/>
                    <w:snapToGrid w:val="0"/>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机油</w:t>
                  </w:r>
                </w:p>
              </w:tc>
              <w:tc>
                <w:tcPr>
                  <w:tcW w:w="446" w:type="pct"/>
                  <w:vAlign w:val="center"/>
                </w:tcPr>
                <w:p>
                  <w:pPr>
                    <w:adjustRightInd w:val="0"/>
                    <w:snapToGrid w:val="0"/>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吨</w:t>
                  </w:r>
                </w:p>
              </w:tc>
              <w:tc>
                <w:tcPr>
                  <w:tcW w:w="476" w:type="pct"/>
                  <w:vAlign w:val="center"/>
                </w:tcPr>
                <w:p>
                  <w:pPr>
                    <w:spacing w:line="400" w:lineRule="exact"/>
                    <w:jc w:val="center"/>
                    <w:textAlignment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0.15</w:t>
                  </w:r>
                </w:p>
              </w:tc>
              <w:tc>
                <w:tcPr>
                  <w:tcW w:w="787"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漆料间</w:t>
                  </w:r>
                </w:p>
              </w:tc>
              <w:tc>
                <w:tcPr>
                  <w:tcW w:w="630"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0.04</w:t>
                  </w:r>
                </w:p>
              </w:tc>
              <w:tc>
                <w:tcPr>
                  <w:tcW w:w="1416"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63" w:type="pct"/>
                  <w:vAlign w:val="center"/>
                </w:tcPr>
                <w:p>
                  <w:pPr>
                    <w:adjustRightInd w:val="0"/>
                    <w:snapToGrid w:val="0"/>
                    <w:spacing w:line="320" w:lineRule="exact"/>
                    <w:jc w:val="center"/>
                    <w:rPr>
                      <w:rFonts w:hint="eastAsia"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rPr>
                    <w:t>1</w:t>
                  </w:r>
                  <w:r>
                    <w:rPr>
                      <w:rFonts w:hint="eastAsia" w:ascii="Times New Roman" w:hAnsi="Times New Roman" w:cs="Times New Roman"/>
                      <w:color w:val="auto"/>
                      <w:spacing w:val="-6"/>
                      <w:sz w:val="21"/>
                      <w:szCs w:val="21"/>
                      <w:highlight w:val="none"/>
                      <w:lang w:val="en-US" w:eastAsia="zh-CN"/>
                    </w:rPr>
                    <w:t>4</w:t>
                  </w:r>
                </w:p>
              </w:tc>
              <w:tc>
                <w:tcPr>
                  <w:tcW w:w="879" w:type="pct"/>
                  <w:gridSpan w:val="2"/>
                  <w:vAlign w:val="center"/>
                </w:tcPr>
                <w:p>
                  <w:pPr>
                    <w:adjustRightInd w:val="0"/>
                    <w:snapToGrid w:val="0"/>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外购标准件</w:t>
                  </w:r>
                  <w:r>
                    <w:rPr>
                      <w:rFonts w:hint="eastAsia" w:cs="Times New Roman"/>
                      <w:color w:val="auto"/>
                      <w:sz w:val="21"/>
                      <w:szCs w:val="21"/>
                      <w:highlight w:val="none"/>
                      <w:lang w:val="en-US" w:eastAsia="zh-CN"/>
                    </w:rPr>
                    <w:t>*</w:t>
                  </w:r>
                </w:p>
              </w:tc>
              <w:tc>
                <w:tcPr>
                  <w:tcW w:w="446" w:type="pct"/>
                  <w:vAlign w:val="center"/>
                </w:tcPr>
                <w:p>
                  <w:pPr>
                    <w:adjustRightInd w:val="0"/>
                    <w:snapToGrid w:val="0"/>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套</w:t>
                  </w:r>
                </w:p>
              </w:tc>
              <w:tc>
                <w:tcPr>
                  <w:tcW w:w="476" w:type="pct"/>
                  <w:vAlign w:val="center"/>
                </w:tcPr>
                <w:p>
                  <w:pPr>
                    <w:spacing w:line="400" w:lineRule="exact"/>
                    <w:jc w:val="center"/>
                    <w:textAlignment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cs="Times New Roman"/>
                      <w:color w:val="auto"/>
                      <w:spacing w:val="-6"/>
                      <w:sz w:val="21"/>
                      <w:szCs w:val="21"/>
                      <w:highlight w:val="none"/>
                      <w:lang w:val="en-US" w:eastAsia="zh-CN"/>
                    </w:rPr>
                    <w:t>1500</w:t>
                  </w:r>
                </w:p>
              </w:tc>
              <w:tc>
                <w:tcPr>
                  <w:tcW w:w="787" w:type="pct"/>
                  <w:vAlign w:val="center"/>
                </w:tcPr>
                <w:p>
                  <w:pPr>
                    <w:adjustRightInd w:val="0"/>
                    <w:snapToGrid w:val="0"/>
                    <w:spacing w:line="400" w:lineRule="exac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rPr>
                    <w:t>原料库</w:t>
                  </w:r>
                </w:p>
              </w:tc>
              <w:tc>
                <w:tcPr>
                  <w:tcW w:w="630" w:type="pct"/>
                  <w:vAlign w:val="center"/>
                </w:tcPr>
                <w:p>
                  <w:pPr>
                    <w:adjustRightInd w:val="0"/>
                    <w:snapToGrid w:val="0"/>
                    <w:spacing w:line="400" w:lineRule="exact"/>
                    <w:jc w:val="center"/>
                    <w:rPr>
                      <w:rFonts w:hint="default" w:ascii="Times New Roman" w:hAnsi="Times New Roman" w:eastAsia="宋体" w:cs="Times New Roman"/>
                      <w:color w:val="auto"/>
                      <w:spacing w:val="-6"/>
                      <w:kern w:val="2"/>
                      <w:sz w:val="21"/>
                      <w:szCs w:val="21"/>
                      <w:highlight w:val="none"/>
                      <w:lang w:val="en-US" w:eastAsia="zh-CN" w:bidi="ar-SA"/>
                    </w:rPr>
                  </w:pPr>
                  <w:r>
                    <w:rPr>
                      <w:rFonts w:hint="eastAsia" w:cs="Times New Roman"/>
                      <w:color w:val="auto"/>
                      <w:spacing w:val="-6"/>
                      <w:sz w:val="21"/>
                      <w:szCs w:val="21"/>
                      <w:highlight w:val="none"/>
                      <w:lang w:val="en-US" w:eastAsia="zh-CN"/>
                    </w:rPr>
                    <w:t>100</w:t>
                  </w:r>
                </w:p>
              </w:tc>
              <w:tc>
                <w:tcPr>
                  <w:tcW w:w="1416" w:type="pct"/>
                  <w:vAlign w:val="center"/>
                </w:tcPr>
                <w:p>
                  <w:pPr>
                    <w:adjustRightInd w:val="0"/>
                    <w:snapToGrid w:val="0"/>
                    <w:spacing w:line="240" w:lineRule="auto"/>
                    <w:jc w:val="center"/>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cs="Times New Roman"/>
                      <w:color w:val="auto"/>
                      <w:spacing w:val="-6"/>
                      <w:sz w:val="21"/>
                      <w:szCs w:val="21"/>
                      <w:highlight w:val="none"/>
                    </w:rPr>
                    <w:t>浓缩机、浮选机等环保成套设备约1500台（套）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00" w:type="pct"/>
                  <w:gridSpan w:val="8"/>
                  <w:vAlign w:val="center"/>
                </w:tcPr>
                <w:p>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外购标准件</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eastAsia="宋体" w:cs="Times New Roman"/>
                      <w:color w:val="auto"/>
                      <w:kern w:val="0"/>
                      <w:sz w:val="21"/>
                      <w:szCs w:val="21"/>
                      <w:highlight w:val="none"/>
                      <w:lang w:val="en-US" w:eastAsia="zh-CN" w:bidi="ar-SA"/>
                    </w:rPr>
                    <w:t>包括</w:t>
                  </w:r>
                  <w:r>
                    <w:rPr>
                      <w:rFonts w:hint="default" w:ascii="Times New Roman" w:hAnsi="Times New Roman" w:eastAsia="宋体" w:cs="Times New Roman"/>
                      <w:color w:val="auto"/>
                      <w:kern w:val="0"/>
                      <w:sz w:val="21"/>
                      <w:szCs w:val="21"/>
                      <w:highlight w:val="none"/>
                      <w:lang w:val="en-US" w:eastAsia="zh-CN" w:bidi="ar-SA"/>
                    </w:rPr>
                    <w:t>减速机，电机，升降机，回转支承，马达，油缸，柱塞泵，齿轮，轴承等</w:t>
                  </w:r>
                  <w:r>
                    <w:rPr>
                      <w:rFonts w:hint="eastAsia" w:ascii="Times New Roman" w:eastAsia="宋体" w:cs="Times New Roman"/>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5000" w:type="pct"/>
                  <w:gridSpan w:val="8"/>
                  <w:vAlign w:val="center"/>
                </w:tcPr>
                <w:p>
                  <w:pPr>
                    <w:adjustRightInd w:val="0"/>
                    <w:snapToGrid w:val="0"/>
                    <w:spacing w:line="240" w:lineRule="exact"/>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b/>
                      <w:bCs w:val="0"/>
                      <w:color w:val="auto"/>
                      <w:sz w:val="21"/>
                      <w:szCs w:val="21"/>
                      <w:highlight w:val="none"/>
                    </w:rPr>
                    <w:t>资源及能源消耗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363" w:type="pct"/>
                  <w:vAlign w:val="center"/>
                </w:tcPr>
                <w:p>
                  <w:pPr>
                    <w:adjustRightInd w:val="0"/>
                    <w:snapToGrid w:val="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24" w:type="pct"/>
                  <w:vAlign w:val="center"/>
                </w:tcPr>
                <w:p>
                  <w:pPr>
                    <w:adjustRightInd w:val="0"/>
                    <w:snapToGrid w:val="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水</w:t>
                  </w:r>
                </w:p>
              </w:tc>
              <w:tc>
                <w:tcPr>
                  <w:tcW w:w="601" w:type="pct"/>
                  <w:gridSpan w:val="2"/>
                  <w:vAlign w:val="center"/>
                </w:tcPr>
                <w:p>
                  <w:pPr>
                    <w:adjustRightInd w:val="0"/>
                    <w:snapToGrid w:val="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p>
              </w:tc>
              <w:tc>
                <w:tcPr>
                  <w:tcW w:w="476" w:type="pct"/>
                  <w:vAlign w:val="center"/>
                </w:tcPr>
                <w:p>
                  <w:pPr>
                    <w:spacing w:line="240" w:lineRule="exact"/>
                    <w:jc w:val="center"/>
                    <w:textAlignment w:val="center"/>
                    <w:rPr>
                      <w:rFonts w:hint="default" w:ascii="Times New Roman" w:hAnsi="Times New Roman" w:eastAsia="宋体" w:cs="Times New Roman"/>
                      <w:color w:val="auto"/>
                      <w:spacing w:val="-6"/>
                      <w:sz w:val="21"/>
                      <w:szCs w:val="21"/>
                      <w:highlight w:val="none"/>
                      <w:lang w:val="en-US" w:eastAsia="zh-CN"/>
                    </w:rPr>
                  </w:pPr>
                  <w:r>
                    <w:rPr>
                      <w:rFonts w:hint="eastAsia" w:cs="Times New Roman"/>
                      <w:color w:val="auto"/>
                      <w:kern w:val="0"/>
                      <w:sz w:val="21"/>
                      <w:szCs w:val="21"/>
                      <w:highlight w:val="none"/>
                      <w:lang w:val="en-US" w:eastAsia="zh-CN"/>
                    </w:rPr>
                    <w:t>900</w:t>
                  </w:r>
                </w:p>
              </w:tc>
              <w:tc>
                <w:tcPr>
                  <w:tcW w:w="787" w:type="pct"/>
                  <w:vAlign w:val="center"/>
                </w:tcPr>
                <w:p>
                  <w:pPr>
                    <w:adjustRightInd w:val="0"/>
                    <w:snapToGrid w:val="0"/>
                    <w:spacing w:line="240" w:lineRule="exact"/>
                    <w:jc w:val="center"/>
                    <w:rPr>
                      <w:rFonts w:hint="eastAsia" w:ascii="Times New Roman" w:hAnsi="Times New Roman" w:eastAsia="宋体"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w:t>
                  </w:r>
                </w:p>
              </w:tc>
              <w:tc>
                <w:tcPr>
                  <w:tcW w:w="630" w:type="pct"/>
                  <w:vAlign w:val="center"/>
                </w:tcPr>
                <w:p>
                  <w:pPr>
                    <w:adjustRightInd w:val="0"/>
                    <w:snapToGrid w:val="0"/>
                    <w:spacing w:line="240" w:lineRule="exact"/>
                    <w:jc w:val="center"/>
                    <w:rPr>
                      <w:rFonts w:hint="default" w:ascii="Times New Roman" w:hAnsi="Times New Roman" w:cs="Times New Roman"/>
                      <w:color w:val="auto"/>
                      <w:spacing w:val="-6"/>
                      <w:sz w:val="21"/>
                      <w:szCs w:val="21"/>
                      <w:highlight w:val="none"/>
                    </w:rPr>
                  </w:pPr>
                  <w:r>
                    <w:rPr>
                      <w:rFonts w:hint="eastAsia" w:cs="Times New Roman"/>
                      <w:color w:val="auto"/>
                      <w:spacing w:val="-6"/>
                      <w:sz w:val="21"/>
                      <w:szCs w:val="21"/>
                      <w:highlight w:val="none"/>
                      <w:lang w:val="en-US" w:eastAsia="zh-CN"/>
                    </w:rPr>
                    <w:t>/</w:t>
                  </w:r>
                </w:p>
              </w:tc>
              <w:tc>
                <w:tcPr>
                  <w:tcW w:w="1416" w:type="pct"/>
                  <w:vAlign w:val="center"/>
                </w:tcPr>
                <w:p>
                  <w:pPr>
                    <w:adjustRightInd w:val="0"/>
                    <w:snapToGrid w:val="0"/>
                    <w:spacing w:line="240" w:lineRule="exact"/>
                    <w:jc w:val="center"/>
                    <w:rPr>
                      <w:rFonts w:hint="default" w:ascii="Times New Roman" w:hAnsi="Times New Roman"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363" w:type="pct"/>
                  <w:vAlign w:val="center"/>
                </w:tcPr>
                <w:p>
                  <w:pPr>
                    <w:adjustRightInd w:val="0"/>
                    <w:snapToGrid w:val="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724" w:type="pct"/>
                  <w:vAlign w:val="center"/>
                </w:tcPr>
                <w:p>
                  <w:pPr>
                    <w:adjustRightInd w:val="0"/>
                    <w:snapToGrid w:val="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w:t>
                  </w:r>
                </w:p>
              </w:tc>
              <w:tc>
                <w:tcPr>
                  <w:tcW w:w="601" w:type="pct"/>
                  <w:gridSpan w:val="2"/>
                  <w:vAlign w:val="center"/>
                </w:tcPr>
                <w:p>
                  <w:pPr>
                    <w:adjustRightInd w:val="0"/>
                    <w:snapToGrid w:val="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万</w:t>
                  </w:r>
                  <w:r>
                    <w:rPr>
                      <w:rFonts w:hint="default" w:ascii="Times New Roman" w:hAnsi="Times New Roman" w:cs="Times New Roman"/>
                      <w:color w:val="auto"/>
                      <w:sz w:val="21"/>
                      <w:szCs w:val="21"/>
                      <w:highlight w:val="none"/>
                    </w:rPr>
                    <w:t>kWh</w:t>
                  </w:r>
                </w:p>
              </w:tc>
              <w:tc>
                <w:tcPr>
                  <w:tcW w:w="476" w:type="pct"/>
                  <w:vAlign w:val="center"/>
                </w:tcPr>
                <w:p>
                  <w:pPr>
                    <w:spacing w:line="240" w:lineRule="exact"/>
                    <w:jc w:val="center"/>
                    <w:textAlignment w:val="center"/>
                    <w:rPr>
                      <w:rFonts w:hint="default" w:ascii="Times New Roman" w:hAnsi="Times New Roman" w:eastAsia="宋体" w:cs="Times New Roman"/>
                      <w:color w:val="auto"/>
                      <w:spacing w:val="-6"/>
                      <w:sz w:val="21"/>
                      <w:szCs w:val="21"/>
                      <w:highlight w:val="none"/>
                      <w:lang w:val="en-US" w:eastAsia="zh-CN"/>
                    </w:rPr>
                  </w:pPr>
                  <w:r>
                    <w:rPr>
                      <w:rFonts w:hint="eastAsia" w:cs="Times New Roman"/>
                      <w:color w:val="auto"/>
                      <w:kern w:val="0"/>
                      <w:sz w:val="21"/>
                      <w:szCs w:val="21"/>
                      <w:highlight w:val="none"/>
                      <w:lang w:val="en-US" w:eastAsia="zh-CN"/>
                    </w:rPr>
                    <w:t>15</w:t>
                  </w:r>
                </w:p>
              </w:tc>
              <w:tc>
                <w:tcPr>
                  <w:tcW w:w="787" w:type="pct"/>
                  <w:vAlign w:val="center"/>
                </w:tcPr>
                <w:p>
                  <w:pPr>
                    <w:adjustRightInd w:val="0"/>
                    <w:snapToGrid w:val="0"/>
                    <w:spacing w:line="240" w:lineRule="exact"/>
                    <w:jc w:val="center"/>
                    <w:rPr>
                      <w:rFonts w:hint="default" w:ascii="Times New Roman" w:hAnsi="Times New Roman" w:cs="Times New Roman"/>
                      <w:color w:val="auto"/>
                      <w:spacing w:val="-6"/>
                      <w:sz w:val="21"/>
                      <w:szCs w:val="21"/>
                      <w:highlight w:val="none"/>
                    </w:rPr>
                  </w:pPr>
                  <w:r>
                    <w:rPr>
                      <w:rFonts w:hint="eastAsia" w:cs="Times New Roman"/>
                      <w:color w:val="auto"/>
                      <w:spacing w:val="-6"/>
                      <w:sz w:val="21"/>
                      <w:szCs w:val="21"/>
                      <w:highlight w:val="none"/>
                      <w:lang w:val="en-US" w:eastAsia="zh-CN"/>
                    </w:rPr>
                    <w:t>/</w:t>
                  </w:r>
                </w:p>
              </w:tc>
              <w:tc>
                <w:tcPr>
                  <w:tcW w:w="630" w:type="pct"/>
                  <w:vAlign w:val="center"/>
                </w:tcPr>
                <w:p>
                  <w:pPr>
                    <w:adjustRightInd w:val="0"/>
                    <w:snapToGrid w:val="0"/>
                    <w:spacing w:line="240" w:lineRule="exact"/>
                    <w:jc w:val="center"/>
                    <w:rPr>
                      <w:rFonts w:hint="default" w:ascii="Times New Roman" w:hAnsi="Times New Roman" w:cs="Times New Roman"/>
                      <w:color w:val="auto"/>
                      <w:spacing w:val="-6"/>
                      <w:sz w:val="21"/>
                      <w:szCs w:val="21"/>
                      <w:highlight w:val="none"/>
                    </w:rPr>
                  </w:pPr>
                  <w:r>
                    <w:rPr>
                      <w:rFonts w:hint="eastAsia" w:cs="Times New Roman"/>
                      <w:color w:val="auto"/>
                      <w:spacing w:val="-6"/>
                      <w:sz w:val="21"/>
                      <w:szCs w:val="21"/>
                      <w:highlight w:val="none"/>
                      <w:lang w:val="en-US" w:eastAsia="zh-CN"/>
                    </w:rPr>
                    <w:t>/</w:t>
                  </w:r>
                </w:p>
              </w:tc>
              <w:tc>
                <w:tcPr>
                  <w:tcW w:w="1416" w:type="pct"/>
                  <w:vAlign w:val="center"/>
                </w:tcPr>
                <w:p>
                  <w:pPr>
                    <w:adjustRightInd w:val="0"/>
                    <w:snapToGrid w:val="0"/>
                    <w:spacing w:line="240" w:lineRule="exact"/>
                    <w:jc w:val="center"/>
                    <w:rPr>
                      <w:rFonts w:hint="default" w:ascii="Times New Roman" w:hAnsi="Times New Roman" w:cs="Times New Roman"/>
                      <w:color w:val="auto"/>
                      <w:spacing w:val="-6"/>
                      <w:sz w:val="21"/>
                      <w:szCs w:val="21"/>
                      <w:highlight w:val="none"/>
                    </w:rPr>
                  </w:pPr>
                </w:p>
              </w:tc>
            </w:tr>
          </w:tbl>
          <w:p>
            <w:pPr>
              <w:adjustRightInd w:val="0"/>
              <w:snapToGrid w:val="0"/>
              <w:jc w:val="center"/>
              <w:rPr>
                <w:rFonts w:ascii="宋体" w:hAnsi="宋体" w:cs="宋体"/>
                <w:b/>
                <w:bCs/>
                <w:color w:val="auto"/>
                <w:szCs w:val="22"/>
                <w:highlight w:val="none"/>
                <w:lang w:bidi="en-US"/>
              </w:rPr>
            </w:pPr>
          </w:p>
          <w:p>
            <w:pPr>
              <w:pStyle w:val="2"/>
              <w:spacing w:line="360" w:lineRule="auto"/>
              <w:rPr>
                <w:rFonts w:hint="eastAsia" w:ascii="Times New Roman"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4.水性漆主要成分</w:t>
            </w:r>
          </w:p>
          <w:p>
            <w:pPr>
              <w:widowControl/>
              <w:spacing w:line="240" w:lineRule="auto"/>
              <w:jc w:val="center"/>
              <w:rPr>
                <w:b/>
                <w:color w:val="auto"/>
                <w:sz w:val="21"/>
                <w:szCs w:val="21"/>
                <w:highlight w:val="none"/>
              </w:rPr>
            </w:pPr>
            <w:r>
              <w:rPr>
                <w:b/>
                <w:color w:val="auto"/>
                <w:sz w:val="21"/>
                <w:szCs w:val="21"/>
                <w:highlight w:val="none"/>
              </w:rPr>
              <w:t>表</w:t>
            </w:r>
            <w:r>
              <w:rPr>
                <w:rFonts w:hint="eastAsia"/>
                <w:b/>
                <w:color w:val="auto"/>
                <w:sz w:val="21"/>
                <w:szCs w:val="21"/>
                <w:highlight w:val="none"/>
              </w:rPr>
              <w:t>2-4</w:t>
            </w:r>
            <w:r>
              <w:rPr>
                <w:b/>
                <w:color w:val="auto"/>
                <w:sz w:val="21"/>
                <w:szCs w:val="21"/>
                <w:highlight w:val="none"/>
              </w:rPr>
              <w:t xml:space="preserve">  </w:t>
            </w:r>
            <w:r>
              <w:rPr>
                <w:rFonts w:hint="eastAsia"/>
                <w:b/>
                <w:color w:val="auto"/>
                <w:sz w:val="21"/>
                <w:szCs w:val="21"/>
                <w:highlight w:val="none"/>
              </w:rPr>
              <w:t>水性漆</w:t>
            </w:r>
            <w:r>
              <w:rPr>
                <w:b/>
                <w:color w:val="auto"/>
                <w:sz w:val="21"/>
                <w:szCs w:val="21"/>
                <w:highlight w:val="none"/>
              </w:rPr>
              <w:t>主要成分</w:t>
            </w:r>
          </w:p>
          <w:tbl>
            <w:tblPr>
              <w:tblStyle w:val="34"/>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150"/>
              <w:gridCol w:w="138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84" w:type="dxa"/>
                  <w:tcBorders>
                    <w:top w:val="single" w:color="auto" w:sz="4" w:space="0"/>
                    <w:left w:val="single" w:color="auto" w:sz="0" w:space="0"/>
                    <w:bottom w:val="single" w:color="auto" w:sz="2" w:space="0"/>
                    <w:right w:val="single" w:color="auto" w:sz="2" w:space="0"/>
                  </w:tcBorders>
                  <w:vAlign w:val="center"/>
                </w:tcPr>
                <w:p>
                  <w:pPr>
                    <w:spacing w:line="240" w:lineRule="atLeast"/>
                    <w:jc w:val="center"/>
                    <w:rPr>
                      <w:b/>
                      <w:bCs/>
                      <w:color w:val="auto"/>
                      <w:szCs w:val="21"/>
                      <w:highlight w:val="none"/>
                    </w:rPr>
                  </w:pPr>
                  <w:r>
                    <w:rPr>
                      <w:rFonts w:hint="eastAsia"/>
                      <w:b/>
                      <w:bCs/>
                      <w:color w:val="auto"/>
                      <w:szCs w:val="21"/>
                      <w:highlight w:val="none"/>
                    </w:rPr>
                    <w:t>名称</w:t>
                  </w:r>
                </w:p>
              </w:tc>
              <w:tc>
                <w:tcPr>
                  <w:tcW w:w="3150" w:type="dxa"/>
                  <w:tcBorders>
                    <w:top w:val="single" w:color="auto" w:sz="4" w:space="0"/>
                    <w:left w:val="single" w:color="auto" w:sz="2" w:space="0"/>
                    <w:bottom w:val="single" w:color="auto" w:sz="2" w:space="0"/>
                    <w:right w:val="single" w:color="auto" w:sz="2" w:space="0"/>
                  </w:tcBorders>
                  <w:vAlign w:val="center"/>
                </w:tcPr>
                <w:p>
                  <w:pPr>
                    <w:spacing w:line="240" w:lineRule="atLeast"/>
                    <w:jc w:val="center"/>
                    <w:rPr>
                      <w:b/>
                      <w:bCs/>
                      <w:color w:val="auto"/>
                      <w:szCs w:val="21"/>
                      <w:highlight w:val="none"/>
                    </w:rPr>
                  </w:pPr>
                  <w:r>
                    <w:rPr>
                      <w:rFonts w:hint="eastAsia"/>
                      <w:b/>
                      <w:bCs/>
                      <w:color w:val="auto"/>
                      <w:szCs w:val="21"/>
                      <w:highlight w:val="none"/>
                    </w:rPr>
                    <w:t>组成成分</w:t>
                  </w:r>
                </w:p>
              </w:tc>
              <w:tc>
                <w:tcPr>
                  <w:tcW w:w="1380" w:type="dxa"/>
                  <w:tcBorders>
                    <w:top w:val="single" w:color="auto" w:sz="4" w:space="0"/>
                    <w:left w:val="single" w:color="auto" w:sz="2" w:space="0"/>
                    <w:bottom w:val="single" w:color="auto" w:sz="2" w:space="0"/>
                    <w:right w:val="single" w:color="auto" w:sz="2" w:space="0"/>
                  </w:tcBorders>
                  <w:vAlign w:val="center"/>
                </w:tcPr>
                <w:p>
                  <w:pPr>
                    <w:spacing w:line="240" w:lineRule="atLeast"/>
                    <w:jc w:val="center"/>
                    <w:rPr>
                      <w:b/>
                      <w:bCs/>
                      <w:color w:val="auto"/>
                      <w:szCs w:val="21"/>
                      <w:highlight w:val="none"/>
                    </w:rPr>
                  </w:pPr>
                  <w:r>
                    <w:rPr>
                      <w:rFonts w:hint="eastAsia"/>
                      <w:b/>
                      <w:bCs/>
                      <w:color w:val="auto"/>
                      <w:szCs w:val="21"/>
                      <w:highlight w:val="none"/>
                    </w:rPr>
                    <w:t>挥发性有机化合物含量</w:t>
                  </w:r>
                </w:p>
              </w:tc>
              <w:tc>
                <w:tcPr>
                  <w:tcW w:w="2305" w:type="dxa"/>
                  <w:tcBorders>
                    <w:top w:val="single" w:color="auto" w:sz="4" w:space="0"/>
                    <w:left w:val="single" w:color="auto" w:sz="2" w:space="0"/>
                    <w:bottom w:val="single" w:color="auto" w:sz="2" w:space="0"/>
                    <w:right w:val="single" w:color="auto" w:sz="2" w:space="0"/>
                  </w:tcBorders>
                  <w:vAlign w:val="center"/>
                </w:tcPr>
                <w:p>
                  <w:pPr>
                    <w:spacing w:line="240" w:lineRule="atLeast"/>
                    <w:jc w:val="center"/>
                    <w:rPr>
                      <w:rFonts w:hint="eastAsia" w:eastAsiaTheme="minorEastAsia"/>
                      <w:b/>
                      <w:bCs/>
                      <w:color w:val="auto"/>
                      <w:szCs w:val="21"/>
                      <w:highlight w:val="none"/>
                      <w:lang w:val="en-US" w:eastAsia="zh-CN"/>
                    </w:rPr>
                  </w:pPr>
                  <w:r>
                    <w:rPr>
                      <w:rFonts w:hint="eastAsia"/>
                      <w:b/>
                      <w:bCs/>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84"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20" w:lineRule="exact"/>
                    <w:jc w:val="center"/>
                    <w:rPr>
                      <w:color w:val="auto"/>
                      <w:szCs w:val="21"/>
                      <w:highlight w:val="none"/>
                    </w:rPr>
                  </w:pPr>
                  <w:r>
                    <w:rPr>
                      <w:rFonts w:hint="eastAsia"/>
                      <w:color w:val="auto"/>
                      <w:szCs w:val="21"/>
                      <w:highlight w:val="none"/>
                    </w:rPr>
                    <w:t>水性环氧富锌底漆</w:t>
                  </w:r>
                </w:p>
              </w:tc>
              <w:tc>
                <w:tcPr>
                  <w:tcW w:w="3150" w:type="dxa"/>
                  <w:tcBorders>
                    <w:top w:val="single" w:color="auto" w:sz="2" w:space="0"/>
                    <w:left w:val="single" w:color="auto" w:sz="2" w:space="0"/>
                    <w:bottom w:val="single" w:color="auto" w:sz="2" w:space="0"/>
                    <w:right w:val="single" w:color="auto" w:sz="2" w:space="0"/>
                  </w:tcBorders>
                  <w:vAlign w:val="center"/>
                </w:tcPr>
                <w:p>
                  <w:pPr>
                    <w:pStyle w:val="18"/>
                    <w:ind w:left="0" w:leftChars="0" w:right="-97" w:rightChars="-46" w:firstLine="0" w:firstLineChars="0"/>
                    <w:rPr>
                      <w:color w:val="auto"/>
                      <w:szCs w:val="21"/>
                      <w:highlight w:val="none"/>
                    </w:rPr>
                  </w:pPr>
                  <w:r>
                    <w:rPr>
                      <w:rFonts w:hint="eastAsia" w:ascii="Times New Roman" w:eastAsia="宋体"/>
                      <w:color w:val="auto"/>
                      <w:sz w:val="21"/>
                      <w:szCs w:val="21"/>
                      <w:highlight w:val="none"/>
                      <w:lang w:val="en-US" w:eastAsia="zh-CN"/>
                    </w:rPr>
                    <w:t>环氧</w:t>
                  </w:r>
                  <w:r>
                    <w:rPr>
                      <w:rFonts w:hint="eastAsia" w:ascii="Times New Roman" w:eastAsia="宋体"/>
                      <w:color w:val="auto"/>
                      <w:sz w:val="21"/>
                      <w:szCs w:val="21"/>
                      <w:highlight w:val="none"/>
                    </w:rPr>
                    <w:t>树脂及颜料</w:t>
                  </w:r>
                  <w:r>
                    <w:rPr>
                      <w:rFonts w:hint="eastAsia" w:ascii="Times New Roman" w:eastAsia="宋体"/>
                      <w:color w:val="auto"/>
                      <w:sz w:val="21"/>
                      <w:szCs w:val="21"/>
                      <w:highlight w:val="none"/>
                      <w:lang w:val="en-US" w:eastAsia="zh-CN"/>
                    </w:rPr>
                    <w:t>50</w:t>
                  </w:r>
                  <w:r>
                    <w:rPr>
                      <w:rFonts w:hint="eastAsia" w:ascii="Times New Roman" w:eastAsia="宋体"/>
                      <w:color w:val="auto"/>
                      <w:sz w:val="21"/>
                      <w:szCs w:val="21"/>
                      <w:highlight w:val="none"/>
                    </w:rPr>
                    <w:t>%，去离子水</w:t>
                  </w:r>
                  <w:r>
                    <w:rPr>
                      <w:rFonts w:hint="eastAsia" w:ascii="Times New Roman" w:eastAsia="宋体"/>
                      <w:color w:val="auto"/>
                      <w:sz w:val="21"/>
                      <w:szCs w:val="21"/>
                      <w:highlight w:val="none"/>
                      <w:lang w:val="en-US" w:eastAsia="zh-CN"/>
                    </w:rPr>
                    <w:t>5</w:t>
                  </w:r>
                  <w:r>
                    <w:rPr>
                      <w:rFonts w:hint="eastAsia" w:ascii="Times New Roman" w:eastAsia="宋体"/>
                      <w:color w:val="auto"/>
                      <w:sz w:val="21"/>
                      <w:szCs w:val="21"/>
                      <w:highlight w:val="none"/>
                    </w:rPr>
                    <w:t>0%</w:t>
                  </w:r>
                </w:p>
              </w:tc>
              <w:tc>
                <w:tcPr>
                  <w:tcW w:w="138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color w:val="auto"/>
                      <w:spacing w:val="-6"/>
                      <w:szCs w:val="21"/>
                      <w:highlight w:val="none"/>
                    </w:rPr>
                  </w:pPr>
                  <w:r>
                    <w:rPr>
                      <w:rFonts w:hint="eastAsia"/>
                      <w:color w:val="auto"/>
                      <w:spacing w:val="-6"/>
                      <w:szCs w:val="21"/>
                      <w:highlight w:val="none"/>
                      <w:lang w:val="en-US" w:eastAsia="zh-CN"/>
                    </w:rPr>
                    <w:t>0</w:t>
                  </w:r>
                  <w:r>
                    <w:rPr>
                      <w:rFonts w:hint="eastAsia"/>
                      <w:color w:val="auto"/>
                      <w:spacing w:val="-6"/>
                      <w:szCs w:val="21"/>
                      <w:highlight w:val="none"/>
                    </w:rPr>
                    <w:t>g/L</w:t>
                  </w:r>
                </w:p>
              </w:tc>
              <w:tc>
                <w:tcPr>
                  <w:tcW w:w="2305"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eastAsia"/>
                      <w:color w:val="auto"/>
                      <w:spacing w:val="-6"/>
                      <w:szCs w:val="21"/>
                      <w:highlight w:val="none"/>
                      <w:lang w:val="en-US" w:eastAsia="zh-CN"/>
                    </w:rPr>
                  </w:pPr>
                  <w:r>
                    <w:rPr>
                      <w:rFonts w:hint="eastAsia"/>
                      <w:color w:val="auto"/>
                      <w:spacing w:val="-6"/>
                      <w:szCs w:val="21"/>
                      <w:highlight w:val="none"/>
                      <w:lang w:val="en-US" w:eastAsia="zh-CN"/>
                    </w:rPr>
                    <w:t>参考附件检验报告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20" w:lineRule="exact"/>
                    <w:jc w:val="center"/>
                    <w:rPr>
                      <w:color w:val="auto"/>
                      <w:szCs w:val="21"/>
                      <w:highlight w:val="none"/>
                    </w:rPr>
                  </w:pPr>
                  <w:r>
                    <w:rPr>
                      <w:rFonts w:hint="eastAsia"/>
                      <w:color w:val="auto"/>
                      <w:szCs w:val="21"/>
                      <w:highlight w:val="none"/>
                    </w:rPr>
                    <w:t>水性醇酸面漆</w:t>
                  </w:r>
                </w:p>
              </w:tc>
              <w:tc>
                <w:tcPr>
                  <w:tcW w:w="3150" w:type="dxa"/>
                  <w:tcBorders>
                    <w:top w:val="single" w:color="auto" w:sz="2" w:space="0"/>
                    <w:left w:val="single" w:color="auto" w:sz="2" w:space="0"/>
                    <w:bottom w:val="single" w:color="auto" w:sz="2" w:space="0"/>
                    <w:right w:val="single" w:color="auto" w:sz="2" w:space="0"/>
                  </w:tcBorders>
                  <w:vAlign w:val="center"/>
                </w:tcPr>
                <w:p>
                  <w:pPr>
                    <w:pStyle w:val="18"/>
                    <w:ind w:left="0" w:leftChars="0" w:right="-97" w:rightChars="-46" w:firstLine="0" w:firstLineChars="0"/>
                    <w:jc w:val="left"/>
                    <w:rPr>
                      <w:color w:val="auto"/>
                      <w:highlight w:val="none"/>
                    </w:rPr>
                  </w:pPr>
                  <w:r>
                    <w:rPr>
                      <w:rFonts w:hint="eastAsia" w:ascii="Times New Roman" w:eastAsia="宋体"/>
                      <w:color w:val="auto"/>
                      <w:sz w:val="21"/>
                      <w:szCs w:val="21"/>
                      <w:highlight w:val="none"/>
                    </w:rPr>
                    <w:t>改性水性树脂及颜料</w:t>
                  </w:r>
                  <w:r>
                    <w:rPr>
                      <w:rFonts w:hint="eastAsia" w:ascii="Times New Roman" w:eastAsia="宋体"/>
                      <w:color w:val="auto"/>
                      <w:sz w:val="21"/>
                      <w:szCs w:val="21"/>
                      <w:highlight w:val="none"/>
                      <w:lang w:val="en-US" w:eastAsia="zh-CN"/>
                    </w:rPr>
                    <w:t>65</w:t>
                  </w:r>
                  <w:r>
                    <w:rPr>
                      <w:rFonts w:hint="eastAsia" w:ascii="Times New Roman" w:eastAsia="宋体"/>
                      <w:color w:val="auto"/>
                      <w:sz w:val="21"/>
                      <w:szCs w:val="21"/>
                      <w:highlight w:val="none"/>
                    </w:rPr>
                    <w:t>%，去离子水30%，挥发性有机化合物</w:t>
                  </w:r>
                  <w:r>
                    <w:rPr>
                      <w:rFonts w:hint="eastAsia" w:ascii="Times New Roman" w:eastAsia="宋体"/>
                      <w:color w:val="auto"/>
                      <w:sz w:val="21"/>
                      <w:szCs w:val="21"/>
                      <w:highlight w:val="none"/>
                      <w:lang w:val="en-US" w:eastAsia="zh-CN"/>
                    </w:rPr>
                    <w:t>5</w:t>
                  </w:r>
                  <w:r>
                    <w:rPr>
                      <w:rFonts w:hint="eastAsia" w:ascii="Times New Roman" w:eastAsia="宋体"/>
                      <w:color w:val="auto"/>
                      <w:sz w:val="21"/>
                      <w:szCs w:val="21"/>
                      <w:highlight w:val="none"/>
                    </w:rPr>
                    <w:t>%</w:t>
                  </w:r>
                </w:p>
              </w:tc>
              <w:tc>
                <w:tcPr>
                  <w:tcW w:w="138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color w:val="auto"/>
                      <w:spacing w:val="-6"/>
                      <w:szCs w:val="21"/>
                      <w:highlight w:val="none"/>
                    </w:rPr>
                  </w:pPr>
                  <w:r>
                    <w:rPr>
                      <w:rFonts w:hint="eastAsia"/>
                      <w:color w:val="auto"/>
                      <w:spacing w:val="-6"/>
                      <w:szCs w:val="21"/>
                      <w:highlight w:val="none"/>
                      <w:lang w:val="en-US" w:eastAsia="zh-CN"/>
                    </w:rPr>
                    <w:t>60</w:t>
                  </w:r>
                  <w:r>
                    <w:rPr>
                      <w:rFonts w:hint="eastAsia"/>
                      <w:color w:val="auto"/>
                      <w:spacing w:val="-6"/>
                      <w:szCs w:val="21"/>
                      <w:highlight w:val="none"/>
                    </w:rPr>
                    <w:t>g/L</w:t>
                  </w:r>
                </w:p>
              </w:tc>
              <w:tc>
                <w:tcPr>
                  <w:tcW w:w="2305"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eastAsia" w:asciiTheme="minorHAnsi" w:hAnsiTheme="minorHAnsi" w:eastAsiaTheme="minorEastAsia" w:cstheme="minorBidi"/>
                      <w:color w:val="auto"/>
                      <w:spacing w:val="-6"/>
                      <w:kern w:val="2"/>
                      <w:sz w:val="21"/>
                      <w:szCs w:val="21"/>
                      <w:highlight w:val="none"/>
                      <w:lang w:val="en-US" w:eastAsia="zh-CN" w:bidi="ar-SA"/>
                    </w:rPr>
                  </w:pPr>
                  <w:r>
                    <w:rPr>
                      <w:rFonts w:hint="eastAsia"/>
                      <w:color w:val="auto"/>
                      <w:spacing w:val="-6"/>
                      <w:szCs w:val="21"/>
                      <w:highlight w:val="none"/>
                      <w:lang w:val="en-US" w:eastAsia="zh-CN"/>
                    </w:rPr>
                    <w:t>参考附件检验报告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84"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20" w:lineRule="exact"/>
                    <w:jc w:val="center"/>
                    <w:rPr>
                      <w:rFonts w:hint="eastAsia"/>
                      <w:color w:val="auto"/>
                      <w:szCs w:val="21"/>
                      <w:highlight w:val="none"/>
                    </w:rPr>
                  </w:pPr>
                  <w:r>
                    <w:rPr>
                      <w:rFonts w:hint="eastAsia" w:ascii="Times New Roman" w:hAnsi="Times New Roman" w:eastAsia="宋体" w:cs="Times New Roman"/>
                      <w:color w:val="auto"/>
                      <w:szCs w:val="21"/>
                      <w:highlight w:val="none"/>
                      <w:lang w:val="en-US" w:eastAsia="en-US"/>
                    </w:rPr>
                    <w:t>醇酸防锈漆</w:t>
                  </w:r>
                </w:p>
              </w:tc>
              <w:tc>
                <w:tcPr>
                  <w:tcW w:w="3150" w:type="dxa"/>
                  <w:tcBorders>
                    <w:top w:val="single" w:color="auto" w:sz="2" w:space="0"/>
                    <w:left w:val="single" w:color="auto" w:sz="2" w:space="0"/>
                    <w:bottom w:val="single" w:color="auto" w:sz="2" w:space="0"/>
                    <w:right w:val="single" w:color="auto" w:sz="2" w:space="0"/>
                  </w:tcBorders>
                  <w:vAlign w:val="center"/>
                </w:tcPr>
                <w:p>
                  <w:pPr>
                    <w:pStyle w:val="18"/>
                    <w:ind w:left="0" w:leftChars="0" w:right="-97" w:rightChars="-46" w:firstLine="0" w:firstLineChars="0"/>
                    <w:jc w:val="left"/>
                    <w:rPr>
                      <w:rFonts w:hint="default"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醇酸树脂及颜料70%，</w:t>
                  </w:r>
                  <w:r>
                    <w:rPr>
                      <w:rFonts w:hint="eastAsia" w:ascii="Times New Roman" w:eastAsia="宋体"/>
                      <w:color w:val="auto"/>
                      <w:sz w:val="21"/>
                      <w:szCs w:val="21"/>
                      <w:highlight w:val="none"/>
                    </w:rPr>
                    <w:t>挥发性有机化合物</w:t>
                  </w:r>
                  <w:r>
                    <w:rPr>
                      <w:rFonts w:hint="eastAsia" w:ascii="Times New Roman" w:eastAsia="宋体"/>
                      <w:color w:val="auto"/>
                      <w:sz w:val="21"/>
                      <w:szCs w:val="21"/>
                      <w:highlight w:val="none"/>
                      <w:lang w:val="en-US" w:eastAsia="zh-CN"/>
                    </w:rPr>
                    <w:t>30</w:t>
                  </w:r>
                  <w:r>
                    <w:rPr>
                      <w:rFonts w:hint="eastAsia" w:ascii="Times New Roman" w:eastAsia="宋体"/>
                      <w:color w:val="auto"/>
                      <w:sz w:val="21"/>
                      <w:szCs w:val="21"/>
                      <w:highlight w:val="none"/>
                    </w:rPr>
                    <w:t>%</w:t>
                  </w:r>
                </w:p>
              </w:tc>
              <w:tc>
                <w:tcPr>
                  <w:tcW w:w="138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default" w:ascii="Times New Roman" w:hAnsi="Times New Roman" w:eastAsia="宋体" w:cs="Times New Roman"/>
                      <w:color w:val="auto"/>
                      <w:spacing w:val="-6"/>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t>约390</w:t>
                  </w:r>
                  <w:r>
                    <w:rPr>
                      <w:rFonts w:hint="default" w:ascii="Times New Roman" w:hAnsi="Times New Roman" w:eastAsia="宋体" w:cs="Times New Roman"/>
                      <w:color w:val="auto"/>
                      <w:spacing w:val="-6"/>
                      <w:sz w:val="21"/>
                      <w:szCs w:val="21"/>
                      <w:highlight w:val="none"/>
                    </w:rPr>
                    <w:t>g/L</w:t>
                  </w:r>
                </w:p>
              </w:tc>
              <w:tc>
                <w:tcPr>
                  <w:tcW w:w="2305"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default" w:cs="Times New Roman"/>
                      <w:color w:val="auto"/>
                      <w:spacing w:val="-6"/>
                      <w:sz w:val="21"/>
                      <w:szCs w:val="21"/>
                      <w:highlight w:val="none"/>
                      <w:lang w:val="en-US" w:eastAsia="zh-CN"/>
                    </w:rPr>
                  </w:pPr>
                  <w:r>
                    <w:rPr>
                      <w:rFonts w:hint="eastAsia"/>
                      <w:color w:val="auto"/>
                      <w:spacing w:val="-6"/>
                      <w:szCs w:val="21"/>
                      <w:highlight w:val="none"/>
                      <w:lang w:val="en-US" w:eastAsia="zh-CN"/>
                    </w:rPr>
                    <w:t>参考附件产品成份分析单，挥发性有机溶剂取最大值30%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20" w:lineRule="exact"/>
                    <w:jc w:val="center"/>
                    <w:rPr>
                      <w:rFonts w:hint="eastAsia"/>
                      <w:color w:val="auto"/>
                      <w:szCs w:val="21"/>
                      <w:highlight w:val="none"/>
                    </w:rPr>
                  </w:pPr>
                  <w:r>
                    <w:rPr>
                      <w:rFonts w:hint="eastAsia" w:ascii="Times New Roman" w:hAnsi="Times New Roman" w:eastAsia="宋体" w:cs="Times New Roman"/>
                      <w:color w:val="auto"/>
                      <w:szCs w:val="21"/>
                      <w:highlight w:val="none"/>
                      <w:lang w:val="en-US" w:eastAsia="en-US"/>
                    </w:rPr>
                    <w:t>醇酸调和漆</w:t>
                  </w:r>
                </w:p>
              </w:tc>
              <w:tc>
                <w:tcPr>
                  <w:tcW w:w="3150" w:type="dxa"/>
                  <w:tcBorders>
                    <w:top w:val="single" w:color="auto" w:sz="2" w:space="0"/>
                    <w:left w:val="single" w:color="auto" w:sz="2" w:space="0"/>
                    <w:bottom w:val="single" w:color="auto" w:sz="2" w:space="0"/>
                    <w:right w:val="single" w:color="auto" w:sz="2" w:space="0"/>
                  </w:tcBorders>
                  <w:vAlign w:val="center"/>
                </w:tcPr>
                <w:p>
                  <w:pPr>
                    <w:pStyle w:val="18"/>
                    <w:ind w:left="0" w:leftChars="0" w:right="-97" w:rightChars="-46" w:firstLine="0" w:firstLineChars="0"/>
                    <w:jc w:val="left"/>
                    <w:rPr>
                      <w:rFonts w:hint="eastAsia" w:ascii="Times New Roman" w:eastAsia="宋体"/>
                      <w:color w:val="auto"/>
                      <w:sz w:val="21"/>
                      <w:szCs w:val="21"/>
                      <w:highlight w:val="none"/>
                    </w:rPr>
                  </w:pPr>
                  <w:r>
                    <w:rPr>
                      <w:rFonts w:hint="eastAsia" w:ascii="Times New Roman" w:eastAsia="宋体"/>
                      <w:color w:val="auto"/>
                      <w:sz w:val="21"/>
                      <w:szCs w:val="21"/>
                      <w:highlight w:val="none"/>
                      <w:lang w:val="en-US" w:eastAsia="zh-CN"/>
                    </w:rPr>
                    <w:t>醇酸树脂及颜料63.23%，</w:t>
                  </w:r>
                  <w:r>
                    <w:rPr>
                      <w:rFonts w:hint="eastAsia" w:ascii="Times New Roman" w:eastAsia="宋体"/>
                      <w:color w:val="auto"/>
                      <w:sz w:val="21"/>
                      <w:szCs w:val="21"/>
                      <w:highlight w:val="none"/>
                    </w:rPr>
                    <w:t>挥发性有机化合物</w:t>
                  </w:r>
                  <w:r>
                    <w:rPr>
                      <w:rFonts w:hint="eastAsia" w:ascii="Times New Roman" w:eastAsia="宋体"/>
                      <w:color w:val="auto"/>
                      <w:sz w:val="21"/>
                      <w:szCs w:val="21"/>
                      <w:highlight w:val="none"/>
                      <w:lang w:val="en-US" w:eastAsia="zh-CN"/>
                    </w:rPr>
                    <w:t>36.77</w:t>
                  </w:r>
                  <w:r>
                    <w:rPr>
                      <w:rFonts w:hint="eastAsia" w:ascii="Times New Roman" w:eastAsia="宋体"/>
                      <w:color w:val="auto"/>
                      <w:sz w:val="21"/>
                      <w:szCs w:val="21"/>
                      <w:highlight w:val="none"/>
                    </w:rPr>
                    <w:t>%</w:t>
                  </w:r>
                </w:p>
              </w:tc>
              <w:tc>
                <w:tcPr>
                  <w:tcW w:w="138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default" w:ascii="Times New Roman" w:hAnsi="Times New Roman" w:eastAsia="宋体" w:cs="Times New Roman"/>
                      <w:color w:val="auto"/>
                      <w:spacing w:val="-6"/>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t>478</w:t>
                  </w:r>
                  <w:r>
                    <w:rPr>
                      <w:rFonts w:hint="default" w:ascii="Times New Roman" w:hAnsi="Times New Roman" w:eastAsia="宋体" w:cs="Times New Roman"/>
                      <w:color w:val="auto"/>
                      <w:spacing w:val="-6"/>
                      <w:sz w:val="21"/>
                      <w:szCs w:val="21"/>
                      <w:highlight w:val="none"/>
                    </w:rPr>
                    <w:t>g/L</w:t>
                  </w:r>
                </w:p>
              </w:tc>
              <w:tc>
                <w:tcPr>
                  <w:tcW w:w="2305"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eastAsia" w:asciiTheme="minorHAnsi" w:hAnsiTheme="minorHAnsi" w:eastAsiaTheme="minorEastAsia" w:cstheme="minorBidi"/>
                      <w:color w:val="auto"/>
                      <w:spacing w:val="-6"/>
                      <w:kern w:val="2"/>
                      <w:sz w:val="21"/>
                      <w:szCs w:val="21"/>
                      <w:highlight w:val="none"/>
                      <w:lang w:val="en-US" w:eastAsia="zh-CN" w:bidi="ar-SA"/>
                    </w:rPr>
                  </w:pPr>
                  <w:r>
                    <w:rPr>
                      <w:rFonts w:hint="eastAsia"/>
                      <w:color w:val="auto"/>
                      <w:spacing w:val="-6"/>
                      <w:szCs w:val="21"/>
                      <w:highlight w:val="none"/>
                      <w:lang w:val="en-US" w:eastAsia="zh-CN"/>
                    </w:rPr>
                    <w:t>参考附件检验报告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20" w:lineRule="exact"/>
                    <w:jc w:val="center"/>
                    <w:rPr>
                      <w:rFonts w:hint="eastAsia"/>
                      <w:color w:val="auto"/>
                      <w:szCs w:val="21"/>
                      <w:highlight w:val="none"/>
                    </w:rPr>
                  </w:pPr>
                  <w:r>
                    <w:rPr>
                      <w:rFonts w:hint="eastAsia" w:ascii="Times New Roman" w:hAnsi="Times New Roman" w:eastAsia="宋体" w:cs="Times New Roman"/>
                      <w:color w:val="auto"/>
                      <w:szCs w:val="21"/>
                      <w:highlight w:val="none"/>
                      <w:lang w:val="en-US" w:eastAsia="en-US"/>
                    </w:rPr>
                    <w:t>醇酸</w:t>
                  </w:r>
                  <w:r>
                    <w:rPr>
                      <w:rFonts w:hint="eastAsia" w:ascii="Times New Roman" w:hAnsi="Times New Roman" w:eastAsia="宋体" w:cs="Times New Roman"/>
                      <w:color w:val="auto"/>
                      <w:szCs w:val="21"/>
                      <w:highlight w:val="none"/>
                      <w:lang w:val="en-US" w:eastAsia="zh-CN"/>
                    </w:rPr>
                    <w:t>稀释剂</w:t>
                  </w:r>
                </w:p>
              </w:tc>
              <w:tc>
                <w:tcPr>
                  <w:tcW w:w="3150" w:type="dxa"/>
                  <w:tcBorders>
                    <w:top w:val="single" w:color="auto" w:sz="2" w:space="0"/>
                    <w:left w:val="single" w:color="auto" w:sz="2" w:space="0"/>
                    <w:bottom w:val="single" w:color="auto" w:sz="2" w:space="0"/>
                    <w:right w:val="single" w:color="auto" w:sz="2" w:space="0"/>
                  </w:tcBorders>
                  <w:vAlign w:val="center"/>
                </w:tcPr>
                <w:p>
                  <w:pPr>
                    <w:pStyle w:val="18"/>
                    <w:ind w:left="0" w:leftChars="0" w:right="-97" w:rightChars="-46" w:firstLine="0" w:firstLineChars="0"/>
                    <w:jc w:val="left"/>
                    <w:rPr>
                      <w:rFonts w:hint="eastAsia" w:ascii="Times New Roman" w:eastAsia="宋体"/>
                      <w:color w:val="auto"/>
                      <w:sz w:val="21"/>
                      <w:szCs w:val="21"/>
                      <w:highlight w:val="none"/>
                    </w:rPr>
                  </w:pPr>
                  <w:r>
                    <w:rPr>
                      <w:rFonts w:hint="eastAsia" w:ascii="Times New Roman" w:eastAsia="宋体"/>
                      <w:color w:val="auto"/>
                      <w:sz w:val="21"/>
                      <w:szCs w:val="21"/>
                      <w:highlight w:val="none"/>
                    </w:rPr>
                    <w:t>挥发性有机化合物</w:t>
                  </w:r>
                  <w:r>
                    <w:rPr>
                      <w:rFonts w:hint="eastAsia" w:ascii="Times New Roman" w:eastAsia="宋体"/>
                      <w:color w:val="auto"/>
                      <w:sz w:val="21"/>
                      <w:szCs w:val="21"/>
                      <w:highlight w:val="none"/>
                      <w:lang w:val="en-US" w:eastAsia="zh-CN"/>
                    </w:rPr>
                    <w:t>100</w:t>
                  </w:r>
                  <w:r>
                    <w:rPr>
                      <w:rFonts w:hint="eastAsia" w:ascii="Times New Roman" w:eastAsia="宋体"/>
                      <w:color w:val="auto"/>
                      <w:sz w:val="21"/>
                      <w:szCs w:val="21"/>
                      <w:highlight w:val="none"/>
                    </w:rPr>
                    <w:t>%</w:t>
                  </w:r>
                </w:p>
              </w:tc>
              <w:tc>
                <w:tcPr>
                  <w:tcW w:w="138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default"/>
                      <w:color w:val="auto"/>
                      <w:spacing w:val="-6"/>
                      <w:szCs w:val="21"/>
                      <w:highlight w:val="none"/>
                      <w:lang w:val="en-US" w:eastAsia="zh-CN"/>
                    </w:rPr>
                  </w:pPr>
                  <w:r>
                    <w:rPr>
                      <w:rFonts w:hint="eastAsia"/>
                      <w:color w:val="auto"/>
                      <w:spacing w:val="-6"/>
                      <w:szCs w:val="21"/>
                      <w:highlight w:val="none"/>
                      <w:lang w:val="en-US" w:eastAsia="zh-CN"/>
                    </w:rPr>
                    <w:t>-</w:t>
                  </w:r>
                </w:p>
              </w:tc>
              <w:tc>
                <w:tcPr>
                  <w:tcW w:w="2305"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eastAsia"/>
                      <w:color w:val="auto"/>
                      <w:spacing w:val="-6"/>
                      <w:szCs w:val="21"/>
                      <w:highlight w:val="none"/>
                      <w:lang w:val="en-US" w:eastAsia="zh-CN"/>
                    </w:rPr>
                  </w:pPr>
                  <w:r>
                    <w:rPr>
                      <w:rFonts w:hint="eastAsia"/>
                      <w:color w:val="auto"/>
                      <w:spacing w:val="-6"/>
                      <w:szCs w:val="21"/>
                      <w:highlight w:val="none"/>
                      <w:lang w:val="en-US" w:eastAsia="zh-CN"/>
                    </w:rPr>
                    <w:t>参考附件产品成份分析单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119" w:type="dxa"/>
                  <w:gridSpan w:val="4"/>
                  <w:tcBorders>
                    <w:top w:val="single" w:color="auto" w:sz="2" w:space="0"/>
                    <w:left w:val="single" w:color="auto" w:sz="4" w:space="0"/>
                    <w:bottom w:val="single" w:color="auto" w:sz="2" w:space="0"/>
                    <w:right w:val="single" w:color="auto" w:sz="2" w:space="0"/>
                  </w:tcBorders>
                  <w:vAlign w:val="center"/>
                </w:tcPr>
                <w:p>
                  <w:pPr>
                    <w:spacing w:line="240" w:lineRule="atLeast"/>
                    <w:rPr>
                      <w:color w:val="auto"/>
                      <w:highlight w:val="none"/>
                      <w:lang w:val="zh-CN"/>
                    </w:rPr>
                  </w:pPr>
                  <w:r>
                    <w:rPr>
                      <w:color w:val="auto"/>
                      <w:highlight w:val="none"/>
                      <w:lang w:val="zh-CN"/>
                    </w:rPr>
                    <w:t>注：①由于部分成份（如助剂）不确定其挥发性，按照最不利情况，将其纳入挥发成分。</w:t>
                  </w:r>
                </w:p>
                <w:p>
                  <w:pPr>
                    <w:spacing w:line="240" w:lineRule="atLeast"/>
                    <w:rPr>
                      <w:color w:val="auto"/>
                      <w:highlight w:val="none"/>
                      <w:lang w:val="zh-CN"/>
                    </w:rPr>
                  </w:pPr>
                  <w:r>
                    <w:rPr>
                      <w:color w:val="auto"/>
                      <w:highlight w:val="none"/>
                      <w:lang w:val="zh-CN"/>
                    </w:rPr>
                    <w:t>②</w:t>
                  </w:r>
                  <w:r>
                    <w:rPr>
                      <w:rFonts w:hint="eastAsia"/>
                      <w:color w:val="auto"/>
                      <w:highlight w:val="none"/>
                      <w:lang w:val="zh-CN"/>
                    </w:rPr>
                    <w:t>水溶性涂料：水溶性涂料是在成膜聚合</w:t>
                  </w:r>
                  <w:r>
                    <w:rPr>
                      <w:color w:val="auto"/>
                      <w:highlight w:val="none"/>
                      <w:lang w:val="zh-CN"/>
                    </w:rPr>
                    <w:t>物中引进亲水的或水可增溶的基团</w:t>
                  </w:r>
                  <w:r>
                    <w:rPr>
                      <w:rFonts w:hint="eastAsia"/>
                      <w:color w:val="auto"/>
                      <w:highlight w:val="none"/>
                      <w:lang w:val="zh-CN"/>
                    </w:rPr>
                    <w:t>，</w:t>
                  </w:r>
                  <w:r>
                    <w:rPr>
                      <w:color w:val="auto"/>
                      <w:highlight w:val="none"/>
                      <w:lang w:val="zh-CN"/>
                    </w:rPr>
                    <w:t>使其成为可以水为溶解介质的一种涂料</w:t>
                  </w:r>
                  <w:r>
                    <w:rPr>
                      <w:rFonts w:hint="eastAsia"/>
                      <w:color w:val="auto"/>
                      <w:highlight w:val="none"/>
                      <w:lang w:val="zh-CN"/>
                    </w:rPr>
                    <w:t>，</w:t>
                  </w:r>
                  <w:r>
                    <w:rPr>
                      <w:color w:val="auto"/>
                      <w:highlight w:val="none"/>
                      <w:lang w:val="zh-CN"/>
                    </w:rPr>
                    <w:t>它是20 世纪60年代发展起来的一类新型的低污染、省能源、省资源涂料</w:t>
                  </w:r>
                  <w:r>
                    <w:rPr>
                      <w:rFonts w:hint="eastAsia"/>
                      <w:color w:val="auto"/>
                      <w:highlight w:val="none"/>
                      <w:lang w:val="zh-CN"/>
                    </w:rPr>
                    <w:t>，</w:t>
                  </w:r>
                  <w:r>
                    <w:rPr>
                      <w:color w:val="auto"/>
                      <w:highlight w:val="none"/>
                      <w:lang w:val="zh-CN"/>
                    </w:rPr>
                    <w:t>由于其优点明显</w:t>
                  </w:r>
                  <w:r>
                    <w:rPr>
                      <w:rFonts w:hint="eastAsia"/>
                      <w:color w:val="auto"/>
                      <w:highlight w:val="none"/>
                      <w:lang w:val="zh-CN"/>
                    </w:rPr>
                    <w:t>，</w:t>
                  </w:r>
                  <w:r>
                    <w:rPr>
                      <w:color w:val="auto"/>
                      <w:highlight w:val="none"/>
                      <w:lang w:val="zh-CN"/>
                    </w:rPr>
                    <w:t>涂料水溶性的研究应用已引起了广泛的关注并取得了重要进展</w:t>
                  </w:r>
                  <w:r>
                    <w:rPr>
                      <w:rFonts w:hint="eastAsia"/>
                      <w:color w:val="auto"/>
                      <w:highlight w:val="none"/>
                      <w:lang w:val="zh-CN"/>
                    </w:rPr>
                    <w:t>。</w:t>
                  </w:r>
                </w:p>
              </w:tc>
            </w:tr>
          </w:tbl>
          <w:p>
            <w:pPr>
              <w:adjustRightInd w:val="0"/>
              <w:snapToGrid w:val="0"/>
              <w:rPr>
                <w:rFonts w:ascii="宋体" w:hAnsi="宋体" w:cs="宋体"/>
                <w:b/>
                <w:bCs/>
                <w:color w:val="auto"/>
                <w:szCs w:val="22"/>
                <w:highlight w:val="none"/>
                <w:lang w:bidi="en-US"/>
              </w:rPr>
            </w:pPr>
            <w:r>
              <w:rPr>
                <w:rFonts w:hint="eastAsia"/>
                <w:color w:val="auto"/>
                <w:szCs w:val="21"/>
                <w:highlight w:val="none"/>
              </w:rPr>
              <w:t>注：漆料在施工状态下限量值符合《低挥发性有机物含量涂料产品技术要求》（GB/T38597-2020）和《</w:t>
            </w:r>
            <w:r>
              <w:rPr>
                <w:color w:val="auto"/>
                <w:highlight w:val="none"/>
              </w:rPr>
              <w:fldChar w:fldCharType="begin"/>
            </w:r>
            <w:r>
              <w:rPr>
                <w:color w:val="auto"/>
                <w:highlight w:val="none"/>
              </w:rPr>
              <w:instrText xml:space="preserve"> HYPERLINK "https://www.so.com/link?m=bE/IVsDgF1ZDJa/JPQRy1mY5VCD1bxXSgwUx8we0Wvy5lVUQWrlgktJia8DBWqDDG8HYTPtjsTMV7LWevKEsCYM0qjnylwFTMyifP+FUBTR2M88nF1XdHprvpgOTiM7dDWac6nhjv1UQl2dkHLpU5Or4g17GGhHavVv99Y/RaQMP3I0JbEPX9rt5sIJ2maA555SBYdwDpBkY4tvq8nHH/mQ==" \t "https://www.so.com/_blank" </w:instrText>
            </w:r>
            <w:r>
              <w:rPr>
                <w:color w:val="auto"/>
                <w:highlight w:val="none"/>
              </w:rPr>
              <w:fldChar w:fldCharType="separate"/>
            </w:r>
            <w:r>
              <w:rPr>
                <w:rFonts w:hint="eastAsia"/>
                <w:color w:val="auto"/>
                <w:szCs w:val="21"/>
                <w:highlight w:val="none"/>
              </w:rPr>
              <w:t>工业防护涂料中有害物质限量</w:t>
            </w:r>
            <w:r>
              <w:rPr>
                <w:rFonts w:hint="eastAsia"/>
                <w:color w:val="auto"/>
                <w:szCs w:val="21"/>
                <w:highlight w:val="none"/>
              </w:rPr>
              <w:fldChar w:fldCharType="end"/>
            </w:r>
            <w:r>
              <w:rPr>
                <w:rFonts w:hint="eastAsia"/>
                <w:color w:val="auto"/>
                <w:szCs w:val="21"/>
                <w:highlight w:val="none"/>
              </w:rPr>
              <w:t>》（GB 30981-2020 ）。</w:t>
            </w:r>
          </w:p>
          <w:p>
            <w:pPr>
              <w:adjustRightInd w:val="0"/>
              <w:snapToGrid w:val="0"/>
              <w:jc w:val="center"/>
              <w:rPr>
                <w:rFonts w:ascii="宋体" w:hAnsi="宋体" w:cs="宋体"/>
                <w:b/>
                <w:bCs/>
                <w:color w:val="auto"/>
                <w:szCs w:val="22"/>
                <w:highlight w:val="none"/>
                <w:lang w:bidi="en-US"/>
              </w:rPr>
            </w:pPr>
          </w:p>
          <w:p>
            <w:pPr>
              <w:spacing w:line="240" w:lineRule="auto"/>
              <w:jc w:val="center"/>
              <w:rPr>
                <w:rFonts w:hint="eastAsia" w:hAnsi="宋体" w:cs="宋体"/>
                <w:b/>
                <w:bCs/>
                <w:color w:val="auto"/>
                <w:sz w:val="24"/>
                <w:szCs w:val="24"/>
                <w:highlight w:val="none"/>
                <w:lang w:bidi="en-US"/>
              </w:rPr>
            </w:pPr>
            <w:r>
              <w:rPr>
                <w:rFonts w:hint="eastAsia" w:hAnsi="宋体" w:cs="宋体"/>
                <w:b/>
                <w:bCs/>
                <w:color w:val="auto"/>
                <w:sz w:val="24"/>
                <w:szCs w:val="24"/>
                <w:highlight w:val="none"/>
                <w:lang w:bidi="en-US"/>
              </w:rPr>
              <w:t>表2-5   部分原辅材料的理化性质表</w:t>
            </w:r>
          </w:p>
          <w:tbl>
            <w:tblPr>
              <w:tblStyle w:val="34"/>
              <w:tblW w:w="79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8"/>
              <w:gridCol w:w="659"/>
              <w:gridCol w:w="2383"/>
              <w:gridCol w:w="2499"/>
              <w:gridCol w:w="19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8" w:hRule="atLeast"/>
                <w:jc w:val="center"/>
              </w:trPr>
              <w:tc>
                <w:tcPr>
                  <w:tcW w:w="548"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名称</w:t>
                  </w:r>
                </w:p>
              </w:tc>
              <w:tc>
                <w:tcPr>
                  <w:tcW w:w="65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分子式</w:t>
                  </w:r>
                </w:p>
              </w:tc>
              <w:tc>
                <w:tcPr>
                  <w:tcW w:w="238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理化特性</w:t>
                  </w:r>
                </w:p>
              </w:tc>
              <w:tc>
                <w:tcPr>
                  <w:tcW w:w="249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燃烧爆炸性</w:t>
                  </w:r>
                </w:p>
              </w:tc>
              <w:tc>
                <w:tcPr>
                  <w:tcW w:w="190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z w:val="20"/>
                      <w:szCs w:val="20"/>
                      <w:highlight w:val="none"/>
                    </w:rPr>
                    <w:t>毒性毒理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jc w:val="center"/>
              </w:trPr>
              <w:tc>
                <w:tcPr>
                  <w:tcW w:w="548"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醇酸树脂</w:t>
                  </w:r>
                </w:p>
              </w:tc>
              <w:tc>
                <w:tcPr>
                  <w:tcW w:w="65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w:t>
                  </w:r>
                </w:p>
              </w:tc>
              <w:tc>
                <w:tcPr>
                  <w:tcW w:w="238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黄褐色粘稠液体</w:t>
                  </w:r>
                </w:p>
              </w:tc>
              <w:tc>
                <w:tcPr>
                  <w:tcW w:w="249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易燃。闪点23~61℃。遇</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"https://baike.so.com/doc/6194374-6407633.html" \t "https://baike.so.com/doc/_blank" </w:instrText>
                  </w:r>
                  <w:r>
                    <w:rPr>
                      <w:rFonts w:hint="default" w:ascii="Times New Roman" w:hAnsi="Times New Roman" w:eastAsia="宋体" w:cs="Times New Roman"/>
                      <w:color w:val="auto"/>
                      <w:sz w:val="20"/>
                      <w:szCs w:val="20"/>
                      <w:highlight w:val="none"/>
                    </w:rPr>
                    <w:fldChar w:fldCharType="separate"/>
                  </w:r>
                  <w:r>
                    <w:rPr>
                      <w:rFonts w:hint="default" w:ascii="Times New Roman" w:hAnsi="Times New Roman" w:eastAsia="宋体" w:cs="Times New Roman"/>
                      <w:color w:val="auto"/>
                      <w:spacing w:val="8"/>
                      <w:sz w:val="20"/>
                      <w:szCs w:val="20"/>
                      <w:highlight w:val="none"/>
                    </w:rPr>
                    <w:t>高温</w:t>
                  </w:r>
                  <w:r>
                    <w:rPr>
                      <w:rFonts w:hint="default" w:ascii="Times New Roman" w:hAnsi="Times New Roman" w:eastAsia="宋体" w:cs="Times New Roman"/>
                      <w:color w:val="auto"/>
                      <w:spacing w:val="8"/>
                      <w:sz w:val="20"/>
                      <w:szCs w:val="20"/>
                      <w:highlight w:val="none"/>
                    </w:rPr>
                    <w:fldChar w:fldCharType="end"/>
                  </w:r>
                  <w:r>
                    <w:rPr>
                      <w:rFonts w:hint="default" w:ascii="Times New Roman" w:hAnsi="Times New Roman" w:eastAsia="宋体" w:cs="Times New Roman"/>
                      <w:color w:val="auto"/>
                      <w:spacing w:val="8"/>
                      <w:sz w:val="20"/>
                      <w:szCs w:val="20"/>
                      <w:highlight w:val="none"/>
                    </w:rPr>
                    <w:t>、明火、氧化剂有引起燃烧危险</w:t>
                  </w:r>
                </w:p>
              </w:tc>
              <w:tc>
                <w:tcPr>
                  <w:tcW w:w="190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树脂的热解产物有毒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3" w:hRule="atLeast"/>
                <w:jc w:val="center"/>
              </w:trPr>
              <w:tc>
                <w:tcPr>
                  <w:tcW w:w="548"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bidi w:val="0"/>
                    <w:spacing w:line="240" w:lineRule="exact"/>
                    <w:jc w:val="center"/>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乙炔</w:t>
                  </w:r>
                </w:p>
              </w:tc>
              <w:tc>
                <w:tcPr>
                  <w:tcW w:w="659"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shd w:val="clear" w:color="auto" w:fill="FFFFFF"/>
                    </w:rPr>
                    <w:t>C</w:t>
                  </w:r>
                  <w:r>
                    <w:rPr>
                      <w:rFonts w:hint="default" w:ascii="Times New Roman" w:hAnsi="Times New Roman" w:eastAsia="宋体" w:cs="Times New Roman"/>
                      <w:color w:val="auto"/>
                      <w:sz w:val="20"/>
                      <w:szCs w:val="20"/>
                      <w:highlight w:val="none"/>
                      <w:shd w:val="clear" w:color="auto" w:fill="FFFFFF"/>
                      <w:vertAlign w:val="subscript"/>
                    </w:rPr>
                    <w:t>2</w:t>
                  </w:r>
                  <w:r>
                    <w:rPr>
                      <w:rFonts w:hint="default" w:ascii="Times New Roman" w:hAnsi="Times New Roman" w:eastAsia="宋体" w:cs="Times New Roman"/>
                      <w:color w:val="auto"/>
                      <w:sz w:val="20"/>
                      <w:szCs w:val="20"/>
                      <w:highlight w:val="none"/>
                      <w:shd w:val="clear" w:color="auto" w:fill="FFFFFF"/>
                    </w:rPr>
                    <w:t>H</w:t>
                  </w:r>
                  <w:r>
                    <w:rPr>
                      <w:rFonts w:hint="default" w:ascii="Times New Roman" w:hAnsi="Times New Roman" w:eastAsia="宋体" w:cs="Times New Roman"/>
                      <w:color w:val="auto"/>
                      <w:sz w:val="20"/>
                      <w:szCs w:val="20"/>
                      <w:highlight w:val="none"/>
                      <w:shd w:val="clear" w:color="auto" w:fill="FFFFFF"/>
                      <w:vertAlign w:val="subscript"/>
                    </w:rPr>
                    <w:t>2</w:t>
                  </w:r>
                </w:p>
              </w:tc>
              <w:tc>
                <w:tcPr>
                  <w:tcW w:w="2383" w:type="dxa"/>
                  <w:tcBorders>
                    <w:top w:val="single" w:color="auto" w:sz="2" w:space="0"/>
                    <w:left w:val="single" w:color="auto" w:sz="4" w:space="0"/>
                    <w:bottom w:val="single" w:color="auto" w:sz="2" w:space="0"/>
                    <w:right w:val="single" w:color="auto" w:sz="4" w:space="0"/>
                  </w:tcBorders>
                  <w:tcMar>
                    <w:left w:w="28" w:type="dxa"/>
                    <w:right w:w="28" w:type="dxa"/>
                  </w:tcMar>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z w:val="20"/>
                      <w:szCs w:val="20"/>
                      <w:highlight w:val="none"/>
                      <w:shd w:val="clear" w:color="auto" w:fill="FFFFFF"/>
                    </w:rPr>
                    <w:t>CAS登录号：74-86-2；无色无味气体，工业品有使人不愉快的大蒜气味</w:t>
                  </w:r>
                  <w:r>
                    <w:rPr>
                      <w:rFonts w:hint="default" w:ascii="Times New Roman" w:hAnsi="Times New Roman" w:eastAsia="宋体" w:cs="Times New Roman"/>
                      <w:color w:val="auto"/>
                      <w:spacing w:val="8"/>
                      <w:sz w:val="20"/>
                      <w:szCs w:val="20"/>
                      <w:highlight w:val="none"/>
                    </w:rPr>
                    <w:t>。熔点（℃）：</w:t>
                  </w:r>
                  <w:r>
                    <w:rPr>
                      <w:rFonts w:hint="default" w:ascii="Times New Roman" w:hAnsi="Times New Roman" w:eastAsia="宋体" w:cs="Times New Roman"/>
                      <w:color w:val="auto"/>
                      <w:sz w:val="20"/>
                      <w:szCs w:val="20"/>
                      <w:highlight w:val="none"/>
                      <w:shd w:val="clear" w:color="auto" w:fill="FFFFFF"/>
                    </w:rPr>
                    <w:t>-81.8℃（119kPa）</w:t>
                  </w:r>
                  <w:r>
                    <w:rPr>
                      <w:rFonts w:hint="eastAsia" w:cs="Times New Roman"/>
                      <w:color w:val="auto"/>
                      <w:spacing w:val="8"/>
                      <w:sz w:val="20"/>
                      <w:szCs w:val="20"/>
                      <w:highlight w:val="none"/>
                      <w:lang w:eastAsia="zh-CN"/>
                    </w:rPr>
                    <w:t>；</w:t>
                  </w:r>
                  <w:r>
                    <w:rPr>
                      <w:rFonts w:hint="default" w:ascii="Times New Roman" w:hAnsi="Times New Roman" w:eastAsia="宋体" w:cs="Times New Roman"/>
                      <w:color w:val="auto"/>
                      <w:spacing w:val="8"/>
                      <w:sz w:val="20"/>
                      <w:szCs w:val="20"/>
                      <w:highlight w:val="none"/>
                    </w:rPr>
                    <w:t>沸点（℃）：</w:t>
                  </w:r>
                  <w:r>
                    <w:rPr>
                      <w:rFonts w:hint="default" w:ascii="Times New Roman" w:hAnsi="Times New Roman" w:eastAsia="宋体" w:cs="Times New Roman"/>
                      <w:color w:val="auto"/>
                      <w:sz w:val="20"/>
                      <w:szCs w:val="20"/>
                      <w:highlight w:val="none"/>
                      <w:shd w:val="clear" w:color="auto" w:fill="FFFFFF"/>
                    </w:rPr>
                    <w:t>-83.8℃（升华）；相对密度（水=1）：0.62（-82℃）；相对分子质量：26.0373；溶解性：微溶于水，溶于乙醇，丙酮、氯仿、苯，混溶于乙醚；相对蒸气密度（空气=1）：0.91。</w:t>
                  </w:r>
                </w:p>
              </w:tc>
              <w:tc>
                <w:tcPr>
                  <w:tcW w:w="2499" w:type="dxa"/>
                  <w:tcBorders>
                    <w:top w:val="single" w:color="auto" w:sz="2" w:space="0"/>
                    <w:left w:val="single" w:color="auto" w:sz="4" w:space="0"/>
                    <w:bottom w:val="single" w:color="auto" w:sz="2" w:space="0"/>
                    <w:right w:val="single" w:color="auto" w:sz="4" w:space="0"/>
                  </w:tcBorders>
                  <w:tcMar>
                    <w:left w:w="28" w:type="dxa"/>
                    <w:right w:w="28" w:type="dxa"/>
                  </w:tcMar>
                  <w:vAlign w:val="center"/>
                </w:tcPr>
                <w:p>
                  <w:pPr>
                    <w:pStyle w:val="31"/>
                    <w:keepNext w:val="0"/>
                    <w:keepLines w:val="0"/>
                    <w:pageBreakBefore w:val="0"/>
                    <w:shd w:val="clear" w:color="auto" w:fill="FFFFFF"/>
                    <w:kinsoku/>
                    <w:wordWrap/>
                    <w:overflowPunct/>
                    <w:topLinePunct w:val="0"/>
                    <w:bidi w:val="0"/>
                    <w:spacing w:before="0" w:beforeAutospacing="0" w:after="225" w:afterAutospacing="0"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临界温度（℃）：</w:t>
                  </w:r>
                  <w:r>
                    <w:rPr>
                      <w:rFonts w:hint="default" w:ascii="Times New Roman" w:hAnsi="Times New Roman" w:eastAsia="宋体" w:cs="Times New Roman"/>
                      <w:color w:val="auto"/>
                      <w:sz w:val="20"/>
                      <w:szCs w:val="20"/>
                      <w:highlight w:val="none"/>
                      <w:shd w:val="clear" w:color="auto" w:fill="FFFFFF"/>
                    </w:rPr>
                    <w:t>35.2</w:t>
                  </w:r>
                  <w:r>
                    <w:rPr>
                      <w:rFonts w:hint="default" w:ascii="Times New Roman" w:hAnsi="Times New Roman" w:eastAsia="宋体" w:cs="Times New Roman"/>
                      <w:color w:val="auto"/>
                      <w:spacing w:val="8"/>
                      <w:sz w:val="20"/>
                      <w:szCs w:val="20"/>
                      <w:highlight w:val="none"/>
                    </w:rPr>
                    <w:t>；临界压力（MPa）：</w:t>
                  </w:r>
                  <w:r>
                    <w:rPr>
                      <w:rFonts w:hint="default" w:ascii="Times New Roman" w:hAnsi="Times New Roman" w:eastAsia="宋体" w:cs="Times New Roman"/>
                      <w:color w:val="auto"/>
                      <w:sz w:val="20"/>
                      <w:szCs w:val="20"/>
                      <w:highlight w:val="none"/>
                      <w:shd w:val="clear" w:color="auto" w:fill="FFFFFF"/>
                    </w:rPr>
                    <w:t>6.19</w:t>
                  </w:r>
                  <w:r>
                    <w:rPr>
                      <w:rFonts w:hint="eastAsia" w:ascii="Times New Roman" w:hAnsi="Times New Roman" w:cs="Times New Roman"/>
                      <w:color w:val="auto"/>
                      <w:spacing w:val="8"/>
                      <w:sz w:val="20"/>
                      <w:szCs w:val="20"/>
                      <w:highlight w:val="none"/>
                      <w:lang w:eastAsia="zh-CN"/>
                    </w:rPr>
                    <w:t>；</w:t>
                  </w:r>
                  <w:r>
                    <w:rPr>
                      <w:rFonts w:hint="default" w:ascii="Times New Roman" w:hAnsi="Times New Roman" w:eastAsia="宋体" w:cs="Times New Roman"/>
                      <w:color w:val="auto"/>
                      <w:spacing w:val="8"/>
                      <w:sz w:val="20"/>
                      <w:szCs w:val="20"/>
                      <w:highlight w:val="none"/>
                    </w:rPr>
                    <w:t>闪点（℃）：</w:t>
                  </w:r>
                  <w:r>
                    <w:rPr>
                      <w:rFonts w:hint="default" w:ascii="Times New Roman" w:hAnsi="Times New Roman" w:eastAsia="宋体" w:cs="Times New Roman"/>
                      <w:color w:val="auto"/>
                      <w:sz w:val="20"/>
                      <w:szCs w:val="20"/>
                      <w:highlight w:val="none"/>
                      <w:shd w:val="clear" w:color="auto" w:fill="FFFFFF"/>
                    </w:rPr>
                    <w:t>-17.7（CC）</w:t>
                  </w:r>
                  <w:r>
                    <w:rPr>
                      <w:rFonts w:hint="default" w:ascii="Times New Roman" w:hAnsi="Times New Roman" w:eastAsia="宋体" w:cs="Times New Roman"/>
                      <w:color w:val="auto"/>
                      <w:spacing w:val="8"/>
                      <w:sz w:val="20"/>
                      <w:szCs w:val="20"/>
                      <w:highlight w:val="none"/>
                    </w:rPr>
                    <w:t>；引燃温度（℃）：</w:t>
                  </w:r>
                  <w:r>
                    <w:rPr>
                      <w:rFonts w:hint="default" w:ascii="Times New Roman" w:hAnsi="Times New Roman" w:eastAsia="宋体" w:cs="Times New Roman"/>
                      <w:color w:val="auto"/>
                      <w:sz w:val="20"/>
                      <w:szCs w:val="20"/>
                      <w:highlight w:val="none"/>
                      <w:shd w:val="clear" w:color="auto" w:fill="FFFFFF"/>
                    </w:rPr>
                    <w:t>305</w:t>
                  </w:r>
                  <w:r>
                    <w:rPr>
                      <w:rFonts w:hint="default" w:ascii="Times New Roman" w:hAnsi="Times New Roman" w:eastAsia="宋体" w:cs="Times New Roman"/>
                      <w:color w:val="auto"/>
                      <w:spacing w:val="8"/>
                      <w:sz w:val="20"/>
                      <w:szCs w:val="20"/>
                      <w:highlight w:val="none"/>
                    </w:rPr>
                    <w:t>；爆炸上限（%）：</w:t>
                  </w:r>
                  <w:r>
                    <w:rPr>
                      <w:rFonts w:hint="default" w:ascii="Times New Roman" w:hAnsi="Times New Roman" w:eastAsia="宋体" w:cs="Times New Roman"/>
                      <w:color w:val="auto"/>
                      <w:sz w:val="20"/>
                      <w:szCs w:val="20"/>
                      <w:highlight w:val="none"/>
                      <w:shd w:val="clear" w:color="auto" w:fill="FFFFFF"/>
                    </w:rPr>
                    <w:t>82</w:t>
                  </w:r>
                  <w:r>
                    <w:rPr>
                      <w:rFonts w:hint="default" w:ascii="Times New Roman" w:hAnsi="Times New Roman" w:eastAsia="宋体" w:cs="Times New Roman"/>
                      <w:color w:val="auto"/>
                      <w:spacing w:val="8"/>
                      <w:sz w:val="20"/>
                      <w:szCs w:val="20"/>
                      <w:highlight w:val="none"/>
                    </w:rPr>
                    <w:t>；爆炸下限（%）：2.5；</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"https://baike.so.com/doc/3459554-3640198.html" \t "https://baike.so.com/doc/_blank" </w:instrText>
                  </w:r>
                  <w:r>
                    <w:rPr>
                      <w:rFonts w:hint="default" w:ascii="Times New Roman" w:hAnsi="Times New Roman" w:eastAsia="宋体" w:cs="Times New Roman"/>
                      <w:color w:val="auto"/>
                      <w:sz w:val="20"/>
                      <w:szCs w:val="20"/>
                      <w:highlight w:val="none"/>
                    </w:rPr>
                    <w:fldChar w:fldCharType="separate"/>
                  </w:r>
                  <w:r>
                    <w:rPr>
                      <w:rStyle w:val="40"/>
                      <w:rFonts w:hint="default" w:ascii="Times New Roman" w:hAnsi="Times New Roman" w:eastAsia="宋体" w:cs="Times New Roman"/>
                      <w:color w:val="auto"/>
                      <w:sz w:val="20"/>
                      <w:szCs w:val="20"/>
                      <w:highlight w:val="none"/>
                      <w:shd w:val="clear" w:color="auto" w:fill="FFFFFF"/>
                    </w:rPr>
                    <w:t>饱和蒸气压</w:t>
                  </w:r>
                  <w:r>
                    <w:rPr>
                      <w:rStyle w:val="40"/>
                      <w:rFonts w:hint="default" w:ascii="Times New Roman" w:hAnsi="Times New Roman" w:eastAsia="宋体" w:cs="Times New Roman"/>
                      <w:color w:val="auto"/>
                      <w:sz w:val="20"/>
                      <w:szCs w:val="20"/>
                      <w:highlight w:val="none"/>
                      <w:shd w:val="clear" w:color="auto" w:fill="FFFFFF"/>
                    </w:rPr>
                    <w:fldChar w:fldCharType="end"/>
                  </w:r>
                  <w:r>
                    <w:rPr>
                      <w:rFonts w:hint="default" w:ascii="Times New Roman" w:hAnsi="Times New Roman" w:eastAsia="宋体" w:cs="Times New Roman"/>
                      <w:color w:val="auto"/>
                      <w:sz w:val="20"/>
                      <w:szCs w:val="20"/>
                      <w:highlight w:val="none"/>
                      <w:shd w:val="clear" w:color="auto" w:fill="FFFFFF"/>
                    </w:rPr>
                    <w:t>(kPa)</w:t>
                  </w:r>
                  <w:r>
                    <w:rPr>
                      <w:rFonts w:hint="eastAsia" w:ascii="Times New Roman" w:hAnsi="Times New Roman" w:cs="Times New Roman"/>
                      <w:color w:val="auto"/>
                      <w:sz w:val="20"/>
                      <w:szCs w:val="20"/>
                      <w:highlight w:val="none"/>
                      <w:shd w:val="clear" w:color="auto" w:fill="FFFFFF"/>
                      <w:lang w:eastAsia="zh-CN"/>
                    </w:rPr>
                    <w:t>：</w:t>
                  </w:r>
                  <w:r>
                    <w:rPr>
                      <w:rFonts w:hint="default" w:ascii="Times New Roman" w:hAnsi="Times New Roman" w:eastAsia="宋体" w:cs="Times New Roman"/>
                      <w:color w:val="auto"/>
                      <w:sz w:val="20"/>
                      <w:szCs w:val="20"/>
                      <w:highlight w:val="none"/>
                      <w:shd w:val="clear" w:color="auto" w:fill="FFFFFF"/>
                    </w:rPr>
                    <w:t xml:space="preserve"> 4460（20℃）；</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"https://baike.so.com/doc/3746956-3936484.html" \t "https://baike.so.com/doc/_blank" </w:instrText>
                  </w:r>
                  <w:r>
                    <w:rPr>
                      <w:rFonts w:hint="default" w:ascii="Times New Roman" w:hAnsi="Times New Roman" w:eastAsia="宋体" w:cs="Times New Roman"/>
                      <w:color w:val="auto"/>
                      <w:sz w:val="20"/>
                      <w:szCs w:val="20"/>
                      <w:highlight w:val="none"/>
                    </w:rPr>
                    <w:fldChar w:fldCharType="separate"/>
                  </w:r>
                  <w:r>
                    <w:rPr>
                      <w:rStyle w:val="40"/>
                      <w:rFonts w:hint="default" w:ascii="Times New Roman" w:hAnsi="Times New Roman" w:eastAsia="宋体" w:cs="Times New Roman"/>
                      <w:color w:val="auto"/>
                      <w:sz w:val="20"/>
                      <w:szCs w:val="20"/>
                      <w:highlight w:val="none"/>
                      <w:shd w:val="clear" w:color="auto" w:fill="FFFFFF"/>
                    </w:rPr>
                    <w:t>燃烧热</w:t>
                  </w:r>
                  <w:r>
                    <w:rPr>
                      <w:rStyle w:val="40"/>
                      <w:rFonts w:hint="default" w:ascii="Times New Roman" w:hAnsi="Times New Roman" w:eastAsia="宋体" w:cs="Times New Roman"/>
                      <w:color w:val="auto"/>
                      <w:sz w:val="20"/>
                      <w:szCs w:val="20"/>
                      <w:highlight w:val="none"/>
                      <w:shd w:val="clear" w:color="auto" w:fill="FFFFFF"/>
                    </w:rPr>
                    <w:fldChar w:fldCharType="end"/>
                  </w:r>
                  <w:r>
                    <w:rPr>
                      <w:rFonts w:hint="default" w:ascii="Times New Roman" w:hAnsi="Times New Roman" w:eastAsia="宋体" w:cs="Times New Roman"/>
                      <w:color w:val="auto"/>
                      <w:sz w:val="20"/>
                      <w:szCs w:val="20"/>
                      <w:highlight w:val="none"/>
                      <w:shd w:val="clear" w:color="auto" w:fill="FFFFFF"/>
                    </w:rPr>
                    <w:t>(kJ/mol)</w:t>
                  </w:r>
                  <w:r>
                    <w:rPr>
                      <w:rFonts w:hint="eastAsia" w:ascii="Times New Roman" w:hAnsi="Times New Roman" w:cs="Times New Roman"/>
                      <w:color w:val="auto"/>
                      <w:sz w:val="20"/>
                      <w:szCs w:val="20"/>
                      <w:highlight w:val="none"/>
                      <w:shd w:val="clear" w:color="auto" w:fill="FFFFFF"/>
                      <w:lang w:eastAsia="zh-CN"/>
                    </w:rPr>
                    <w:t>：</w:t>
                  </w:r>
                  <w:r>
                    <w:rPr>
                      <w:rFonts w:hint="default" w:ascii="Times New Roman" w:hAnsi="Times New Roman" w:eastAsia="宋体" w:cs="Times New Roman"/>
                      <w:color w:val="auto"/>
                      <w:sz w:val="20"/>
                      <w:szCs w:val="20"/>
                      <w:highlight w:val="none"/>
                      <w:shd w:val="clear" w:color="auto" w:fill="FFFFFF"/>
                    </w:rPr>
                    <w:t xml:space="preserve"> -1298.4</w:t>
                  </w:r>
                  <w:r>
                    <w:rPr>
                      <w:rFonts w:hint="default" w:ascii="Times New Roman" w:hAnsi="Times New Roman" w:eastAsia="宋体" w:cs="Times New Roman"/>
                      <w:color w:val="auto"/>
                      <w:spacing w:val="8"/>
                      <w:sz w:val="20"/>
                      <w:szCs w:val="20"/>
                      <w:highlight w:val="none"/>
                    </w:rPr>
                    <w:t>。</w:t>
                  </w:r>
                </w:p>
              </w:tc>
              <w:tc>
                <w:tcPr>
                  <w:tcW w:w="1909"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pStyle w:val="31"/>
                    <w:keepNext w:val="0"/>
                    <w:keepLines w:val="0"/>
                    <w:pageBreakBefore w:val="0"/>
                    <w:shd w:val="clear" w:color="auto" w:fill="FFFFFF"/>
                    <w:kinsoku/>
                    <w:wordWrap/>
                    <w:overflowPunct/>
                    <w:topLinePunct w:val="0"/>
                    <w:bidi w:val="0"/>
                    <w:spacing w:before="0" w:beforeAutospacing="0" w:after="225" w:afterAutospacing="0" w:line="240" w:lineRule="exact"/>
                    <w:jc w:val="center"/>
                    <w:textAlignment w:val="auto"/>
                    <w:rPr>
                      <w:rFonts w:hint="default" w:ascii="Times New Roman" w:hAnsi="Times New Roman" w:eastAsia="宋体" w:cs="Times New Roman"/>
                      <w:color w:val="auto"/>
                      <w:spacing w:val="8"/>
                      <w:sz w:val="20"/>
                      <w:szCs w:val="20"/>
                      <w:highlight w:val="none"/>
                    </w:rPr>
                  </w:pPr>
                  <w:r>
                    <w:rPr>
                      <w:rFonts w:hint="default" w:ascii="Times New Roman" w:hAnsi="Times New Roman" w:eastAsia="宋体" w:cs="Times New Roman"/>
                      <w:color w:val="auto"/>
                      <w:spacing w:val="8"/>
                      <w:sz w:val="20"/>
                      <w:szCs w:val="20"/>
                      <w:highlight w:val="none"/>
                    </w:rPr>
                    <w:t>1.急性毒性 暂无资料；2.刺激性 暂无资料；3.亚急性与慢性毒性[16] 动物长期吸入非致死性浓度本品，出现血红蛋白、网织细胞、淋巴细胞增加和</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"https://baike.so.com/doc/5375426-5611505.html" \t "https://baike.so.com/doc/_blank" </w:instrText>
                  </w:r>
                  <w:r>
                    <w:rPr>
                      <w:rFonts w:hint="default" w:ascii="Times New Roman" w:hAnsi="Times New Roman" w:eastAsia="宋体" w:cs="Times New Roman"/>
                      <w:color w:val="auto"/>
                      <w:sz w:val="20"/>
                      <w:szCs w:val="20"/>
                      <w:highlight w:val="none"/>
                    </w:rPr>
                    <w:fldChar w:fldCharType="separate"/>
                  </w:r>
                  <w:r>
                    <w:rPr>
                      <w:rFonts w:hint="default" w:ascii="Times New Roman" w:hAnsi="Times New Roman" w:eastAsia="宋体" w:cs="Times New Roman"/>
                      <w:color w:val="auto"/>
                      <w:spacing w:val="8"/>
                      <w:sz w:val="20"/>
                      <w:szCs w:val="20"/>
                      <w:highlight w:val="none"/>
                    </w:rPr>
                    <w:t>中性粒细胞</w:t>
                  </w:r>
                  <w:r>
                    <w:rPr>
                      <w:rFonts w:hint="default" w:ascii="Times New Roman" w:hAnsi="Times New Roman" w:eastAsia="宋体" w:cs="Times New Roman"/>
                      <w:color w:val="auto"/>
                      <w:spacing w:val="8"/>
                      <w:sz w:val="20"/>
                      <w:szCs w:val="20"/>
                      <w:highlight w:val="none"/>
                    </w:rPr>
                    <w:fldChar w:fldCharType="end"/>
                  </w:r>
                  <w:r>
                    <w:rPr>
                      <w:rFonts w:hint="default" w:ascii="Times New Roman" w:hAnsi="Times New Roman" w:eastAsia="宋体" w:cs="Times New Roman"/>
                      <w:color w:val="auto"/>
                      <w:spacing w:val="8"/>
                      <w:sz w:val="20"/>
                      <w:szCs w:val="20"/>
                      <w:highlight w:val="none"/>
                    </w:rPr>
                    <w:t>减少。尸检有支气管炎、肺炎、</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"https://baike.so.com/doc/5381036-5617337.html" \t "https://baike.so.com/doc/_blank" </w:instrText>
                  </w:r>
                  <w:r>
                    <w:rPr>
                      <w:rFonts w:hint="default" w:ascii="Times New Roman" w:hAnsi="Times New Roman" w:eastAsia="宋体" w:cs="Times New Roman"/>
                      <w:color w:val="auto"/>
                      <w:sz w:val="20"/>
                      <w:szCs w:val="20"/>
                      <w:highlight w:val="none"/>
                    </w:rPr>
                    <w:fldChar w:fldCharType="separate"/>
                  </w:r>
                  <w:r>
                    <w:rPr>
                      <w:rFonts w:hint="default" w:ascii="Times New Roman" w:hAnsi="Times New Roman" w:eastAsia="宋体" w:cs="Times New Roman"/>
                      <w:color w:val="auto"/>
                      <w:spacing w:val="8"/>
                      <w:sz w:val="20"/>
                      <w:szCs w:val="20"/>
                      <w:highlight w:val="none"/>
                    </w:rPr>
                    <w:t>肺水肿</w:t>
                  </w:r>
                  <w:r>
                    <w:rPr>
                      <w:rFonts w:hint="default" w:ascii="Times New Roman" w:hAnsi="Times New Roman" w:eastAsia="宋体" w:cs="Times New Roman"/>
                      <w:color w:val="auto"/>
                      <w:spacing w:val="8"/>
                      <w:sz w:val="20"/>
                      <w:szCs w:val="20"/>
                      <w:highlight w:val="none"/>
                    </w:rPr>
                    <w:fldChar w:fldCharType="end"/>
                  </w:r>
                  <w:r>
                    <w:rPr>
                      <w:rFonts w:hint="default" w:ascii="Times New Roman" w:hAnsi="Times New Roman" w:eastAsia="宋体" w:cs="Times New Roman"/>
                      <w:color w:val="auto"/>
                      <w:spacing w:val="8"/>
                      <w:sz w:val="20"/>
                      <w:szCs w:val="20"/>
                      <w:highlight w:val="none"/>
                    </w:rPr>
                    <w:t>、肝充血和脂肪浸润。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548"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bidi w:val="0"/>
                    <w:adjustRightInd w:val="0"/>
                    <w:snapToGrid w:val="0"/>
                    <w:spacing w:line="240" w:lineRule="exact"/>
                    <w:jc w:val="center"/>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氧气</w:t>
                  </w:r>
                </w:p>
              </w:tc>
              <w:tc>
                <w:tcPr>
                  <w:tcW w:w="7450" w:type="dxa"/>
                  <w:gridSpan w:val="4"/>
                  <w:tcBorders>
                    <w:top w:val="single" w:color="auto" w:sz="2" w:space="0"/>
                    <w:left w:val="single" w:color="auto" w:sz="2" w:space="0"/>
                    <w:bottom w:val="single" w:color="auto" w:sz="2" w:space="0"/>
                    <w:right w:val="single" w:color="auto" w:sz="2" w:space="0"/>
                  </w:tcBorders>
                  <w:tcMar>
                    <w:left w:w="28" w:type="dxa"/>
                    <w:right w:w="28" w:type="dxa"/>
                  </w:tcMar>
                  <w:vAlign w:val="center"/>
                </w:tcPr>
                <w:p>
                  <w:pPr>
                    <w:keepNext w:val="0"/>
                    <w:keepLines w:val="0"/>
                    <w:pageBreakBefore w:val="0"/>
                    <w:kinsoku/>
                    <w:wordWrap/>
                    <w:overflowPunct/>
                    <w:topLinePunct w:val="0"/>
                    <w:autoSpaceDE w:val="0"/>
                    <w:bidi w:val="0"/>
                    <w:adjustRightInd w:val="0"/>
                    <w:snapToGrid w:val="0"/>
                    <w:spacing w:line="240" w:lineRule="exact"/>
                    <w:jc w:val="left"/>
                    <w:textAlignment w:val="auto"/>
                    <w:rPr>
                      <w:rFonts w:hint="default" w:ascii="Times New Roman" w:hAnsi="Times New Roman" w:eastAsia="宋体" w:cs="Times New Roman"/>
                      <w:color w:val="auto"/>
                      <w:sz w:val="20"/>
                      <w:szCs w:val="20"/>
                      <w:highlight w:val="none"/>
                      <w:shd w:val="clear" w:color="auto" w:fill="FFFFFF"/>
                    </w:rPr>
                  </w:pPr>
                  <w:r>
                    <w:rPr>
                      <w:rFonts w:hint="default" w:ascii="Times New Roman" w:hAnsi="Times New Roman" w:eastAsia="宋体" w:cs="Times New Roman"/>
                      <w:color w:val="auto"/>
                      <w:sz w:val="20"/>
                      <w:szCs w:val="20"/>
                      <w:highlight w:val="none"/>
                      <w:shd w:val="clear" w:color="auto" w:fill="FFFFFF"/>
                    </w:rPr>
                    <w:t>化学式O₂，相对分子质量32.00，无色无味气体，氧元素最常见的单质形态。熔点-218.4℃，沸点-183℃。不易溶于水，1L水中溶解约30mL氧气。在空气中氧气约占21% 。</w:t>
                  </w:r>
                </w:p>
              </w:tc>
            </w:tr>
          </w:tbl>
          <w:p>
            <w:pPr>
              <w:pStyle w:val="2"/>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根据本项目使用的酸醇调和漆的的成分检测报告，本项目使用的</w:t>
            </w:r>
            <w:r>
              <w:rPr>
                <w:rFonts w:hint="eastAsia" w:ascii="Times New Roman" w:cs="Times New Roman"/>
                <w:color w:val="auto"/>
                <w:sz w:val="24"/>
                <w:szCs w:val="24"/>
                <w:highlight w:val="none"/>
                <w:lang w:val="en-US" w:eastAsia="zh-CN"/>
              </w:rPr>
              <w:t>四种涂料</w:t>
            </w:r>
            <w:r>
              <w:rPr>
                <w:rFonts w:hint="default" w:ascii="Times New Roman" w:hAnsi="Times New Roman" w:cs="Times New Roman"/>
                <w:color w:val="auto"/>
                <w:sz w:val="24"/>
                <w:szCs w:val="24"/>
                <w:highlight w:val="none"/>
              </w:rPr>
              <w:t>挥发性有机化合物（VOC）含量</w:t>
            </w:r>
            <w:r>
              <w:rPr>
                <w:rFonts w:hint="eastAsia" w:ascii="Times New Roman" w:cs="Times New Roman"/>
                <w:color w:val="auto"/>
                <w:sz w:val="24"/>
                <w:szCs w:val="24"/>
                <w:highlight w:val="none"/>
                <w:lang w:val="en-US" w:eastAsia="zh-CN"/>
              </w:rPr>
              <w:t>最高的是</w:t>
            </w:r>
            <w:r>
              <w:rPr>
                <w:rFonts w:hint="default" w:ascii="Times New Roman" w:hAnsi="Times New Roman" w:cs="Times New Roman"/>
                <w:color w:val="auto"/>
                <w:sz w:val="24"/>
                <w:szCs w:val="24"/>
                <w:highlight w:val="none"/>
              </w:rPr>
              <w:t>酸醇调和漆</w:t>
            </w: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478g/L，低于2019年2月原淮北市环境保护局发布的《VOCs环境整治专项行动方案》中工程机械涂料水性漆即用状态下VOCs含量低于550克/升的要求，同时满足《工业防护涂料中有害物质限量》（GB30981-2020）[表2中机械设备涂料、工程机械和农业机械涂料（含零部件涂料)、面漆]（面漆：≤550g/L）、《低挥发性有机化合物含量涂料产品技术要求》（GB/T38597-2020）[表2中工业防护涂料、机械设备涂料、工程机械和农业机械涂料（含零部件涂料)、面漆、单组分]（面漆、单组分：≤480g/L）的要求。</w:t>
            </w:r>
          </w:p>
          <w:p>
            <w:pPr>
              <w:pStyle w:val="2"/>
              <w:spacing w:line="360" w:lineRule="auto"/>
              <w:rPr>
                <w:rFonts w:hint="eastAsia" w:ascii="Times New Roman"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5、主要生产设备</w:t>
            </w:r>
          </w:p>
          <w:p>
            <w:pPr>
              <w:pStyle w:val="2"/>
              <w:spacing w:line="360" w:lineRule="auto"/>
              <w:ind w:firstLine="480" w:firstLineChars="200"/>
              <w:rPr>
                <w:rFonts w:hAnsi="宋体"/>
                <w:b/>
                <w:bCs/>
                <w:color w:val="auto"/>
                <w:sz w:val="24"/>
                <w:szCs w:val="24"/>
                <w:highlight w:val="none"/>
                <w:lang w:bidi="en-US"/>
              </w:rPr>
            </w:pPr>
            <w:r>
              <w:rPr>
                <w:rFonts w:hint="eastAsia"/>
                <w:color w:val="auto"/>
                <w:sz w:val="24"/>
                <w:szCs w:val="24"/>
                <w:highlight w:val="none"/>
              </w:rPr>
              <w:t>主要生产设备详见下表。</w:t>
            </w:r>
          </w:p>
          <w:p>
            <w:pPr>
              <w:spacing w:line="240" w:lineRule="auto"/>
              <w:jc w:val="center"/>
              <w:rPr>
                <w:rFonts w:hint="default" w:ascii="Times New Roman" w:hAnsi="Times New Roman" w:eastAsia="宋体" w:cs="Times New Roman"/>
                <w:color w:val="auto"/>
                <w:sz w:val="21"/>
                <w:szCs w:val="21"/>
                <w:highlight w:val="none"/>
              </w:rPr>
            </w:pPr>
            <w:r>
              <w:rPr>
                <w:rFonts w:hint="eastAsia" w:hAnsi="宋体" w:cs="宋体"/>
                <w:b/>
                <w:bCs/>
                <w:color w:val="auto"/>
                <w:sz w:val="24"/>
                <w:szCs w:val="24"/>
                <w:highlight w:val="none"/>
                <w:lang w:bidi="en-US"/>
              </w:rPr>
              <w:t>表2-6  主要生产设备清单表</w:t>
            </w:r>
          </w:p>
          <w:tbl>
            <w:tblPr>
              <w:tblStyle w:val="34"/>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56"/>
              <w:gridCol w:w="1672"/>
              <w:gridCol w:w="1908"/>
              <w:gridCol w:w="106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6" w:type="dxa"/>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256" w:type="dxa"/>
                  <w:noWrap w:val="0"/>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生产工段</w:t>
                  </w:r>
                </w:p>
              </w:tc>
              <w:tc>
                <w:tcPr>
                  <w:tcW w:w="1672" w:type="dxa"/>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1908" w:type="dxa"/>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规格/型号</w:t>
                  </w:r>
                </w:p>
              </w:tc>
              <w:tc>
                <w:tcPr>
                  <w:tcW w:w="1065" w:type="dxa"/>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数量（台）</w:t>
                  </w:r>
                </w:p>
              </w:tc>
              <w:tc>
                <w:tcPr>
                  <w:tcW w:w="1520" w:type="dxa"/>
                  <w:noWrap w:val="0"/>
                  <w:vAlign w:val="center"/>
                </w:tcPr>
                <w:p>
                  <w:pPr>
                    <w:spacing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56"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下料</w:t>
                  </w: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卷板机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WB11-12</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卷管机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WII-20</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剪板机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QB11</w:t>
                  </w:r>
                </w:p>
              </w:tc>
              <w:tc>
                <w:tcPr>
                  <w:tcW w:w="1065"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6台</w:t>
                  </w:r>
                </w:p>
              </w:tc>
              <w:tc>
                <w:tcPr>
                  <w:tcW w:w="1520"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折边机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0"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切割机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0"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切割方式</w:t>
                  </w:r>
                  <w:r>
                    <w:rPr>
                      <w:rFonts w:hint="eastAsia" w:cs="Times New Roman"/>
                      <w:color w:val="auto"/>
                      <w:sz w:val="21"/>
                      <w:szCs w:val="21"/>
                      <w:highlight w:val="none"/>
                      <w:lang w:val="en-US" w:eastAsia="zh-CN"/>
                    </w:rPr>
                    <w:t>均为</w:t>
                  </w:r>
                  <w:r>
                    <w:rPr>
                      <w:rFonts w:hint="default" w:ascii="Times New Roman" w:hAnsi="Times New Roman" w:eastAsia="宋体" w:cs="Times New Roman"/>
                      <w:color w:val="auto"/>
                      <w:sz w:val="21"/>
                      <w:szCs w:val="21"/>
                      <w:highlight w:val="none"/>
                    </w:rPr>
                    <w:t>火焰切割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数控</w:t>
                  </w:r>
                  <w:r>
                    <w:rPr>
                      <w:rFonts w:hint="default" w:ascii="Times New Roman" w:hAnsi="Times New Roman" w:eastAsia="宋体" w:cs="Times New Roman"/>
                      <w:color w:val="auto"/>
                      <w:kern w:val="0"/>
                      <w:sz w:val="21"/>
                      <w:szCs w:val="21"/>
                      <w:highlight w:val="none"/>
                      <w:lang w:eastAsia="zh-CN"/>
                    </w:rPr>
                    <w:t>全自动切割机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配备火焰</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等离子两种切割方式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1256"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机加工</w:t>
                  </w: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钻床</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I3063120</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6台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6" w:type="dxa"/>
                  <w:vMerge w:val="restar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锯床</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GB4028</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0"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6" w:type="dxa"/>
                  <w:vMerge w:val="continue"/>
                  <w:noWrap w:val="0"/>
                  <w:vAlign w:val="center"/>
                </w:tcPr>
                <w:p>
                  <w:pPr>
                    <w:spacing w:line="240" w:lineRule="auto"/>
                    <w:jc w:val="center"/>
                    <w:rPr>
                      <w:color w:val="auto"/>
                      <w:highlight w:val="none"/>
                    </w:rPr>
                  </w:pPr>
                </w:p>
              </w:tc>
              <w:tc>
                <w:tcPr>
                  <w:tcW w:w="1256" w:type="dxa"/>
                  <w:vMerge w:val="continue"/>
                  <w:noWrap w:val="0"/>
                  <w:vAlign w:val="center"/>
                </w:tcPr>
                <w:p>
                  <w:pPr>
                    <w:spacing w:line="240" w:lineRule="auto"/>
                    <w:jc w:val="center"/>
                    <w:rPr>
                      <w:color w:val="auto"/>
                      <w:highlight w:val="none"/>
                    </w:rPr>
                  </w:pPr>
                </w:p>
              </w:tc>
              <w:tc>
                <w:tcPr>
                  <w:tcW w:w="1672" w:type="dxa"/>
                  <w:vMerge w:val="continue"/>
                  <w:noWrap w:val="0"/>
                  <w:vAlign w:val="center"/>
                </w:tcPr>
                <w:p>
                  <w:pPr>
                    <w:spacing w:line="240" w:lineRule="auto"/>
                    <w:jc w:val="center"/>
                    <w:rPr>
                      <w:color w:val="auto"/>
                      <w:highlight w:val="none"/>
                    </w:rPr>
                  </w:pP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G4240160</w:t>
                  </w:r>
                </w:p>
              </w:tc>
              <w:tc>
                <w:tcPr>
                  <w:tcW w:w="1065"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2台</w:t>
                  </w:r>
                </w:p>
              </w:tc>
              <w:tc>
                <w:tcPr>
                  <w:tcW w:w="1520" w:type="dxa"/>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76"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车床</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CA6150BI1500</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76" w:type="dxa"/>
                  <w:vMerge w:val="continue"/>
                  <w:noWrap w:val="0"/>
                  <w:vAlign w:val="center"/>
                </w:tcPr>
                <w:p>
                  <w:pPr>
                    <w:spacing w:line="240" w:lineRule="auto"/>
                    <w:jc w:val="center"/>
                    <w:rPr>
                      <w:color w:val="auto"/>
                      <w:highlight w:val="none"/>
                    </w:rPr>
                  </w:pPr>
                </w:p>
              </w:tc>
              <w:tc>
                <w:tcPr>
                  <w:tcW w:w="1256" w:type="dxa"/>
                  <w:vMerge w:val="continue"/>
                  <w:noWrap w:val="0"/>
                  <w:vAlign w:val="center"/>
                </w:tcPr>
                <w:p>
                  <w:pPr>
                    <w:spacing w:line="240" w:lineRule="auto"/>
                    <w:jc w:val="center"/>
                    <w:rPr>
                      <w:color w:val="auto"/>
                      <w:highlight w:val="none"/>
                    </w:rPr>
                  </w:pPr>
                </w:p>
              </w:tc>
              <w:tc>
                <w:tcPr>
                  <w:tcW w:w="1672" w:type="dxa"/>
                  <w:vMerge w:val="continue"/>
                  <w:noWrap w:val="0"/>
                  <w:vAlign w:val="center"/>
                </w:tcPr>
                <w:p>
                  <w:pPr>
                    <w:spacing w:line="240" w:lineRule="auto"/>
                    <w:jc w:val="center"/>
                    <w:rPr>
                      <w:color w:val="auto"/>
                      <w:highlight w:val="none"/>
                    </w:rPr>
                  </w:pP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CA6140/1500</w:t>
                  </w:r>
                </w:p>
              </w:tc>
              <w:tc>
                <w:tcPr>
                  <w:tcW w:w="1065"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台</w:t>
                  </w:r>
                </w:p>
              </w:tc>
              <w:tc>
                <w:tcPr>
                  <w:tcW w:w="1520"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76" w:type="dxa"/>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256" w:type="dxa"/>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672" w:type="dxa"/>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CW6263/4.5M</w:t>
                  </w:r>
                </w:p>
              </w:tc>
              <w:tc>
                <w:tcPr>
                  <w:tcW w:w="1065"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rPr>
                    <w:t>台</w:t>
                  </w:r>
                </w:p>
              </w:tc>
              <w:tc>
                <w:tcPr>
                  <w:tcW w:w="1520"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76"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车床</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CW6163BI3000</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76" w:type="dxa"/>
                  <w:vMerge w:val="continue"/>
                  <w:noWrap w:val="0"/>
                  <w:vAlign w:val="center"/>
                </w:tcPr>
                <w:p>
                  <w:pPr>
                    <w:spacing w:line="240" w:lineRule="auto"/>
                    <w:jc w:val="center"/>
                    <w:rPr>
                      <w:color w:val="auto"/>
                      <w:highlight w:val="none"/>
                    </w:rPr>
                  </w:pPr>
                </w:p>
              </w:tc>
              <w:tc>
                <w:tcPr>
                  <w:tcW w:w="1256" w:type="dxa"/>
                  <w:vMerge w:val="continue"/>
                  <w:noWrap w:val="0"/>
                  <w:vAlign w:val="center"/>
                </w:tcPr>
                <w:p>
                  <w:pPr>
                    <w:spacing w:line="240" w:lineRule="auto"/>
                    <w:jc w:val="center"/>
                    <w:rPr>
                      <w:color w:val="auto"/>
                      <w:highlight w:val="none"/>
                    </w:rPr>
                  </w:pPr>
                </w:p>
              </w:tc>
              <w:tc>
                <w:tcPr>
                  <w:tcW w:w="1672" w:type="dxa"/>
                  <w:vMerge w:val="continue"/>
                  <w:noWrap w:val="0"/>
                  <w:vAlign w:val="center"/>
                </w:tcPr>
                <w:p>
                  <w:pPr>
                    <w:spacing w:line="240" w:lineRule="auto"/>
                    <w:jc w:val="center"/>
                    <w:rPr>
                      <w:color w:val="auto"/>
                      <w:highlight w:val="none"/>
                    </w:rPr>
                  </w:pP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CW61125BI3000</w:t>
                  </w:r>
                </w:p>
              </w:tc>
              <w:tc>
                <w:tcPr>
                  <w:tcW w:w="1065"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2台</w:t>
                  </w:r>
                </w:p>
              </w:tc>
              <w:tc>
                <w:tcPr>
                  <w:tcW w:w="1520"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刨床</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3台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铣床</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3台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256"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焊接</w:t>
                  </w: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电焊机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30台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256"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抛丸</w:t>
                  </w: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抛丸设备</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256"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组装</w:t>
                  </w: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油压机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YH41-100</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行车</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单梁起重机LD型</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7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25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672"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空压机</w:t>
                  </w:r>
                </w:p>
              </w:tc>
              <w:tc>
                <w:tcPr>
                  <w:tcW w:w="1908"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1.0</w:t>
                  </w:r>
                </w:p>
              </w:tc>
              <w:tc>
                <w:tcPr>
                  <w:tcW w:w="1065"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4台</w:t>
                  </w:r>
                </w:p>
              </w:tc>
              <w:tc>
                <w:tcPr>
                  <w:tcW w:w="1520" w:type="dxa"/>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bl>
          <w:p>
            <w:pPr>
              <w:adjustRightInd w:val="0"/>
              <w:snapToGrid w:val="0"/>
              <w:ind w:left="2730"/>
              <w:jc w:val="left"/>
              <w:rPr>
                <w:rFonts w:hAnsi="宋体" w:cs="宋体"/>
                <w:b/>
                <w:bCs/>
                <w:color w:val="auto"/>
                <w:sz w:val="24"/>
                <w:szCs w:val="24"/>
                <w:highlight w:val="none"/>
                <w:lang w:bidi="en-US"/>
              </w:rPr>
            </w:pPr>
          </w:p>
          <w:p>
            <w:pPr>
              <w:pStyle w:val="14"/>
              <w:spacing w:line="360" w:lineRule="auto"/>
              <w:ind w:firstLine="480" w:firstLineChars="200"/>
              <w:rPr>
                <w:rFonts w:hAnsi="宋体" w:cs="宋体"/>
                <w:b/>
                <w:bCs/>
                <w:color w:val="auto"/>
                <w:sz w:val="24"/>
                <w:szCs w:val="24"/>
                <w:highlight w:val="none"/>
                <w:lang w:bidi="en-US"/>
              </w:rPr>
            </w:pPr>
            <w:r>
              <w:rPr>
                <w:rFonts w:hint="default" w:ascii="Times New Roman" w:hAnsi="Times New Roman" w:eastAsia="宋体" w:cs="Times New Roman"/>
                <w:color w:val="auto"/>
                <w:sz w:val="24"/>
                <w:szCs w:val="32"/>
                <w:highlight w:val="none"/>
                <w:lang w:val="en-US" w:eastAsia="zh-CN"/>
              </w:rPr>
              <w:t>对照《产业结构调整指导目录</w:t>
            </w:r>
            <w:r>
              <w:rPr>
                <w:rFonts w:hint="eastAsia" w:ascii="Times New Roman" w:hAnsi="Times New Roman" w:eastAsia="宋体" w:cs="Times New Roman"/>
                <w:color w:val="auto"/>
                <w:sz w:val="24"/>
                <w:szCs w:val="32"/>
                <w:highlight w:val="none"/>
                <w:lang w:val="en-US" w:eastAsia="zh-CN"/>
              </w:rPr>
              <w:t>(</w:t>
            </w:r>
            <w:r>
              <w:rPr>
                <w:rFonts w:hint="default" w:ascii="Times New Roman" w:hAnsi="Times New Roman" w:eastAsia="宋体" w:cs="Times New Roman"/>
                <w:color w:val="auto"/>
                <w:sz w:val="24"/>
                <w:szCs w:val="32"/>
                <w:highlight w:val="none"/>
                <w:lang w:val="en-US" w:eastAsia="zh-CN"/>
              </w:rPr>
              <w:t>2019年本)》、</w:t>
            </w:r>
            <w:r>
              <w:rPr>
                <w:rFonts w:hint="default" w:ascii="Times New Roman" w:hAnsi="Times New Roman" w:eastAsia="宋体" w:cs="Times New Roman"/>
                <w:color w:val="auto"/>
                <w:sz w:val="24"/>
                <w:szCs w:val="32"/>
                <w:highlight w:val="none"/>
              </w:rPr>
              <w:t>工业和信息化部-《高耗能落后机电设备(产品)淘汰目录》（共四批）</w:t>
            </w:r>
            <w:r>
              <w:rPr>
                <w:rFonts w:hint="default"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lang w:val="en-US" w:eastAsia="zh-CN"/>
              </w:rPr>
              <w:t>可知本项目所使用设备</w:t>
            </w:r>
            <w:r>
              <w:rPr>
                <w:rFonts w:hint="eastAsia" w:ascii="Times New Roman" w:hAnsi="Times New Roman" w:eastAsia="宋体" w:cs="Times New Roman"/>
                <w:color w:val="auto"/>
                <w:sz w:val="24"/>
                <w:szCs w:val="32"/>
                <w:highlight w:val="none"/>
                <w:lang w:val="en-US" w:eastAsia="zh-CN"/>
              </w:rPr>
              <w:t>均不属于落后淘汰设备</w:t>
            </w:r>
            <w:r>
              <w:rPr>
                <w:rFonts w:hint="eastAsia"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rPr>
              <w:t>产品</w:t>
            </w:r>
            <w:r>
              <w:rPr>
                <w:rFonts w:hint="eastAsia" w:ascii="Times New Roman" w:hAnsi="Times New Roman" w:eastAsia="宋体" w:cs="Times New Roman"/>
                <w:color w:val="auto"/>
                <w:sz w:val="24"/>
                <w:szCs w:val="32"/>
                <w:highlight w:val="none"/>
                <w:lang w:eastAsia="zh-CN"/>
              </w:rPr>
              <w:t>）。</w:t>
            </w:r>
          </w:p>
          <w:p>
            <w:pPr>
              <w:pStyle w:val="2"/>
              <w:spacing w:line="360" w:lineRule="auto"/>
              <w:rPr>
                <w:rFonts w:ascii="Times New Roman" w:cs="Times New Roman"/>
                <w:b/>
                <w:bCs/>
                <w:color w:val="auto"/>
                <w:sz w:val="24"/>
                <w:szCs w:val="24"/>
                <w:highlight w:val="none"/>
              </w:rPr>
            </w:pPr>
            <w:r>
              <w:rPr>
                <w:rFonts w:hint="eastAsia" w:ascii="Times New Roman" w:cs="Times New Roman"/>
                <w:b/>
                <w:bCs/>
                <w:color w:val="auto"/>
                <w:sz w:val="24"/>
                <w:szCs w:val="24"/>
                <w:highlight w:val="none"/>
                <w:lang w:val="en-US" w:eastAsia="zh-CN"/>
              </w:rPr>
              <w:t>6</w:t>
            </w:r>
            <w:r>
              <w:rPr>
                <w:rFonts w:ascii="Times New Roman" w:cs="Times New Roman"/>
                <w:b/>
                <w:bCs/>
                <w:color w:val="auto"/>
                <w:sz w:val="24"/>
                <w:szCs w:val="24"/>
                <w:highlight w:val="none"/>
              </w:rPr>
              <w:t>、生产制度及劳动定员</w:t>
            </w:r>
          </w:p>
          <w:p>
            <w:pPr>
              <w:autoSpaceDE w:val="0"/>
              <w:autoSpaceDN w:val="0"/>
              <w:adjustRightIn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劳动定员：本项目劳动定员1</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0 人，</w:t>
            </w:r>
            <w:r>
              <w:rPr>
                <w:rFonts w:hint="eastAsia" w:cs="Times New Roman"/>
                <w:color w:val="auto"/>
                <w:sz w:val="24"/>
                <w:szCs w:val="24"/>
                <w:highlight w:val="none"/>
                <w:lang w:val="en-US" w:eastAsia="zh-CN"/>
              </w:rPr>
              <w:t>其中厂区内工作人员50人，厂区外安装施工人员100人，</w:t>
            </w:r>
            <w:r>
              <w:rPr>
                <w:rFonts w:hint="default" w:ascii="Times New Roman" w:hAnsi="Times New Roman" w:cs="Times New Roman"/>
                <w:color w:val="auto"/>
                <w:sz w:val="24"/>
                <w:szCs w:val="24"/>
                <w:highlight w:val="none"/>
              </w:rPr>
              <w:t>厂区不提供食宿。</w:t>
            </w:r>
          </w:p>
          <w:p>
            <w:pPr>
              <w:pStyle w:val="2"/>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生产制度：本项目实行一班工作制，每班八小时，白班制，年生产天数安排为300天。</w:t>
            </w:r>
          </w:p>
          <w:p>
            <w:pPr>
              <w:pStyle w:val="2"/>
              <w:numPr>
                <w:ilvl w:val="0"/>
                <w:numId w:val="0"/>
              </w:numPr>
              <w:spacing w:line="360" w:lineRule="auto"/>
              <w:ind w:firstLine="482" w:firstLineChars="200"/>
              <w:rPr>
                <w:rFonts w:ascii="Times New Roman" w:cs="Times New Roman"/>
                <w:b/>
                <w:bCs/>
                <w:color w:val="auto"/>
                <w:sz w:val="24"/>
                <w:szCs w:val="24"/>
                <w:highlight w:val="none"/>
              </w:rPr>
            </w:pPr>
            <w:r>
              <w:rPr>
                <w:rFonts w:hint="eastAsia" w:ascii="Times New Roman" w:cs="Times New Roman"/>
                <w:b/>
                <w:bCs/>
                <w:color w:val="auto"/>
                <w:sz w:val="24"/>
                <w:szCs w:val="24"/>
                <w:highlight w:val="none"/>
                <w:lang w:val="en-US" w:eastAsia="zh-CN"/>
              </w:rPr>
              <w:t>7</w:t>
            </w:r>
            <w:r>
              <w:rPr>
                <w:rFonts w:ascii="Times New Roman" w:cs="Times New Roman"/>
                <w:b/>
                <w:bCs/>
                <w:color w:val="auto"/>
                <w:sz w:val="24"/>
                <w:szCs w:val="24"/>
                <w:highlight w:val="none"/>
              </w:rPr>
              <w:t>、</w:t>
            </w:r>
            <w:r>
              <w:rPr>
                <w:rFonts w:hint="eastAsia" w:ascii="Times New Roman" w:cs="Times New Roman"/>
                <w:b/>
                <w:bCs/>
                <w:color w:val="auto"/>
                <w:sz w:val="24"/>
                <w:szCs w:val="24"/>
                <w:highlight w:val="none"/>
              </w:rPr>
              <w:t>平面布置图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w:t>
            </w:r>
            <w:r>
              <w:rPr>
                <w:rFonts w:ascii="宋体" w:hAnsi="宋体"/>
                <w:color w:val="auto"/>
                <w:sz w:val="24"/>
                <w:szCs w:val="24"/>
                <w:highlight w:val="none"/>
              </w:rPr>
              <w:t>厂区划分为办公区、生产区</w:t>
            </w:r>
            <w:r>
              <w:rPr>
                <w:rFonts w:hint="eastAsia" w:ascii="宋体" w:hAnsi="宋体"/>
                <w:color w:val="auto"/>
                <w:sz w:val="24"/>
                <w:szCs w:val="24"/>
                <w:highlight w:val="none"/>
              </w:rPr>
              <w:t>，</w:t>
            </w:r>
            <w:r>
              <w:rPr>
                <w:rFonts w:ascii="宋体" w:hAnsi="宋体"/>
                <w:color w:val="auto"/>
                <w:sz w:val="24"/>
                <w:szCs w:val="24"/>
                <w:highlight w:val="none"/>
              </w:rPr>
              <w:t>办公区</w:t>
            </w:r>
            <w:r>
              <w:rPr>
                <w:rFonts w:hint="eastAsia" w:ascii="宋体" w:hAnsi="宋体"/>
                <w:color w:val="auto"/>
                <w:sz w:val="24"/>
                <w:szCs w:val="24"/>
                <w:highlight w:val="none"/>
              </w:rPr>
              <w:t>位于厂区厂区的东</w:t>
            </w:r>
            <w:r>
              <w:rPr>
                <w:rFonts w:hint="eastAsia" w:ascii="宋体" w:hAnsi="宋体"/>
                <w:color w:val="auto"/>
                <w:sz w:val="24"/>
                <w:szCs w:val="24"/>
                <w:highlight w:val="none"/>
                <w:lang w:val="en-US" w:eastAsia="zh-CN"/>
              </w:rPr>
              <w:t>南</w:t>
            </w:r>
            <w:r>
              <w:rPr>
                <w:rFonts w:hint="eastAsia" w:ascii="宋体" w:hAnsi="宋体"/>
                <w:color w:val="auto"/>
                <w:sz w:val="24"/>
                <w:szCs w:val="24"/>
                <w:highlight w:val="none"/>
              </w:rPr>
              <w:t>侧。其</w:t>
            </w:r>
            <w:r>
              <w:rPr>
                <w:rFonts w:ascii="宋体" w:hAnsi="宋体"/>
                <w:color w:val="auto"/>
                <w:sz w:val="24"/>
                <w:szCs w:val="24"/>
                <w:highlight w:val="none"/>
              </w:rPr>
              <w:t>平面布置</w:t>
            </w:r>
            <w:r>
              <w:rPr>
                <w:rFonts w:hint="eastAsia" w:ascii="宋体" w:hAnsi="宋体"/>
                <w:color w:val="auto"/>
                <w:sz w:val="24"/>
                <w:szCs w:val="24"/>
                <w:highlight w:val="none"/>
              </w:rPr>
              <w:t>图见附图</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①平面布置符合</w:t>
            </w:r>
            <w:r>
              <w:rPr>
                <w:rFonts w:hint="eastAsia" w:ascii="宋体" w:hAnsi="宋体"/>
                <w:color w:val="auto"/>
                <w:sz w:val="24"/>
                <w:szCs w:val="24"/>
                <w:highlight w:val="none"/>
              </w:rPr>
              <w:t>机械制造</w:t>
            </w:r>
            <w:r>
              <w:rPr>
                <w:rFonts w:ascii="宋体" w:hAnsi="宋体"/>
                <w:color w:val="auto"/>
                <w:sz w:val="24"/>
                <w:szCs w:val="24"/>
                <w:highlight w:val="none"/>
              </w:rPr>
              <w:t>企业厂区平面规划及本企业总体布置的要求。正确处理内部与外部运输线路、管线、排水等的联系。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②生产区总图布置流程顺畅，布局紧凑，符合防火、安全卫生、环保、交通、运输、生产工艺流程、施工及检修等需求。</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③根据生产特点，缩短运输</w:t>
            </w:r>
            <w:r>
              <w:rPr>
                <w:rFonts w:hint="eastAsia" w:ascii="宋体" w:hAnsi="宋体"/>
                <w:color w:val="auto"/>
                <w:sz w:val="24"/>
                <w:szCs w:val="24"/>
                <w:highlight w:val="none"/>
              </w:rPr>
              <w:t>距离</w:t>
            </w:r>
            <w:r>
              <w:rPr>
                <w:rFonts w:ascii="宋体" w:hAnsi="宋体"/>
                <w:color w:val="auto"/>
                <w:sz w:val="24"/>
                <w:szCs w:val="24"/>
                <w:highlight w:val="none"/>
              </w:rPr>
              <w:t>，减少污染。</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④辅助和公用设施采取分散和集中相结合的原则。公用设施尽量靠近负荷中心，以缩短公用设施管线，降低能耗。</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⑤合理布置运输线路，使货流和人流线路短捷，避免繁忙的货流与主要人流互相交叉，并作为货物的运输装卸合理配套，减少倒运。</w:t>
            </w:r>
          </w:p>
          <w:p>
            <w:pPr>
              <w:spacing w:line="360" w:lineRule="auto"/>
              <w:ind w:firstLine="480" w:firstLineChars="200"/>
              <w:rPr>
                <w:rFonts w:hAnsi="宋体"/>
                <w:color w:val="auto"/>
                <w:highlight w:val="none"/>
              </w:rPr>
            </w:pPr>
            <w:r>
              <w:rPr>
                <w:rFonts w:ascii="宋体" w:hAnsi="宋体"/>
                <w:color w:val="auto"/>
                <w:sz w:val="24"/>
                <w:szCs w:val="24"/>
                <w:highlight w:val="none"/>
              </w:rPr>
              <w:t>⑥总图布置按功能分区，做到系统分明，布置整齐。同时在布置中还考虑了今后发展的可能性。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pPr>
              <w:pStyle w:val="31"/>
              <w:adjustRightInd w:val="0"/>
              <w:snapToGrid w:val="0"/>
              <w:spacing w:before="0" w:beforeAutospacing="0" w:after="0" w:afterAutospacing="0"/>
              <w:jc w:val="both"/>
              <w:rPr>
                <w:rFonts w:cs="宋体"/>
                <w:color w:val="auto"/>
                <w:sz w:val="21"/>
                <w:szCs w:val="21"/>
                <w:highlight w:val="none"/>
              </w:rPr>
            </w:pPr>
            <w:r>
              <w:rPr>
                <w:rFonts w:hint="eastAsia" w:cs="宋体"/>
                <w:color w:val="auto"/>
                <w:sz w:val="21"/>
                <w:szCs w:val="21"/>
                <w:highlight w:val="none"/>
              </w:rPr>
              <w:t>工艺流程和产排污环 节</w:t>
            </w:r>
          </w:p>
        </w:tc>
        <w:tc>
          <w:tcPr>
            <w:tcW w:w="8216" w:type="dxa"/>
          </w:tcPr>
          <w:p>
            <w:pPr>
              <w:spacing w:line="360" w:lineRule="auto"/>
              <w:rPr>
                <w:b/>
                <w:bCs/>
                <w:color w:val="auto"/>
                <w:sz w:val="24"/>
                <w:highlight w:val="none"/>
              </w:rPr>
            </w:pPr>
            <w:r>
              <w:rPr>
                <w:rFonts w:hint="eastAsia"/>
                <w:b/>
                <w:bCs/>
                <w:color w:val="auto"/>
                <w:sz w:val="24"/>
                <w:highlight w:val="none"/>
              </w:rPr>
              <w:t>施工期工艺分析</w:t>
            </w:r>
          </w:p>
          <w:p>
            <w:pPr>
              <w:spacing w:line="360" w:lineRule="auto"/>
              <w:ind w:firstLine="480" w:firstLineChars="200"/>
              <w:rPr>
                <w:bCs/>
                <w:color w:val="auto"/>
                <w:sz w:val="24"/>
                <w:highlight w:val="none"/>
              </w:rPr>
            </w:pPr>
            <w:r>
              <w:rPr>
                <w:rFonts w:hint="eastAsia"/>
                <w:bCs/>
                <w:color w:val="auto"/>
                <w:sz w:val="24"/>
                <w:highlight w:val="none"/>
              </w:rPr>
              <w:t xml:space="preserve"> </w:t>
            </w:r>
            <w:r>
              <w:rPr>
                <w:rFonts w:hint="eastAsia"/>
                <w:color w:val="auto"/>
                <w:sz w:val="24"/>
                <w:highlight w:val="none"/>
              </w:rPr>
              <w:t>本项目新建厂房、办公及配套设施等</w:t>
            </w:r>
            <w:r>
              <w:rPr>
                <w:rFonts w:hint="eastAsia"/>
                <w:bCs/>
                <w:color w:val="auto"/>
                <w:sz w:val="24"/>
                <w:highlight w:val="none"/>
              </w:rPr>
              <w:t>。</w:t>
            </w:r>
          </w:p>
          <w:p>
            <w:pPr>
              <w:widowControl/>
              <w:jc w:val="center"/>
              <w:rPr>
                <w:rFonts w:ascii="宋体" w:hAnsi="宋体" w:cs="宋体"/>
                <w:color w:val="auto"/>
                <w:kern w:val="0"/>
                <w:sz w:val="24"/>
                <w:highlight w:val="none"/>
              </w:rPr>
            </w:pPr>
            <w:r>
              <w:rPr>
                <w:rFonts w:ascii="宋体" w:hAnsi="宋体" w:cs="宋体"/>
                <w:color w:val="auto"/>
                <w:kern w:val="0"/>
                <w:sz w:val="24"/>
                <w:highlight w:val="none"/>
              </w:rPr>
              <w:drawing>
                <wp:inline distT="0" distB="0" distL="0" distR="0">
                  <wp:extent cx="3540125" cy="1395095"/>
                  <wp:effectExtent l="0" t="0" r="3175" b="190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40125" cy="1395095"/>
                          </a:xfrm>
                          <a:prstGeom prst="rect">
                            <a:avLst/>
                          </a:prstGeom>
                          <a:noFill/>
                          <a:ln>
                            <a:noFill/>
                          </a:ln>
                        </pic:spPr>
                      </pic:pic>
                    </a:graphicData>
                  </a:graphic>
                </wp:inline>
              </w:drawing>
            </w:r>
          </w:p>
          <w:p>
            <w:pPr>
              <w:jc w:val="center"/>
              <w:rPr>
                <w:b/>
                <w:bCs/>
                <w:color w:val="auto"/>
                <w:szCs w:val="21"/>
                <w:highlight w:val="none"/>
              </w:rPr>
            </w:pPr>
            <w:r>
              <w:rPr>
                <w:rFonts w:hint="eastAsia"/>
                <w:b/>
                <w:bCs/>
                <w:color w:val="auto"/>
                <w:szCs w:val="21"/>
                <w:highlight w:val="none"/>
              </w:rPr>
              <w:t>图2-1</w:t>
            </w:r>
            <w:r>
              <w:rPr>
                <w:b/>
                <w:bCs/>
                <w:color w:val="auto"/>
                <w:szCs w:val="21"/>
                <w:highlight w:val="none"/>
              </w:rPr>
              <w:t xml:space="preserve"> </w:t>
            </w:r>
            <w:r>
              <w:rPr>
                <w:rFonts w:hint="eastAsia"/>
                <w:b/>
                <w:bCs/>
                <w:color w:val="auto"/>
                <w:szCs w:val="21"/>
                <w:highlight w:val="none"/>
              </w:rPr>
              <w:t xml:space="preserve">  施工期</w:t>
            </w:r>
            <w:r>
              <w:rPr>
                <w:b/>
                <w:bCs/>
                <w:color w:val="auto"/>
                <w:szCs w:val="21"/>
                <w:highlight w:val="none"/>
              </w:rPr>
              <w:t>工艺及产污节点图</w:t>
            </w:r>
          </w:p>
          <w:p>
            <w:pPr>
              <w:spacing w:line="360" w:lineRule="auto"/>
              <w:rPr>
                <w:b/>
                <w:bCs/>
                <w:color w:val="auto"/>
                <w:sz w:val="24"/>
                <w:szCs w:val="24"/>
                <w:highlight w:val="none"/>
              </w:rPr>
            </w:pPr>
            <w:r>
              <w:rPr>
                <w:rFonts w:hint="eastAsia"/>
                <w:b/>
                <w:bCs/>
                <w:color w:val="auto"/>
                <w:sz w:val="24"/>
                <w:szCs w:val="24"/>
                <w:highlight w:val="none"/>
              </w:rPr>
              <w:t>工艺流程说明：</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（1）基础工程施工</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包括土方（挖方、填方）、地基处理（岩土工程）与基础工程施工。基础工程挖土方量约等于回填方量，在施工阶段不会有弃土产生；挖掘机、打夯机、装载机等运行时将主要产生噪声，同时产生扬尘。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（2）主体工程及附属工程施工</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将产生混凝土输送泵、混凝土振捣棒、卷扬机、钢筋切割机等施工机械的运行噪声；在挖土、堆场、建材搬运和汽车运输过程中会产生扬尘等环境问题。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（3）装饰工程施工</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在对构筑物的室内外进行装修时，钻机、电锤、切割机等产生噪声；建筑及装饰材料等产生废气、废弃物料及极少量的洗涤污水。</w:t>
            </w:r>
          </w:p>
          <w:p>
            <w:pPr>
              <w:spacing w:line="360" w:lineRule="auto"/>
              <w:rPr>
                <w:b/>
                <w:bCs/>
                <w:color w:val="auto"/>
                <w:sz w:val="24"/>
                <w:szCs w:val="24"/>
                <w:highlight w:val="none"/>
              </w:rPr>
            </w:pPr>
            <w:r>
              <w:rPr>
                <w:rFonts w:hint="eastAsia" w:ascii="宋体" w:hAnsi="宋体" w:cs="宋体"/>
                <w:color w:val="auto"/>
                <w:sz w:val="24"/>
                <w:szCs w:val="24"/>
                <w:highlight w:val="none"/>
              </w:rPr>
              <w:t xml:space="preserve">    从上述污染工序说明可知，施工期环境污染问题主要是：建筑扬尘、施工弃土、施工期噪声、施工期民工生活污水和混凝土搅拌废水、施工期生活垃圾。这些污染几乎发生于整个施工过程，但不同污染因子在不同施工段污染强度不同。</w:t>
            </w:r>
          </w:p>
          <w:p>
            <w:pPr>
              <w:spacing w:line="360" w:lineRule="auto"/>
              <w:rPr>
                <w:rFonts w:ascii="宋体" w:hAnsi="宋体"/>
                <w:color w:val="auto"/>
                <w:sz w:val="24"/>
                <w:szCs w:val="24"/>
                <w:highlight w:val="none"/>
              </w:rPr>
            </w:pPr>
            <w:r>
              <w:rPr>
                <w:rFonts w:hint="eastAsia"/>
                <w:b/>
                <w:bCs/>
                <w:color w:val="auto"/>
                <w:sz w:val="24"/>
                <w:szCs w:val="24"/>
                <w:highlight w:val="none"/>
              </w:rPr>
              <w:t>运营期工艺分析</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本项目全部产品生产工艺基本一致，工艺流程如下：</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7120" w:type="dxa"/>
                </w:tcPr>
                <w:p>
                  <w:pPr>
                    <w:pStyle w:val="14"/>
                    <w:rPr>
                      <w:color w:val="auto"/>
                      <w:highlight w:val="none"/>
                      <w:vertAlign w:val="baseline"/>
                    </w:rPr>
                  </w:pPr>
                  <w:r>
                    <w:rPr>
                      <w:color w:val="auto"/>
                      <w:highlight w:val="none"/>
                    </w:rPr>
                    <mc:AlternateContent>
                      <mc:Choice Requires="wpg">
                        <w:drawing>
                          <wp:anchor distT="0" distB="0" distL="114300" distR="114300" simplePos="0" relativeHeight="251674624" behindDoc="0" locked="0" layoutInCell="1" allowOverlap="1">
                            <wp:simplePos x="0" y="0"/>
                            <wp:positionH relativeFrom="column">
                              <wp:posOffset>104775</wp:posOffset>
                            </wp:positionH>
                            <wp:positionV relativeFrom="paragraph">
                              <wp:posOffset>190500</wp:posOffset>
                            </wp:positionV>
                            <wp:extent cx="4217670" cy="1369695"/>
                            <wp:effectExtent l="0" t="0" r="0" b="20955"/>
                            <wp:wrapNone/>
                            <wp:docPr id="256" name="组合 256"/>
                            <wp:cNvGraphicFramePr/>
                            <a:graphic xmlns:a="http://schemas.openxmlformats.org/drawingml/2006/main">
                              <a:graphicData uri="http://schemas.microsoft.com/office/word/2010/wordprocessingGroup">
                                <wpg:wgp>
                                  <wpg:cNvGrpSpPr>
                                    <a:grpSpLocks noRot="1"/>
                                  </wpg:cNvGrpSpPr>
                                  <wpg:grpSpPr>
                                    <a:xfrm>
                                      <a:off x="0" y="0"/>
                                      <a:ext cx="4217670" cy="1369695"/>
                                      <a:chOff x="359" y="116"/>
                                      <a:chExt cx="6255" cy="2081"/>
                                    </a:xfrm>
                                  </wpg:grpSpPr>
                                  <wps:wsp>
                                    <wps:cNvPr id="227" name="文本框 173"/>
                                    <wps:cNvSpPr txBox="1"/>
                                    <wps:spPr>
                                      <a:xfrm>
                                        <a:off x="359" y="766"/>
                                        <a:ext cx="933" cy="531"/>
                                      </a:xfrm>
                                      <a:prstGeom prst="rect">
                                        <a:avLst/>
                                      </a:prstGeom>
                                      <a:solidFill>
                                        <a:srgbClr val="FFFFFF"/>
                                      </a:solidFill>
                                      <a:ln>
                                        <a:noFill/>
                                      </a:ln>
                                    </wps:spPr>
                                    <wps:txbx>
                                      <w:txbxContent>
                                        <w:p>
                                          <w:pPr>
                                            <w:pStyle w:val="31"/>
                                            <w:kinsoku/>
                                            <w:spacing w:before="100" w:after="100"/>
                                            <w:ind w:left="0"/>
                                            <w:jc w:val="both"/>
                                          </w:pPr>
                                          <w:r>
                                            <w:rPr>
                                              <w:rFonts w:ascii="Times New Roman" w:hAnsi="Times New Roman" w:eastAsia="宋体"/>
                                              <w:color w:val="000000"/>
                                              <w:kern w:val="2"/>
                                              <w:sz w:val="21"/>
                                              <w:szCs w:val="21"/>
                                            </w:rPr>
                                            <w:t>钢板/型钢</w:t>
                                          </w:r>
                                        </w:p>
                                      </w:txbxContent>
                                    </wps:txbx>
                                    <wps:bodyPr lIns="0" tIns="0" rIns="0" bIns="0" upright="1"/>
                                  </wps:wsp>
                                  <wps:wsp>
                                    <wps:cNvPr id="228" name="文本框 174"/>
                                    <wps:cNvSpPr txBox="1"/>
                                    <wps:spPr>
                                      <a:xfrm>
                                        <a:off x="1784" y="780"/>
                                        <a:ext cx="737"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kinsoku/>
                                            <w:spacing w:before="100" w:after="100"/>
                                            <w:ind w:left="0"/>
                                            <w:jc w:val="center"/>
                                          </w:pPr>
                                          <w:r>
                                            <w:rPr>
                                              <w:rFonts w:ascii="Times New Roman" w:hAnsi="Times New Roman" w:eastAsia="宋体"/>
                                              <w:color w:val="000000"/>
                                              <w:kern w:val="2"/>
                                              <w:sz w:val="21"/>
                                              <w:szCs w:val="21"/>
                                            </w:rPr>
                                            <w:t>下料</w:t>
                                          </w:r>
                                        </w:p>
                                      </w:txbxContent>
                                    </wps:txbx>
                                    <wps:bodyPr lIns="0" tIns="0" rIns="0" bIns="0" upright="1"/>
                                  </wps:wsp>
                                  <wps:wsp>
                                    <wps:cNvPr id="229" name="直接连接符 175"/>
                                    <wps:cNvCnPr/>
                                    <wps:spPr>
                                      <a:xfrm>
                                        <a:off x="1365" y="936"/>
                                        <a:ext cx="419" cy="0"/>
                                      </a:xfrm>
                                      <a:prstGeom prst="line">
                                        <a:avLst/>
                                      </a:prstGeom>
                                      <a:ln w="9525" cap="flat" cmpd="sng">
                                        <a:solidFill>
                                          <a:srgbClr val="000000"/>
                                        </a:solidFill>
                                        <a:prstDash val="solid"/>
                                        <a:headEnd type="none" w="med" len="med"/>
                                        <a:tailEnd type="triangle" w="med" len="med"/>
                                      </a:ln>
                                    </wps:spPr>
                                    <wps:bodyPr/>
                                  </wps:wsp>
                                  <wps:wsp>
                                    <wps:cNvPr id="230" name="直接连接符 176"/>
                                    <wps:cNvCnPr/>
                                    <wps:spPr>
                                      <a:xfrm>
                                        <a:off x="2520" y="936"/>
                                        <a:ext cx="419" cy="1"/>
                                      </a:xfrm>
                                      <a:prstGeom prst="line">
                                        <a:avLst/>
                                      </a:prstGeom>
                                      <a:ln w="9525" cap="flat" cmpd="sng">
                                        <a:solidFill>
                                          <a:srgbClr val="000000"/>
                                        </a:solidFill>
                                        <a:prstDash val="solid"/>
                                        <a:headEnd type="none" w="med" len="med"/>
                                        <a:tailEnd type="triangle" w="med" len="med"/>
                                      </a:ln>
                                    </wps:spPr>
                                    <wps:bodyPr/>
                                  </wps:wsp>
                                  <wps:wsp>
                                    <wps:cNvPr id="231" name="直接连接符 178"/>
                                    <wps:cNvCnPr/>
                                    <wps:spPr>
                                      <a:xfrm>
                                        <a:off x="3780" y="936"/>
                                        <a:ext cx="419" cy="1"/>
                                      </a:xfrm>
                                      <a:prstGeom prst="line">
                                        <a:avLst/>
                                      </a:prstGeom>
                                      <a:ln w="9525" cap="flat" cmpd="sng">
                                        <a:solidFill>
                                          <a:srgbClr val="000000"/>
                                        </a:solidFill>
                                        <a:prstDash val="solid"/>
                                        <a:headEnd type="none" w="med" len="med"/>
                                        <a:tailEnd type="triangle" w="med" len="med"/>
                                      </a:ln>
                                    </wps:spPr>
                                    <wps:bodyPr/>
                                  </wps:wsp>
                                  <wps:wsp>
                                    <wps:cNvPr id="232" name="直接连接符 180"/>
                                    <wps:cNvCnPr/>
                                    <wps:spPr>
                                      <a:xfrm>
                                        <a:off x="5040" y="936"/>
                                        <a:ext cx="420" cy="1"/>
                                      </a:xfrm>
                                      <a:prstGeom prst="line">
                                        <a:avLst/>
                                      </a:prstGeom>
                                      <a:ln w="9525" cap="flat" cmpd="sng">
                                        <a:solidFill>
                                          <a:srgbClr val="000000"/>
                                        </a:solidFill>
                                        <a:prstDash val="solid"/>
                                        <a:headEnd type="none" w="med" len="med"/>
                                        <a:tailEnd type="triangle" w="med" len="med"/>
                                      </a:ln>
                                    </wps:spPr>
                                    <wps:bodyPr/>
                                  </wps:wsp>
                                  <wps:wsp>
                                    <wps:cNvPr id="233" name="文本框 181"/>
                                    <wps:cNvSpPr txBox="1"/>
                                    <wps:spPr>
                                      <a:xfrm>
                                        <a:off x="2930" y="781"/>
                                        <a:ext cx="963"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kinsoku/>
                                            <w:spacing w:before="100" w:after="100"/>
                                            <w:ind w:left="0"/>
                                            <w:jc w:val="both"/>
                                          </w:pPr>
                                          <w:r>
                                            <w:rPr>
                                              <w:rFonts w:ascii="Times New Roman" w:hAnsi="Times New Roman" w:eastAsia="宋体"/>
                                              <w:color w:val="000000"/>
                                              <w:kern w:val="2"/>
                                              <w:sz w:val="21"/>
                                              <w:szCs w:val="21"/>
                                            </w:rPr>
                                            <w:t xml:space="preserve"> 机加工</w:t>
                                          </w:r>
                                        </w:p>
                                      </w:txbxContent>
                                    </wps:txbx>
                                    <wps:bodyPr lIns="0" tIns="0" rIns="0" bIns="0" upright="1"/>
                                  </wps:wsp>
                                  <wps:wsp>
                                    <wps:cNvPr id="234" name="文本框 183"/>
                                    <wps:cNvSpPr txBox="1"/>
                                    <wps:spPr>
                                      <a:xfrm>
                                        <a:off x="5452" y="779"/>
                                        <a:ext cx="735"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kinsoku/>
                                            <w:spacing w:before="100" w:after="100"/>
                                            <w:ind w:left="0"/>
                                            <w:jc w:val="center"/>
                                            <w:rPr>
                                              <w:rFonts w:hint="eastAsia" w:eastAsia="宋体"/>
                                              <w:lang w:eastAsia="zh-CN"/>
                                            </w:rPr>
                                          </w:pPr>
                                          <w:r>
                                            <w:rPr>
                                              <w:rFonts w:ascii="Times New Roman" w:hAnsi="Times New Roman" w:eastAsia="宋体"/>
                                              <w:color w:val="000000"/>
                                              <w:kern w:val="2"/>
                                              <w:sz w:val="21"/>
                                              <w:szCs w:val="21"/>
                                            </w:rPr>
                                            <w:t xml:space="preserve"> </w:t>
                                          </w:r>
                                          <w:r>
                                            <w:rPr>
                                              <w:rFonts w:hint="eastAsia" w:ascii="Times New Roman" w:hAnsi="Times New Roman"/>
                                              <w:color w:val="000000"/>
                                              <w:kern w:val="2"/>
                                              <w:sz w:val="21"/>
                                              <w:szCs w:val="21"/>
                                              <w:lang w:eastAsia="zh-CN"/>
                                            </w:rPr>
                                            <w:t>抛丸</w:t>
                                          </w:r>
                                        </w:p>
                                      </w:txbxContent>
                                    </wps:txbx>
                                    <wps:bodyPr lIns="0" tIns="0" rIns="0" bIns="0" upright="1"/>
                                  </wps:wsp>
                                  <wps:wsp>
                                    <wps:cNvPr id="235" name="文本框 185"/>
                                    <wps:cNvSpPr txBox="1"/>
                                    <wps:spPr>
                                      <a:xfrm>
                                        <a:off x="3885" y="1884"/>
                                        <a:ext cx="1155"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kinsoku/>
                                            <w:spacing w:before="100" w:after="100"/>
                                            <w:ind w:left="0"/>
                                            <w:jc w:val="center"/>
                                          </w:pPr>
                                          <w:r>
                                            <w:rPr>
                                              <w:rFonts w:ascii="Times New Roman" w:hAnsi="Times New Roman" w:eastAsia="宋体"/>
                                              <w:color w:val="000000"/>
                                              <w:kern w:val="2"/>
                                              <w:sz w:val="21"/>
                                              <w:szCs w:val="21"/>
                                            </w:rPr>
                                            <w:t>组装</w:t>
                                          </w:r>
                                        </w:p>
                                      </w:txbxContent>
                                    </wps:txbx>
                                    <wps:bodyPr lIns="0" tIns="0" rIns="0" bIns="0" upright="1"/>
                                  </wps:wsp>
                                  <wps:wsp>
                                    <wps:cNvPr id="236" name="直接连接符 186"/>
                                    <wps:cNvCnPr/>
                                    <wps:spPr>
                                      <a:xfrm rot="10800000">
                                        <a:off x="3465" y="2028"/>
                                        <a:ext cx="420" cy="1"/>
                                      </a:xfrm>
                                      <a:prstGeom prst="line">
                                        <a:avLst/>
                                      </a:prstGeom>
                                      <a:ln w="9525" cap="flat" cmpd="sng">
                                        <a:solidFill>
                                          <a:srgbClr val="000000"/>
                                        </a:solidFill>
                                        <a:prstDash val="solid"/>
                                        <a:headEnd type="none" w="med" len="med"/>
                                        <a:tailEnd type="triangle" w="med" len="med"/>
                                      </a:ln>
                                    </wps:spPr>
                                    <wps:bodyPr/>
                                  </wps:wsp>
                                  <wps:wsp>
                                    <wps:cNvPr id="237" name="文本框 187"/>
                                    <wps:cNvSpPr txBox="1"/>
                                    <wps:spPr>
                                      <a:xfrm>
                                        <a:off x="2516" y="1872"/>
                                        <a:ext cx="949"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kinsoku/>
                                            <w:spacing w:before="100" w:after="100"/>
                                            <w:ind w:left="0"/>
                                            <w:jc w:val="center"/>
                                          </w:pPr>
                                          <w:r>
                                            <w:rPr>
                                              <w:rFonts w:ascii="Times New Roman" w:hAnsi="Times New Roman" w:eastAsia="宋体"/>
                                              <w:color w:val="000000"/>
                                              <w:kern w:val="2"/>
                                              <w:sz w:val="21"/>
                                              <w:szCs w:val="21"/>
                                            </w:rPr>
                                            <w:t>喷漆晾干</w:t>
                                          </w:r>
                                        </w:p>
                                      </w:txbxContent>
                                    </wps:txbx>
                                    <wps:bodyPr lIns="0" tIns="0" rIns="0" bIns="0" upright="1"/>
                                  </wps:wsp>
                                  <wps:wsp>
                                    <wps:cNvPr id="238" name="直接连接符 188"/>
                                    <wps:cNvCnPr/>
                                    <wps:spPr>
                                      <a:xfrm rot="10800000">
                                        <a:off x="2010" y="2028"/>
                                        <a:ext cx="420" cy="1"/>
                                      </a:xfrm>
                                      <a:prstGeom prst="line">
                                        <a:avLst/>
                                      </a:prstGeom>
                                      <a:ln w="9525" cap="flat" cmpd="sng">
                                        <a:solidFill>
                                          <a:srgbClr val="000000"/>
                                        </a:solidFill>
                                        <a:prstDash val="solid"/>
                                        <a:headEnd type="none" w="med" len="med"/>
                                        <a:tailEnd type="triangle" w="med" len="med"/>
                                      </a:ln>
                                    </wps:spPr>
                                    <wps:bodyPr/>
                                  </wps:wsp>
                                  <wps:wsp>
                                    <wps:cNvPr id="239" name="文本框 189"/>
                                    <wps:cNvSpPr txBox="1"/>
                                    <wps:spPr>
                                      <a:xfrm>
                                        <a:off x="1452" y="1838"/>
                                        <a:ext cx="644" cy="327"/>
                                      </a:xfrm>
                                      <a:prstGeom prst="rect">
                                        <a:avLst/>
                                      </a:prstGeom>
                                      <a:noFill/>
                                      <a:ln>
                                        <a:noFill/>
                                      </a:ln>
                                    </wps:spPr>
                                    <wps:txbx>
                                      <w:txbxContent>
                                        <w:p>
                                          <w:pPr>
                                            <w:pStyle w:val="31"/>
                                            <w:kinsoku/>
                                            <w:spacing w:before="100" w:after="100"/>
                                            <w:ind w:left="0"/>
                                            <w:jc w:val="both"/>
                                          </w:pPr>
                                          <w:r>
                                            <w:rPr>
                                              <w:rFonts w:ascii="Times New Roman" w:hAnsi="Times New Roman" w:eastAsia="宋体"/>
                                              <w:color w:val="000000"/>
                                              <w:kern w:val="2"/>
                                              <w:sz w:val="21"/>
                                              <w:szCs w:val="21"/>
                                            </w:rPr>
                                            <w:t>入库</w:t>
                                          </w:r>
                                        </w:p>
                                      </w:txbxContent>
                                    </wps:txbx>
                                    <wps:bodyPr lIns="0" tIns="0" rIns="0" bIns="0" upright="1"/>
                                  </wps:wsp>
                                  <wps:wsp>
                                    <wps:cNvPr id="240" name="直接连接符 190"/>
                                    <wps:cNvCnPr/>
                                    <wps:spPr>
                                      <a:xfrm flipV="1">
                                        <a:off x="2112" y="468"/>
                                        <a:ext cx="0" cy="312"/>
                                      </a:xfrm>
                                      <a:prstGeom prst="line">
                                        <a:avLst/>
                                      </a:prstGeom>
                                      <a:ln w="9525" cap="flat" cmpd="sng">
                                        <a:solidFill>
                                          <a:srgbClr val="000000"/>
                                        </a:solidFill>
                                        <a:prstDash val="dash"/>
                                        <a:headEnd type="none" w="med" len="med"/>
                                        <a:tailEnd type="triangle" w="med" len="med"/>
                                      </a:ln>
                                    </wps:spPr>
                                    <wps:bodyPr/>
                                  </wps:wsp>
                                  <wps:wsp>
                                    <wps:cNvPr id="241" name="文本框 191"/>
                                    <wps:cNvSpPr txBox="1"/>
                                    <wps:spPr>
                                      <a:xfrm>
                                        <a:off x="1560" y="156"/>
                                        <a:ext cx="1336" cy="312"/>
                                      </a:xfrm>
                                      <a:prstGeom prst="rect">
                                        <a:avLst/>
                                      </a:prstGeom>
                                      <a:solidFill>
                                        <a:srgbClr val="FFFFFF"/>
                                      </a:solidFill>
                                      <a:ln>
                                        <a:noFill/>
                                      </a:ln>
                                    </wps:spPr>
                                    <wps:txbx>
                                      <w:txbxContent>
                                        <w:p>
                                          <w:pPr>
                                            <w:pStyle w:val="31"/>
                                            <w:kinsoku/>
                                            <w:spacing w:before="100" w:after="100"/>
                                            <w:ind w:left="0"/>
                                            <w:jc w:val="both"/>
                                          </w:pPr>
                                          <w:r>
                                            <w:rPr>
                                              <w:rFonts w:ascii="Times New Roman" w:hAnsi="Times New Roman" w:eastAsia="宋体"/>
                                              <w:color w:val="000000"/>
                                              <w:kern w:val="2"/>
                                              <w:sz w:val="20"/>
                                              <w:szCs w:val="20"/>
                                            </w:rPr>
                                            <w:t>S、N、G</w:t>
                                          </w:r>
                                        </w:p>
                                      </w:txbxContent>
                                    </wps:txbx>
                                    <wps:bodyPr lIns="0" tIns="0" rIns="0" bIns="0" upright="1"/>
                                  </wps:wsp>
                                  <wps:wsp>
                                    <wps:cNvPr id="242" name="直接连接符 193"/>
                                    <wps:cNvCnPr/>
                                    <wps:spPr>
                                      <a:xfrm flipV="1">
                                        <a:off x="3372" y="468"/>
                                        <a:ext cx="0" cy="312"/>
                                      </a:xfrm>
                                      <a:prstGeom prst="line">
                                        <a:avLst/>
                                      </a:prstGeom>
                                      <a:ln w="9525" cap="flat" cmpd="sng">
                                        <a:solidFill>
                                          <a:srgbClr val="000000"/>
                                        </a:solidFill>
                                        <a:prstDash val="dash"/>
                                        <a:headEnd type="none" w="med" len="med"/>
                                        <a:tailEnd type="triangle" w="med" len="med"/>
                                      </a:ln>
                                    </wps:spPr>
                                    <wps:bodyPr/>
                                  </wps:wsp>
                                  <wps:wsp>
                                    <wps:cNvPr id="243" name="直接连接符 194"/>
                                    <wps:cNvCnPr/>
                                    <wps:spPr>
                                      <a:xfrm flipV="1">
                                        <a:off x="4774" y="469"/>
                                        <a:ext cx="0" cy="312"/>
                                      </a:xfrm>
                                      <a:prstGeom prst="line">
                                        <a:avLst/>
                                      </a:prstGeom>
                                      <a:ln w="9525" cap="flat" cmpd="sng">
                                        <a:solidFill>
                                          <a:srgbClr val="000000"/>
                                        </a:solidFill>
                                        <a:prstDash val="dash"/>
                                        <a:headEnd type="none" w="med" len="med"/>
                                        <a:tailEnd type="triangle" w="med" len="med"/>
                                      </a:ln>
                                    </wps:spPr>
                                    <wps:bodyPr/>
                                  </wps:wsp>
                                  <wps:wsp>
                                    <wps:cNvPr id="244" name="直接连接符 196"/>
                                    <wps:cNvCnPr/>
                                    <wps:spPr>
                                      <a:xfrm flipV="1">
                                        <a:off x="5801" y="400"/>
                                        <a:ext cx="1" cy="312"/>
                                      </a:xfrm>
                                      <a:prstGeom prst="line">
                                        <a:avLst/>
                                      </a:prstGeom>
                                      <a:ln w="9525" cap="flat" cmpd="sng">
                                        <a:solidFill>
                                          <a:srgbClr val="000000"/>
                                        </a:solidFill>
                                        <a:prstDash val="dash"/>
                                        <a:headEnd type="none" w="med" len="med"/>
                                        <a:tailEnd type="triangle" w="med" len="med"/>
                                      </a:ln>
                                    </wps:spPr>
                                    <wps:bodyPr/>
                                  </wps:wsp>
                                  <wps:wsp>
                                    <wps:cNvPr id="245" name="文本框 197"/>
                                    <wps:cNvSpPr txBox="1"/>
                                    <wps:spPr>
                                      <a:xfrm>
                                        <a:off x="2984" y="186"/>
                                        <a:ext cx="695" cy="312"/>
                                      </a:xfrm>
                                      <a:prstGeom prst="rect">
                                        <a:avLst/>
                                      </a:prstGeom>
                                      <a:noFill/>
                                      <a:ln>
                                        <a:noFill/>
                                      </a:ln>
                                    </wps:spPr>
                                    <wps:txbx>
                                      <w:txbxContent>
                                        <w:p>
                                          <w:pPr>
                                            <w:pStyle w:val="31"/>
                                            <w:kinsoku/>
                                            <w:spacing w:before="100" w:after="100"/>
                                            <w:ind w:left="0"/>
                                            <w:jc w:val="both"/>
                                          </w:pPr>
                                          <w:r>
                                            <w:rPr>
                                              <w:rFonts w:ascii="Times New Roman" w:hAnsi="Times New Roman" w:eastAsia="宋体"/>
                                              <w:color w:val="000000"/>
                                              <w:kern w:val="2"/>
                                              <w:sz w:val="21"/>
                                              <w:szCs w:val="21"/>
                                            </w:rPr>
                                            <w:t xml:space="preserve">  </w:t>
                                          </w:r>
                                          <w:r>
                                            <w:rPr>
                                              <w:rFonts w:ascii="Times New Roman" w:hAnsi="Times New Roman" w:eastAsia="宋体"/>
                                              <w:color w:val="000000"/>
                                              <w:kern w:val="2"/>
                                              <w:sz w:val="20"/>
                                              <w:szCs w:val="20"/>
                                            </w:rPr>
                                            <w:t>S、N</w:t>
                                          </w:r>
                                        </w:p>
                                      </w:txbxContent>
                                    </wps:txbx>
                                    <wps:bodyPr lIns="0" tIns="0" rIns="0" bIns="0" upright="1"/>
                                  </wps:wsp>
                                  <wps:wsp>
                                    <wps:cNvPr id="246" name="直接连接符 198"/>
                                    <wps:cNvCnPr/>
                                    <wps:spPr>
                                      <a:xfrm flipV="1">
                                        <a:off x="4515" y="1560"/>
                                        <a:ext cx="0" cy="312"/>
                                      </a:xfrm>
                                      <a:prstGeom prst="line">
                                        <a:avLst/>
                                      </a:prstGeom>
                                      <a:ln w="9525" cap="flat" cmpd="sng">
                                        <a:solidFill>
                                          <a:srgbClr val="000000"/>
                                        </a:solidFill>
                                        <a:prstDash val="dash"/>
                                        <a:headEnd type="none" w="med" len="med"/>
                                        <a:tailEnd type="triangle" w="med" len="med"/>
                                      </a:ln>
                                    </wps:spPr>
                                    <wps:bodyPr/>
                                  </wps:wsp>
                                  <wps:wsp>
                                    <wps:cNvPr id="247" name="文本框 199"/>
                                    <wps:cNvSpPr txBox="1"/>
                                    <wps:spPr>
                                      <a:xfrm>
                                        <a:off x="4481" y="1293"/>
                                        <a:ext cx="336" cy="330"/>
                                      </a:xfrm>
                                      <a:prstGeom prst="rect">
                                        <a:avLst/>
                                      </a:prstGeom>
                                      <a:noFill/>
                                      <a:ln>
                                        <a:noFill/>
                                      </a:ln>
                                    </wps:spPr>
                                    <wps:txbx>
                                      <w:txbxContent>
                                        <w:p>
                                          <w:pPr>
                                            <w:pStyle w:val="31"/>
                                            <w:kinsoku/>
                                            <w:spacing w:before="100" w:after="100"/>
                                            <w:ind w:left="0"/>
                                            <w:jc w:val="both"/>
                                          </w:pPr>
                                          <w:r>
                                            <w:rPr>
                                              <w:rFonts w:ascii="Times New Roman" w:hAnsi="Times New Roman" w:eastAsia="宋体"/>
                                              <w:color w:val="000000"/>
                                              <w:kern w:val="2"/>
                                              <w:sz w:val="20"/>
                                              <w:szCs w:val="20"/>
                                            </w:rPr>
                                            <w:t>N</w:t>
                                          </w:r>
                                        </w:p>
                                      </w:txbxContent>
                                    </wps:txbx>
                                    <wps:bodyPr lIns="0" tIns="0" rIns="0" bIns="0" upright="1"/>
                                  </wps:wsp>
                                  <wps:wsp>
                                    <wps:cNvPr id="248" name="直接连接符 200"/>
                                    <wps:cNvCnPr/>
                                    <wps:spPr>
                                      <a:xfrm flipH="1" flipV="1">
                                        <a:off x="3009" y="1574"/>
                                        <a:ext cx="1" cy="264"/>
                                      </a:xfrm>
                                      <a:prstGeom prst="line">
                                        <a:avLst/>
                                      </a:prstGeom>
                                      <a:ln w="9525" cap="flat" cmpd="sng">
                                        <a:solidFill>
                                          <a:srgbClr val="000000"/>
                                        </a:solidFill>
                                        <a:prstDash val="dash"/>
                                        <a:headEnd type="none" w="med" len="med"/>
                                        <a:tailEnd type="triangle" w="med" len="med"/>
                                      </a:ln>
                                    </wps:spPr>
                                    <wps:bodyPr/>
                                  </wps:wsp>
                                  <wps:wsp>
                                    <wps:cNvPr id="249" name="文本框 201"/>
                                    <wps:cNvSpPr txBox="1"/>
                                    <wps:spPr>
                                      <a:xfrm>
                                        <a:off x="2517" y="1280"/>
                                        <a:ext cx="1084" cy="312"/>
                                      </a:xfrm>
                                      <a:prstGeom prst="rect">
                                        <a:avLst/>
                                      </a:prstGeom>
                                      <a:noFill/>
                                      <a:ln>
                                        <a:noFill/>
                                      </a:ln>
                                    </wps:spPr>
                                    <wps:txbx>
                                      <w:txbxContent>
                                        <w:p>
                                          <w:pPr>
                                            <w:pStyle w:val="31"/>
                                            <w:kinsoku/>
                                            <w:spacing w:before="100" w:after="100"/>
                                            <w:ind w:left="0"/>
                                            <w:jc w:val="both"/>
                                          </w:pPr>
                                          <w:r>
                                            <w:rPr>
                                              <w:rFonts w:ascii="Times New Roman" w:hAnsi="Times New Roman" w:eastAsia="宋体"/>
                                              <w:color w:val="000000"/>
                                              <w:kern w:val="2"/>
                                              <w:sz w:val="20"/>
                                              <w:szCs w:val="20"/>
                                            </w:rPr>
                                            <w:t xml:space="preserve">  G、N、S</w:t>
                                          </w:r>
                                        </w:p>
                                      </w:txbxContent>
                                    </wps:txbx>
                                    <wps:bodyPr lIns="0" tIns="0" rIns="0" bIns="0" upright="1"/>
                                  </wps:wsp>
                                  <wps:wsp>
                                    <wps:cNvPr id="250" name="直接连接符 203"/>
                                    <wps:cNvCnPr/>
                                    <wps:spPr>
                                      <a:xfrm flipV="1">
                                        <a:off x="5799" y="1089"/>
                                        <a:ext cx="2" cy="940"/>
                                      </a:xfrm>
                                      <a:prstGeom prst="line">
                                        <a:avLst/>
                                      </a:prstGeom>
                                      <a:ln w="12700" cmpd="sng">
                                        <a:solidFill>
                                          <a:schemeClr val="tx1"/>
                                        </a:solidFill>
                                        <a:prstDash val="solid"/>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251" name="文本框 204"/>
                                    <wps:cNvSpPr txBox="1"/>
                                    <wps:spPr>
                                      <a:xfrm>
                                        <a:off x="5401" y="116"/>
                                        <a:ext cx="1213" cy="312"/>
                                      </a:xfrm>
                                      <a:prstGeom prst="rect">
                                        <a:avLst/>
                                      </a:prstGeom>
                                      <a:noFill/>
                                      <a:ln>
                                        <a:noFill/>
                                      </a:ln>
                                    </wps:spPr>
                                    <wps:txbx>
                                      <w:txbxContent>
                                        <w:p>
                                          <w:pPr>
                                            <w:pStyle w:val="31"/>
                                            <w:kinsoku/>
                                            <w:spacing w:before="100" w:after="100"/>
                                            <w:ind w:left="0"/>
                                            <w:jc w:val="both"/>
                                          </w:pPr>
                                          <w:r>
                                            <w:rPr>
                                              <w:rFonts w:ascii="Times New Roman" w:hAnsi="Times New Roman" w:eastAsia="宋体"/>
                                              <w:color w:val="000000"/>
                                              <w:kern w:val="2"/>
                                              <w:sz w:val="20"/>
                                              <w:szCs w:val="20"/>
                                            </w:rPr>
                                            <w:t>G、N、S</w:t>
                                          </w:r>
                                        </w:p>
                                      </w:txbxContent>
                                    </wps:txbx>
                                    <wps:bodyPr lIns="0" tIns="0" rIns="0" bIns="0" upright="1"/>
                                  </wps:wsp>
                                  <wps:wsp>
                                    <wps:cNvPr id="252" name="文本框 3"/>
                                    <wps:cNvSpPr txBox="1"/>
                                    <wps:spPr>
                                      <a:xfrm>
                                        <a:off x="4228" y="766"/>
                                        <a:ext cx="704"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kinsoku/>
                                            <w:spacing w:before="100" w:after="100"/>
                                            <w:ind w:left="0"/>
                                            <w:jc w:val="center"/>
                                          </w:pPr>
                                          <w:r>
                                            <w:rPr>
                                              <w:rFonts w:ascii="Times New Roman" w:hAnsi="Times New Roman" w:eastAsia="宋体"/>
                                              <w:color w:val="000000"/>
                                              <w:kern w:val="2"/>
                                              <w:sz w:val="21"/>
                                              <w:szCs w:val="21"/>
                                            </w:rPr>
                                            <w:t xml:space="preserve"> 焊接</w:t>
                                          </w:r>
                                        </w:p>
                                      </w:txbxContent>
                                    </wps:txbx>
                                    <wps:bodyPr lIns="0" tIns="0" rIns="0" bIns="0" upright="1"/>
                                  </wps:wsp>
                                  <wps:wsp>
                                    <wps:cNvPr id="253" name="文本框 5"/>
                                    <wps:cNvSpPr txBox="1"/>
                                    <wps:spPr>
                                      <a:xfrm>
                                        <a:off x="4156" y="200"/>
                                        <a:ext cx="1336" cy="312"/>
                                      </a:xfrm>
                                      <a:prstGeom prst="rect">
                                        <a:avLst/>
                                      </a:prstGeom>
                                      <a:noFill/>
                                      <a:ln>
                                        <a:noFill/>
                                      </a:ln>
                                    </wps:spPr>
                                    <wps:txbx>
                                      <w:txbxContent>
                                        <w:p>
                                          <w:pPr>
                                            <w:pStyle w:val="31"/>
                                            <w:kinsoku/>
                                            <w:spacing w:before="100" w:after="100"/>
                                            <w:ind w:left="0"/>
                                            <w:jc w:val="both"/>
                                          </w:pPr>
                                          <w:r>
                                            <w:rPr>
                                              <w:rFonts w:ascii="Times New Roman" w:hAnsi="Times New Roman" w:eastAsia="宋体"/>
                                              <w:color w:val="000000"/>
                                              <w:kern w:val="2"/>
                                              <w:sz w:val="20"/>
                                              <w:szCs w:val="20"/>
                                            </w:rPr>
                                            <w:t>S、N、G</w:t>
                                          </w:r>
                                        </w:p>
                                      </w:txbxContent>
                                    </wps:txbx>
                                    <wps:bodyPr lIns="0" tIns="0" rIns="0" bIns="0" upright="1"/>
                                  </wps:wsp>
                                  <wps:wsp>
                                    <wps:cNvPr id="255" name="直接连接符 7"/>
                                    <wps:cNvCnPr/>
                                    <wps:spPr>
                                      <a:xfrm flipH="1" flipV="1">
                                        <a:off x="5039" y="2032"/>
                                        <a:ext cx="771" cy="9"/>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8.25pt;margin-top:15pt;height:107.85pt;width:332.1pt;z-index:251674624;mso-width-relative:page;mso-height-relative:page;" coordorigin="359,116" coordsize="6255,2081" o:gfxdata="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">
                            <o:lock v:ext="edit" rotation="t" aspectratio="f"/>
                            <v:shape id="文本框 173" o:spid="_x0000_s1026" o:spt="202" type="#_x0000_t202" style="position:absolute;left:359;top:766;height:531;width:933;" fillcolor="#FFFFFF" filled="t" stroked="f" coordsize="21600,21600" o:gfxdata="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BTu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1"/>
                                        <w:szCs w:val="21"/>
                                      </w:rPr>
                                      <w:t>钢板/型钢</w:t>
                                    </w:r>
                                  </w:p>
                                </w:txbxContent>
                              </v:textbox>
                            </v:shape>
                            <v:shape id="文本框 174" o:spid="_x0000_s1026" o:spt="202" type="#_x0000_t202" style="position:absolute;left:1784;top:780;height:312;width:737;" fillcolor="#FFFFFF" filled="t" stroked="t" coordsize="21600,21600" o:gfxdata="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6dm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pStyle w:val="31"/>
                                      <w:kinsoku/>
                                      <w:spacing w:before="100" w:after="100"/>
                                      <w:ind w:left="0"/>
                                      <w:jc w:val="center"/>
                                    </w:pPr>
                                    <w:r>
                                      <w:rPr>
                                        <w:rFonts w:ascii="Times New Roman" w:hAnsi="Times New Roman" w:eastAsia="宋体"/>
                                        <w:color w:val="000000"/>
                                        <w:kern w:val="2"/>
                                        <w:sz w:val="21"/>
                                        <w:szCs w:val="21"/>
                                      </w:rPr>
                                      <w:t>下料</w:t>
                                    </w:r>
                                  </w:p>
                                </w:txbxContent>
                              </v:textbox>
                            </v:shape>
                            <v:line id="直接连接符 175" o:spid="_x0000_s1026" o:spt="20" style="position:absolute;left:1365;top:936;height:0;width:419;" filled="f" stroked="t" coordsize="21600,21600" o:gfxdata="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F2o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76" o:spid="_x0000_s1026" o:spt="20" style="position:absolute;left:2520;top:936;height:1;width:419;" filled="f" stroked="t" coordsize="21600,21600" o:gfxdata="UEsDBAoAAAAAAIdO4kAAAAAAAAAAAAAAAAAEAAAAZHJzL1BLAwQUAAAACACHTuJA8/RVd7wAAADc&#10;AAAADwAAAGRycy9kb3ducmV2LnhtbEVPy4rCMBTdC/MP4Q6407QK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0VX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78" o:spid="_x0000_s1026" o:spt="20" style="position:absolute;left:3780;top:936;height:1;width:419;" filled="f" stroked="t" coordsize="21600,21600" o:gfxdata="UEsDBAoAAAAAAIdO4kAAAAAAAAAAAAAAAAAEAAAAZHJzL1BLAwQUAAAACACHTuJAnLjw7L8AAADc&#10;AAAADwAAAGRycy9kb3ducmV2LnhtbEWPT4vCMBTE7wt+h/CEva1pXVh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48O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80" o:spid="_x0000_s1026" o:spt="20" style="position:absolute;left:5040;top:936;height:1;width:420;" filled="f" stroked="t" coordsize="21600,21600" o:gfxdata="UEsDBAoAAAAAAIdO4kAAAAAAAAAAAAAAAAAEAAAAZHJzL1BLAwQUAAAACACHTuJAbGpum8AAAADc&#10;AAAADwAAAGRycy9kb3ducmV2LnhtbEWPT2vCQBTE74V+h+UVequbpFB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am6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81" o:spid="_x0000_s1026" o:spt="202" type="#_x0000_t202" style="position:absolute;left:2930;top:781;height:312;width:963;" fillcolor="#FFFFFF" filled="t" stroked="t" coordsize="21600,21600" o:gfxdata="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OZN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1"/>
                                        <w:szCs w:val="21"/>
                                      </w:rPr>
                                      <w:t xml:space="preserve"> 机加工</w:t>
                                    </w:r>
                                  </w:p>
                                </w:txbxContent>
                              </v:textbox>
                            </v:shape>
                            <v:shape id="文本框 183" o:spid="_x0000_s1026" o:spt="202" type="#_x0000_t202" style="position:absolute;left:5452;top:779;height:313;width:735;" fillcolor="#FFFFFF" filled="t" stroked="t" coordsize="21600,21600" o:gfxdata="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oB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pStyle w:val="31"/>
                                      <w:kinsoku/>
                                      <w:spacing w:before="100" w:after="100"/>
                                      <w:ind w:left="0"/>
                                      <w:jc w:val="center"/>
                                      <w:rPr>
                                        <w:rFonts w:hint="eastAsia" w:eastAsia="宋体"/>
                                        <w:lang w:eastAsia="zh-CN"/>
                                      </w:rPr>
                                    </w:pPr>
                                    <w:r>
                                      <w:rPr>
                                        <w:rFonts w:ascii="Times New Roman" w:hAnsi="Times New Roman" w:eastAsia="宋体"/>
                                        <w:color w:val="000000"/>
                                        <w:kern w:val="2"/>
                                        <w:sz w:val="21"/>
                                        <w:szCs w:val="21"/>
                                      </w:rPr>
                                      <w:t xml:space="preserve"> </w:t>
                                    </w:r>
                                    <w:r>
                                      <w:rPr>
                                        <w:rFonts w:hint="eastAsia" w:ascii="Times New Roman" w:hAnsi="Times New Roman"/>
                                        <w:color w:val="000000"/>
                                        <w:kern w:val="2"/>
                                        <w:sz w:val="21"/>
                                        <w:szCs w:val="21"/>
                                        <w:lang w:eastAsia="zh-CN"/>
                                      </w:rPr>
                                      <w:t>抛丸</w:t>
                                    </w:r>
                                  </w:p>
                                </w:txbxContent>
                              </v:textbox>
                            </v:shape>
                            <v:shape id="文本框 185" o:spid="_x0000_s1026" o:spt="202" type="#_x0000_t202" style="position:absolute;left:3885;top:1884;height:313;width:1155;" fillcolor="#FFFFFF" filled="t" stroked="t" coordsize="21600,21600" o:gfxdata="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k2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pStyle w:val="31"/>
                                      <w:kinsoku/>
                                      <w:spacing w:before="100" w:after="100"/>
                                      <w:ind w:left="0"/>
                                      <w:jc w:val="center"/>
                                    </w:pPr>
                                    <w:r>
                                      <w:rPr>
                                        <w:rFonts w:ascii="Times New Roman" w:hAnsi="Times New Roman" w:eastAsia="宋体"/>
                                        <w:color w:val="000000"/>
                                        <w:kern w:val="2"/>
                                        <w:sz w:val="21"/>
                                        <w:szCs w:val="21"/>
                                      </w:rPr>
                                      <w:t>组装</w:t>
                                    </w:r>
                                  </w:p>
                                </w:txbxContent>
                              </v:textbox>
                            </v:shape>
                            <v:line id="直接连接符 186" o:spid="_x0000_s1026" o:spt="20" style="position:absolute;left:3465;top:2028;height:1;width:420;rotation:11796480f;" filled="f" stroked="t" coordsize="21600,21600" o:gfxdata="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2z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87" o:spid="_x0000_s1026" o:spt="202" type="#_x0000_t202" style="position:absolute;left:2516;top:1872;height:313;width:949;" fillcolor="#FFFFFF" filled="t" stroked="t" coordsize="21600,21600" o:gfxdata="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if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pStyle w:val="31"/>
                                      <w:kinsoku/>
                                      <w:spacing w:before="100" w:after="100"/>
                                      <w:ind w:left="0"/>
                                      <w:jc w:val="center"/>
                                    </w:pPr>
                                    <w:r>
                                      <w:rPr>
                                        <w:rFonts w:ascii="Times New Roman" w:hAnsi="Times New Roman" w:eastAsia="宋体"/>
                                        <w:color w:val="000000"/>
                                        <w:kern w:val="2"/>
                                        <w:sz w:val="21"/>
                                        <w:szCs w:val="21"/>
                                      </w:rPr>
                                      <w:t>喷漆晾干</w:t>
                                    </w:r>
                                  </w:p>
                                </w:txbxContent>
                              </v:textbox>
                            </v:shape>
                            <v:line id="直接连接符 188" o:spid="_x0000_s1026" o:spt="20" style="position:absolute;left:2010;top:2028;height:1;width:420;rotation:11796480f;" filled="f" stroked="t" coordsize="21600,21600" o:gfxdata="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kcn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89" o:spid="_x0000_s1026" o:spt="202" type="#_x0000_t202" style="position:absolute;left:1452;top:1838;height:327;width:644;" filled="f" stroked="f" coordsize="21600,21600" o:gfxdata="UEsDBAoAAAAAAIdO4kAAAAAAAAAAAAAAAAAEAAAAZHJzL1BLAwQUAAAACACHTuJAI/NUPr8AAADc&#10;AAAADwAAAGRycy9kb3ducmV2LnhtbEWPzWrDMBCE74W+g9hCb42UFEL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zVD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1"/>
                                        <w:szCs w:val="21"/>
                                      </w:rPr>
                                      <w:t>入库</w:t>
                                    </w:r>
                                  </w:p>
                                </w:txbxContent>
                              </v:textbox>
                            </v:shape>
                            <v:line id="直接连接符 190" o:spid="_x0000_s1026" o:spt="20" style="position:absolute;left:2112;top:468;flip:y;height:312;width:0;" filled="f" stroked="t" coordsize="21600,21600" o:gfxdata="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3BkWfrUAAADcAAAADwAA&#10;AAAAAAABACAAAAAiAAAAZHJzL2Rvd25yZXYueG1sUEsBAhQAFAAAAAgAh07iQDMvBZ47AAAAOQAA&#10;ABAAAAAAAAAAAQAgAAAABAEAAGRycy9zaGFwZXhtbC54bWxQSwUGAAAAAAYABgBbAQAArgMAAAAA&#10;">
                              <v:fill on="f" focussize="0,0"/>
                              <v:stroke color="#000000" joinstyle="round" dashstyle="dash" endarrow="block"/>
                              <v:imagedata o:title=""/>
                              <o:lock v:ext="edit" aspectratio="f"/>
                            </v:line>
                            <v:shape id="文本框 191" o:spid="_x0000_s1026" o:spt="202" type="#_x0000_t202" style="position:absolute;left:1560;top:156;height:312;width:1336;" fillcolor="#FFFFFF" filled="t" stroked="f" coordsize="21600,21600" o:gfxdata="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6zKG/&#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0"/>
                                        <w:szCs w:val="20"/>
                                      </w:rPr>
                                      <w:t>S、N、G</w:t>
                                    </w:r>
                                  </w:p>
                                </w:txbxContent>
                              </v:textbox>
                            </v:shape>
                            <v:line id="直接连接符 193" o:spid="_x0000_s1026" o:spt="20" style="position:absolute;left:3372;top:468;flip:y;height:312;width:0;" filled="f" stroked="t" coordsize="21600,21600" o:gfxdata="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ctkr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直接连接符 194" o:spid="_x0000_s1026" o:spt="20" style="position:absolute;left:4774;top:469;flip:y;height:312;width:0;" filled="f" stroked="t" coordsize="21600,21600" o:gfxdata="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4gJ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196" o:spid="_x0000_s1026" o:spt="20" style="position:absolute;left:5801;top:400;flip:y;height:312;width:1;" filled="f" stroked="t" coordsize="21600,21600" o:gfxdata="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iEH2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shape id="文本框 197" o:spid="_x0000_s1026" o:spt="202" type="#_x0000_t202" style="position:absolute;left:2984;top:186;height:312;width:695;"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1"/>
                                        <w:szCs w:val="21"/>
                                      </w:rPr>
                                      <w:t xml:space="preserve">  </w:t>
                                    </w:r>
                                    <w:r>
                                      <w:rPr>
                                        <w:rFonts w:ascii="Times New Roman" w:hAnsi="Times New Roman" w:eastAsia="宋体"/>
                                        <w:color w:val="000000"/>
                                        <w:kern w:val="2"/>
                                        <w:sz w:val="20"/>
                                        <w:szCs w:val="20"/>
                                      </w:rPr>
                                      <w:t>S、N</w:t>
                                    </w:r>
                                  </w:p>
                                </w:txbxContent>
                              </v:textbox>
                            </v:shape>
                            <v:line id="直接连接符 198" o:spid="_x0000_s1026" o:spt="20" style="position:absolute;left:4515;top:1560;flip:y;height:312;width:0;" filled="f" stroked="t" coordsize="21600,21600" o:gfxdata="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Lwrkb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line>
                            <v:shape id="文本框 199" o:spid="_x0000_s1026" o:spt="202" type="#_x0000_t202" style="position:absolute;left:4481;top:1293;height:330;width:336;"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0"/>
                                        <w:szCs w:val="20"/>
                                      </w:rPr>
                                      <w:t>N</w:t>
                                    </w:r>
                                  </w:p>
                                </w:txbxContent>
                              </v:textbox>
                            </v:shape>
                            <v:line id="直接连接符 200" o:spid="_x0000_s1026" o:spt="20" style="position:absolute;left:3009;top:1574;flip:x y;height:264;width:1;" filled="f" stroked="t" coordsize="21600,21600" o:gfxdata="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Xki/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shape id="文本框 201" o:spid="_x0000_s1026" o:spt="202" type="#_x0000_t202" style="position:absolute;left:2517;top:1280;height:312;width:1084;" filled="f" stroked="f" coordsize="21600,21600" o:gfxdata="UEsDBAoAAAAAAIdO4kAAAAAAAAAAAAAAAAAEAAAAZHJzL1BLAwQUAAAACACHTuJAe/UnQ78AAADc&#10;AAAADwAAAGRycy9kb3ducmV2LnhtbEWPzWrDMBCE74W+g9hCb42UUEL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1J0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0"/>
                                        <w:szCs w:val="20"/>
                                      </w:rPr>
                                      <w:t xml:space="preserve">  G、N、S</w:t>
                                    </w:r>
                                  </w:p>
                                </w:txbxContent>
                              </v:textbox>
                            </v:shape>
                            <v:line id="直接连接符 203" o:spid="_x0000_s1026" o:spt="20" style="position:absolute;left:5799;top:1089;flip:y;height:940;width:2;" filled="f" stroked="t" coordsize="21600,21600" o:gfxdata="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dadnugAAANw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shadow on="t" color="#000000" opacity="24903f" offset="0pt,1.5748031496063pt" origin="0f,32768f" matrix="65536f,0f,0f,65536f"/>
                            </v:line>
                            <v:shape id="文本框 204" o:spid="_x0000_s1026" o:spt="202" type="#_x0000_t202" style="position:absolute;left:5401;top:116;height:312;width:1213;" filled="f" stroked="f" coordsize="21600,21600" o:gfxdata="UEsDBAoAAAAAAIdO4kAAAAAAAAAAAAAAAAAEAAAAZHJzL1BLAwQUAAAACACHTuJAAFq9mL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q9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0"/>
                                        <w:szCs w:val="20"/>
                                      </w:rPr>
                                      <w:t>G、N、S</w:t>
                                    </w:r>
                                  </w:p>
                                </w:txbxContent>
                              </v:textbox>
                            </v:shape>
                            <v:shape id="文本框 3" o:spid="_x0000_s1026" o:spt="202" type="#_x0000_t202" style="position:absolute;left:4228;top:766;height:312;width:704;" fillcolor="#FFFFFF" filled="t" stroked="t" coordsize="21600,21600" o:gfxdata="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Nk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pStyle w:val="31"/>
                                      <w:kinsoku/>
                                      <w:spacing w:before="100" w:after="100"/>
                                      <w:ind w:left="0"/>
                                      <w:jc w:val="center"/>
                                    </w:pPr>
                                    <w:r>
                                      <w:rPr>
                                        <w:rFonts w:ascii="Times New Roman" w:hAnsi="Times New Roman" w:eastAsia="宋体"/>
                                        <w:color w:val="000000"/>
                                        <w:kern w:val="2"/>
                                        <w:sz w:val="21"/>
                                        <w:szCs w:val="21"/>
                                      </w:rPr>
                                      <w:t xml:space="preserve"> 焊接</w:t>
                                    </w:r>
                                  </w:p>
                                </w:txbxContent>
                              </v:textbox>
                            </v:shape>
                            <v:shape id="文本框 5" o:spid="_x0000_s1026" o:spt="202" type="#_x0000_t202" style="position:absolute;left:4156;top:200;height:312;width:1336;" filled="f" stroked="f" coordsize="21600,21600" o:gfxdata="UEsDBAoAAAAAAIdO4kAAAAAAAAAAAAAAAAAEAAAAZHJzL1BLAwQUAAAACACHTuJAn8SGdL8AAADc&#10;AAAADwAAAGRycy9kb3ducmV2LnhtbEWPT2sCMRTE70K/Q3gFb5qoVO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hn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1"/>
                                      <w:kinsoku/>
                                      <w:spacing w:before="100" w:after="100"/>
                                      <w:ind w:left="0"/>
                                      <w:jc w:val="both"/>
                                    </w:pPr>
                                    <w:r>
                                      <w:rPr>
                                        <w:rFonts w:ascii="Times New Roman" w:hAnsi="Times New Roman" w:eastAsia="宋体"/>
                                        <w:color w:val="000000"/>
                                        <w:kern w:val="2"/>
                                        <w:sz w:val="20"/>
                                        <w:szCs w:val="20"/>
                                      </w:rPr>
                                      <w:t>S、N、G</w:t>
                                    </w:r>
                                  </w:p>
                                </w:txbxContent>
                              </v:textbox>
                            </v:shape>
                            <v:line id="直接连接符 7" o:spid="_x0000_s1026" o:spt="20" style="position:absolute;left:5039;top:2032;flip:x y;height:9;width:771;" filled="f" stroked="t" coordsize="21600,21600" o:gfxdata="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7yJ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tc>
            </w:tr>
          </w:tbl>
          <w:p>
            <w:pPr>
              <w:jc w:val="center"/>
              <w:rPr>
                <w:b/>
                <w:bCs/>
                <w:color w:val="auto"/>
                <w:sz w:val="24"/>
                <w:highlight w:val="none"/>
              </w:rPr>
            </w:pPr>
            <w:r>
              <w:rPr>
                <w:rFonts w:hint="eastAsia"/>
                <w:b/>
                <w:bCs/>
                <w:color w:val="auto"/>
                <w:sz w:val="24"/>
                <w:highlight w:val="none"/>
              </w:rPr>
              <w:t xml:space="preserve">图2-2   </w:t>
            </w:r>
            <w:r>
              <w:rPr>
                <w:b/>
                <w:bCs/>
                <w:color w:val="auto"/>
                <w:sz w:val="24"/>
                <w:highlight w:val="none"/>
              </w:rPr>
              <w:t xml:space="preserve"> 生产工艺</w:t>
            </w:r>
            <w:r>
              <w:rPr>
                <w:rFonts w:hint="eastAsia"/>
                <w:b/>
                <w:bCs/>
                <w:color w:val="auto"/>
                <w:sz w:val="24"/>
                <w:highlight w:val="none"/>
              </w:rPr>
              <w:t>流程</w:t>
            </w:r>
            <w:r>
              <w:rPr>
                <w:b/>
                <w:bCs/>
                <w:color w:val="auto"/>
                <w:sz w:val="24"/>
                <w:highlight w:val="none"/>
              </w:rPr>
              <w:t>及产污节点图</w:t>
            </w:r>
          </w:p>
          <w:p>
            <w:pPr>
              <w:pStyle w:val="10"/>
              <w:spacing w:line="360" w:lineRule="auto"/>
              <w:rPr>
                <w:color w:val="auto"/>
                <w:sz w:val="24"/>
                <w:szCs w:val="24"/>
                <w:highlight w:val="none"/>
              </w:rPr>
            </w:pPr>
            <w:r>
              <w:rPr>
                <w:rFonts w:hint="eastAsia"/>
                <w:color w:val="auto"/>
                <w:sz w:val="24"/>
                <w:szCs w:val="24"/>
                <w:highlight w:val="none"/>
              </w:rPr>
              <w:t>工艺流程描述：</w:t>
            </w:r>
          </w:p>
          <w:p>
            <w:pPr>
              <w:pStyle w:val="10"/>
              <w:spacing w:line="360" w:lineRule="auto"/>
              <w:rPr>
                <w:color w:val="auto"/>
                <w:sz w:val="24"/>
                <w:szCs w:val="24"/>
                <w:highlight w:val="none"/>
              </w:rPr>
            </w:pPr>
            <w:r>
              <w:rPr>
                <w:rFonts w:hint="eastAsia"/>
                <w:color w:val="auto"/>
                <w:sz w:val="24"/>
                <w:szCs w:val="24"/>
                <w:highlight w:val="none"/>
              </w:rPr>
              <w:t>（1）下料</w:t>
            </w:r>
            <w:r>
              <w:rPr>
                <w:rFonts w:hint="eastAsia"/>
                <w:color w:val="auto"/>
                <w:sz w:val="24"/>
                <w:szCs w:val="24"/>
                <w:highlight w:val="none"/>
                <w:lang w:eastAsia="zh-CN"/>
              </w:rPr>
              <w:t>：</w:t>
            </w:r>
            <w:r>
              <w:rPr>
                <w:rFonts w:hint="eastAsia"/>
                <w:color w:val="auto"/>
                <w:sz w:val="24"/>
                <w:szCs w:val="24"/>
                <w:highlight w:val="none"/>
              </w:rPr>
              <w:t>根据设计图纸，将需要的钢板、型钢等钢材采用</w:t>
            </w:r>
            <w:r>
              <w:rPr>
                <w:rFonts w:hint="eastAsia"/>
                <w:color w:val="auto"/>
                <w:sz w:val="24"/>
                <w:szCs w:val="24"/>
                <w:highlight w:val="none"/>
                <w:lang w:val="en-US" w:eastAsia="zh-CN"/>
              </w:rPr>
              <w:t>切割机</w:t>
            </w:r>
            <w:r>
              <w:rPr>
                <w:rFonts w:hint="eastAsia"/>
                <w:color w:val="auto"/>
                <w:sz w:val="24"/>
                <w:szCs w:val="24"/>
                <w:highlight w:val="none"/>
              </w:rPr>
              <w:t>等进行切割下料。</w:t>
            </w:r>
            <w:r>
              <w:rPr>
                <w:rFonts w:hint="eastAsia"/>
                <w:color w:val="auto"/>
                <w:sz w:val="24"/>
                <w:szCs w:val="24"/>
                <w:highlight w:val="none"/>
                <w:lang w:val="en-US" w:eastAsia="zh-CN"/>
              </w:rPr>
              <w:t>钢板采用切割方式为氧气、乙炔切割，钢管和型钢采用切割方式为等离子切割。</w:t>
            </w:r>
            <w:r>
              <w:rPr>
                <w:rFonts w:hint="eastAsia"/>
                <w:color w:val="auto"/>
                <w:sz w:val="24"/>
                <w:szCs w:val="24"/>
                <w:highlight w:val="none"/>
              </w:rPr>
              <w:t>此过程中有噪声、固废、粉尘</w:t>
            </w:r>
            <w:r>
              <w:rPr>
                <w:rFonts w:hint="eastAsia"/>
                <w:color w:val="auto"/>
                <w:sz w:val="24"/>
                <w:szCs w:val="24"/>
                <w:highlight w:val="none"/>
                <w:lang w:val="en-US" w:eastAsia="zh-CN"/>
              </w:rPr>
              <w:t>产生</w:t>
            </w:r>
            <w:r>
              <w:rPr>
                <w:rFonts w:hint="eastAsia"/>
                <w:color w:val="auto"/>
                <w:sz w:val="24"/>
                <w:szCs w:val="24"/>
                <w:highlight w:val="none"/>
              </w:rPr>
              <w:t>。</w:t>
            </w:r>
          </w:p>
          <w:p>
            <w:pPr>
              <w:pStyle w:val="10"/>
              <w:spacing w:line="360" w:lineRule="auto"/>
              <w:rPr>
                <w:color w:val="auto"/>
                <w:sz w:val="24"/>
                <w:szCs w:val="24"/>
                <w:highlight w:val="none"/>
              </w:rPr>
            </w:pPr>
            <w:r>
              <w:rPr>
                <w:rFonts w:hint="eastAsia"/>
                <w:color w:val="auto"/>
                <w:sz w:val="24"/>
                <w:szCs w:val="24"/>
                <w:highlight w:val="none"/>
              </w:rPr>
              <w:t>（2）机加工：对工件进行精机加工</w:t>
            </w:r>
            <w:r>
              <w:rPr>
                <w:rFonts w:hint="eastAsia"/>
                <w:color w:val="auto"/>
                <w:sz w:val="24"/>
                <w:szCs w:val="24"/>
                <w:highlight w:val="none"/>
                <w:lang w:eastAsia="zh-CN"/>
              </w:rPr>
              <w:t>、</w:t>
            </w:r>
            <w:r>
              <w:rPr>
                <w:rFonts w:hint="eastAsia"/>
                <w:color w:val="auto"/>
                <w:sz w:val="24"/>
                <w:szCs w:val="24"/>
                <w:highlight w:val="none"/>
                <w:lang w:val="en-US" w:eastAsia="zh-CN"/>
              </w:rPr>
              <w:t>折边和卷管</w:t>
            </w:r>
            <w:r>
              <w:rPr>
                <w:rFonts w:hint="eastAsia"/>
                <w:color w:val="auto"/>
                <w:sz w:val="24"/>
                <w:szCs w:val="24"/>
                <w:highlight w:val="none"/>
              </w:rPr>
              <w:t>，包括车、铣、钻等。</w:t>
            </w:r>
          </w:p>
          <w:p>
            <w:pPr>
              <w:pStyle w:val="10"/>
              <w:spacing w:line="360" w:lineRule="auto"/>
              <w:rPr>
                <w:color w:val="auto"/>
                <w:sz w:val="24"/>
                <w:szCs w:val="24"/>
                <w:highlight w:val="none"/>
              </w:rPr>
            </w:pPr>
            <w:r>
              <w:rPr>
                <w:rFonts w:hint="eastAsia"/>
                <w:color w:val="auto"/>
                <w:sz w:val="24"/>
                <w:szCs w:val="24"/>
                <w:highlight w:val="none"/>
              </w:rPr>
              <w:t>（3）焊接</w:t>
            </w:r>
            <w:r>
              <w:rPr>
                <w:rFonts w:hint="eastAsia"/>
                <w:color w:val="auto"/>
                <w:sz w:val="24"/>
                <w:szCs w:val="24"/>
                <w:highlight w:val="none"/>
                <w:lang w:eastAsia="zh-CN"/>
              </w:rPr>
              <w:t>：</w:t>
            </w:r>
            <w:r>
              <w:rPr>
                <w:rFonts w:hint="eastAsia"/>
                <w:color w:val="auto"/>
                <w:sz w:val="24"/>
                <w:szCs w:val="24"/>
                <w:highlight w:val="none"/>
              </w:rPr>
              <w:t>将机加工成型后的配件进行焊接。该工序有焊接烟尘、固废、噪声产生。焊接烟尘采用移动式焊接烟尘净化器处理。</w:t>
            </w:r>
          </w:p>
          <w:p>
            <w:pPr>
              <w:pStyle w:val="10"/>
              <w:spacing w:line="360" w:lineRule="auto"/>
              <w:rPr>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抛丸：</w:t>
            </w:r>
            <w:r>
              <w:rPr>
                <w:rFonts w:hint="eastAsia"/>
                <w:color w:val="auto"/>
                <w:sz w:val="24"/>
                <w:szCs w:val="24"/>
                <w:highlight w:val="none"/>
              </w:rPr>
              <w:t>利用</w:t>
            </w:r>
            <w:r>
              <w:rPr>
                <w:rFonts w:hint="eastAsia"/>
                <w:color w:val="auto"/>
                <w:sz w:val="24"/>
                <w:szCs w:val="24"/>
                <w:highlight w:val="none"/>
                <w:lang w:eastAsia="zh-CN"/>
              </w:rPr>
              <w:t>抛丸</w:t>
            </w:r>
            <w:r>
              <w:rPr>
                <w:rFonts w:hint="eastAsia"/>
                <w:color w:val="auto"/>
                <w:sz w:val="24"/>
                <w:szCs w:val="24"/>
                <w:highlight w:val="none"/>
              </w:rPr>
              <w:t>机对工件进行</w:t>
            </w:r>
            <w:r>
              <w:rPr>
                <w:rFonts w:hint="eastAsia"/>
                <w:color w:val="auto"/>
                <w:sz w:val="24"/>
                <w:szCs w:val="24"/>
                <w:highlight w:val="none"/>
                <w:lang w:eastAsia="zh-CN"/>
              </w:rPr>
              <w:t>抛丸</w:t>
            </w:r>
            <w:r>
              <w:rPr>
                <w:rFonts w:hint="eastAsia"/>
                <w:color w:val="auto"/>
                <w:sz w:val="24"/>
                <w:szCs w:val="24"/>
                <w:highlight w:val="none"/>
              </w:rPr>
              <w:t>除锈，用电动机带动叶轮体旋转(直接带动或用V型皮带传动)，靠离心力的作用，将</w:t>
            </w:r>
            <w:r>
              <w:rPr>
                <w:rFonts w:hint="eastAsia"/>
                <w:color w:val="auto"/>
                <w:sz w:val="24"/>
                <w:szCs w:val="24"/>
                <w:highlight w:val="none"/>
                <w:lang w:val="en-US" w:eastAsia="zh-CN"/>
              </w:rPr>
              <w:t>钢丸</w:t>
            </w:r>
            <w:r>
              <w:rPr>
                <w:rFonts w:hint="eastAsia"/>
                <w:color w:val="auto"/>
                <w:sz w:val="24"/>
                <w:szCs w:val="24"/>
                <w:highlight w:val="none"/>
              </w:rPr>
              <w:t>抛向工件的表面，除去工件表面锈渍及氧化物，使工件的表面达到一定的粗糙度，通过提高工件表面的粗糙度，也提高了工件后续喷漆、喷涂的附着力。此过程中有</w:t>
            </w:r>
            <w:r>
              <w:rPr>
                <w:rFonts w:hint="eastAsia"/>
                <w:color w:val="auto"/>
                <w:sz w:val="24"/>
                <w:szCs w:val="24"/>
                <w:highlight w:val="none"/>
                <w:lang w:eastAsia="zh-CN"/>
              </w:rPr>
              <w:t>抛丸</w:t>
            </w:r>
            <w:r>
              <w:rPr>
                <w:rFonts w:hint="eastAsia"/>
                <w:color w:val="auto"/>
                <w:sz w:val="24"/>
                <w:szCs w:val="24"/>
                <w:highlight w:val="none"/>
              </w:rPr>
              <w:t>粉尘、废</w:t>
            </w:r>
            <w:r>
              <w:rPr>
                <w:rFonts w:hint="eastAsia"/>
                <w:color w:val="auto"/>
                <w:sz w:val="24"/>
                <w:szCs w:val="24"/>
                <w:highlight w:val="none"/>
                <w:lang w:val="en-US" w:eastAsia="zh-CN"/>
              </w:rPr>
              <w:t>钢丸</w:t>
            </w:r>
            <w:r>
              <w:rPr>
                <w:rFonts w:hint="eastAsia"/>
                <w:color w:val="auto"/>
                <w:sz w:val="24"/>
                <w:szCs w:val="24"/>
                <w:highlight w:val="none"/>
              </w:rPr>
              <w:t>及噪声产生。</w:t>
            </w:r>
          </w:p>
          <w:p>
            <w:pPr>
              <w:pStyle w:val="10"/>
              <w:spacing w:line="360" w:lineRule="auto"/>
              <w:rPr>
                <w:color w:val="auto"/>
                <w:sz w:val="24"/>
                <w:szCs w:val="24"/>
                <w:highlight w:val="none"/>
              </w:rPr>
            </w:pPr>
            <w:r>
              <w:rPr>
                <w:color w:val="auto"/>
                <w:sz w:val="24"/>
                <w:szCs w:val="24"/>
                <w:highlight w:val="none"/>
              </w:rPr>
              <w:t>（</w:t>
            </w:r>
            <w:r>
              <w:rPr>
                <w:rFonts w:hint="eastAsia"/>
                <w:color w:val="auto"/>
                <w:sz w:val="24"/>
                <w:szCs w:val="24"/>
                <w:highlight w:val="none"/>
              </w:rPr>
              <w:t>5）组装</w:t>
            </w:r>
            <w:r>
              <w:rPr>
                <w:rFonts w:hint="eastAsia"/>
                <w:color w:val="auto"/>
                <w:sz w:val="24"/>
                <w:szCs w:val="24"/>
                <w:highlight w:val="none"/>
                <w:lang w:eastAsia="zh-CN"/>
              </w:rPr>
              <w:t>：</w:t>
            </w:r>
            <w:r>
              <w:rPr>
                <w:rFonts w:hint="eastAsia"/>
                <w:color w:val="auto"/>
                <w:sz w:val="24"/>
                <w:szCs w:val="24"/>
                <w:highlight w:val="none"/>
              </w:rPr>
              <w:t>焊接后的各配件进行组装成型。</w:t>
            </w:r>
          </w:p>
          <w:p>
            <w:pPr>
              <w:pStyle w:val="10"/>
              <w:spacing w:line="360" w:lineRule="auto"/>
              <w:rPr>
                <w:color w:val="auto"/>
                <w:sz w:val="24"/>
                <w:szCs w:val="24"/>
                <w:highlight w:val="none"/>
              </w:rPr>
            </w:pPr>
            <w:r>
              <w:rPr>
                <w:color w:val="auto"/>
                <w:sz w:val="24"/>
                <w:szCs w:val="24"/>
                <w:highlight w:val="none"/>
              </w:rPr>
              <w:t>（</w:t>
            </w:r>
            <w:r>
              <w:rPr>
                <w:rFonts w:hint="eastAsia"/>
                <w:color w:val="auto"/>
                <w:sz w:val="24"/>
                <w:szCs w:val="24"/>
                <w:highlight w:val="none"/>
              </w:rPr>
              <w:t>6</w:t>
            </w:r>
            <w:r>
              <w:rPr>
                <w:color w:val="auto"/>
                <w:sz w:val="24"/>
                <w:szCs w:val="24"/>
                <w:highlight w:val="none"/>
              </w:rPr>
              <w:t>）喷漆</w:t>
            </w:r>
            <w:r>
              <w:rPr>
                <w:rFonts w:hint="eastAsia"/>
                <w:color w:val="auto"/>
                <w:sz w:val="24"/>
                <w:szCs w:val="24"/>
                <w:highlight w:val="none"/>
              </w:rPr>
              <w:t>、晾干</w:t>
            </w:r>
            <w:r>
              <w:rPr>
                <w:rFonts w:hint="eastAsia"/>
                <w:color w:val="auto"/>
                <w:sz w:val="24"/>
                <w:szCs w:val="24"/>
                <w:highlight w:val="none"/>
                <w:lang w:eastAsia="zh-CN"/>
              </w:rPr>
              <w:t>：</w:t>
            </w:r>
            <w:r>
              <w:rPr>
                <w:color w:val="auto"/>
                <w:sz w:val="24"/>
                <w:szCs w:val="24"/>
                <w:highlight w:val="none"/>
              </w:rPr>
              <w:t>采用人工喷漆的方式，将</w:t>
            </w:r>
            <w:r>
              <w:rPr>
                <w:rFonts w:hint="eastAsia"/>
                <w:color w:val="auto"/>
                <w:sz w:val="24"/>
                <w:szCs w:val="24"/>
                <w:highlight w:val="none"/>
              </w:rPr>
              <w:t>漆料</w:t>
            </w:r>
            <w:r>
              <w:rPr>
                <w:color w:val="auto"/>
                <w:sz w:val="24"/>
                <w:szCs w:val="24"/>
                <w:highlight w:val="none"/>
              </w:rPr>
              <w:t>对工件表面进行</w:t>
            </w:r>
            <w:r>
              <w:rPr>
                <w:rFonts w:hint="eastAsia"/>
                <w:color w:val="auto"/>
                <w:sz w:val="24"/>
                <w:szCs w:val="24"/>
                <w:highlight w:val="none"/>
              </w:rPr>
              <w:t>喷涂，喷涂后在喷漆房内晾干。</w:t>
            </w:r>
            <w:r>
              <w:rPr>
                <w:color w:val="auto"/>
                <w:sz w:val="24"/>
                <w:szCs w:val="24"/>
                <w:highlight w:val="none"/>
              </w:rPr>
              <w:t>喷涂</w:t>
            </w:r>
            <w:r>
              <w:rPr>
                <w:rFonts w:hint="eastAsia"/>
                <w:color w:val="auto"/>
                <w:sz w:val="24"/>
                <w:szCs w:val="24"/>
                <w:highlight w:val="none"/>
              </w:rPr>
              <w:t>、晾干</w:t>
            </w:r>
            <w:r>
              <w:rPr>
                <w:color w:val="auto"/>
                <w:sz w:val="24"/>
                <w:szCs w:val="24"/>
                <w:highlight w:val="none"/>
              </w:rPr>
              <w:t>在常温、密闭的喷漆房内进行；该工序有喷漆废气、</w:t>
            </w:r>
            <w:r>
              <w:rPr>
                <w:rFonts w:hint="eastAsia"/>
                <w:color w:val="auto"/>
                <w:sz w:val="24"/>
                <w:szCs w:val="24"/>
                <w:highlight w:val="none"/>
              </w:rPr>
              <w:t>晾干废气、</w:t>
            </w:r>
            <w:r>
              <w:rPr>
                <w:color w:val="auto"/>
                <w:sz w:val="24"/>
                <w:szCs w:val="24"/>
                <w:highlight w:val="none"/>
              </w:rPr>
              <w:t>噪声</w:t>
            </w:r>
            <w:r>
              <w:rPr>
                <w:rFonts w:hint="eastAsia"/>
                <w:color w:val="auto"/>
                <w:sz w:val="24"/>
                <w:szCs w:val="24"/>
                <w:highlight w:val="none"/>
              </w:rPr>
              <w:t>、废过滤棉及废活性炭</w:t>
            </w:r>
            <w:r>
              <w:rPr>
                <w:color w:val="auto"/>
                <w:sz w:val="24"/>
                <w:szCs w:val="24"/>
                <w:highlight w:val="none"/>
              </w:rPr>
              <w:t>产生。</w:t>
            </w:r>
          </w:p>
          <w:p>
            <w:pPr>
              <w:pStyle w:val="10"/>
              <w:spacing w:line="360" w:lineRule="auto"/>
              <w:rPr>
                <w:rFonts w:hint="eastAsia"/>
                <w:color w:val="auto"/>
                <w:highlight w:val="none"/>
                <w:lang w:eastAsia="zh-CN"/>
              </w:rPr>
            </w:pPr>
            <w:r>
              <w:rPr>
                <w:rFonts w:hint="eastAsia"/>
                <w:color w:val="auto"/>
                <w:sz w:val="24"/>
                <w:szCs w:val="24"/>
                <w:highlight w:val="none"/>
              </w:rPr>
              <w:t>（7）</w:t>
            </w:r>
            <w:r>
              <w:rPr>
                <w:color w:val="auto"/>
                <w:sz w:val="24"/>
                <w:szCs w:val="24"/>
                <w:highlight w:val="none"/>
              </w:rPr>
              <w:t>入库</w:t>
            </w:r>
            <w:r>
              <w:rPr>
                <w:rFonts w:hint="eastAsia"/>
                <w:color w:val="auto"/>
                <w:sz w:val="24"/>
                <w:szCs w:val="24"/>
                <w:highlight w:val="none"/>
                <w:lang w:eastAsia="zh-CN"/>
              </w:rPr>
              <w:t>：</w:t>
            </w:r>
            <w:r>
              <w:rPr>
                <w:color w:val="auto"/>
                <w:sz w:val="24"/>
                <w:szCs w:val="24"/>
                <w:highlight w:val="none"/>
              </w:rPr>
              <w:t>对喷漆</w:t>
            </w:r>
            <w:r>
              <w:rPr>
                <w:rFonts w:hint="eastAsia"/>
                <w:color w:val="auto"/>
                <w:sz w:val="24"/>
                <w:szCs w:val="24"/>
                <w:highlight w:val="none"/>
              </w:rPr>
              <w:t>晾干</w:t>
            </w:r>
            <w:r>
              <w:rPr>
                <w:color w:val="auto"/>
                <w:sz w:val="24"/>
                <w:szCs w:val="24"/>
                <w:highlight w:val="none"/>
              </w:rPr>
              <w:t>后的成品进行入库。</w:t>
            </w:r>
          </w:p>
          <w:p>
            <w:pPr>
              <w:spacing w:line="480" w:lineRule="exact"/>
              <w:ind w:firstLine="482" w:firstLineChars="200"/>
              <w:rPr>
                <w:color w:val="auto"/>
                <w:sz w:val="24"/>
                <w:szCs w:val="24"/>
                <w:highlight w:val="none"/>
              </w:rPr>
            </w:pPr>
            <w:r>
              <w:rPr>
                <w:b/>
                <w:color w:val="auto"/>
                <w:sz w:val="24"/>
                <w:szCs w:val="24"/>
                <w:highlight w:val="none"/>
              </w:rPr>
              <w:t>2、主要污染工序</w:t>
            </w:r>
          </w:p>
          <w:p>
            <w:pPr>
              <w:spacing w:line="480" w:lineRule="exact"/>
              <w:ind w:firstLine="480" w:firstLineChars="200"/>
              <w:rPr>
                <w:color w:val="auto"/>
                <w:sz w:val="24"/>
                <w:szCs w:val="24"/>
                <w:highlight w:val="none"/>
              </w:rPr>
            </w:pPr>
            <w:r>
              <w:rPr>
                <w:rFonts w:hint="eastAsia"/>
                <w:color w:val="auto"/>
                <w:sz w:val="24"/>
                <w:szCs w:val="24"/>
                <w:highlight w:val="none"/>
              </w:rPr>
              <w:t>①</w:t>
            </w:r>
            <w:r>
              <w:rPr>
                <w:color w:val="auto"/>
                <w:sz w:val="24"/>
                <w:szCs w:val="24"/>
                <w:highlight w:val="none"/>
              </w:rPr>
              <w:t>废气：</w:t>
            </w:r>
            <w:r>
              <w:rPr>
                <w:bCs/>
                <w:color w:val="auto"/>
                <w:sz w:val="24"/>
                <w:szCs w:val="24"/>
                <w:highlight w:val="none"/>
              </w:rPr>
              <w:t>下料工序</w:t>
            </w:r>
            <w:r>
              <w:rPr>
                <w:color w:val="auto"/>
                <w:sz w:val="24"/>
                <w:szCs w:val="24"/>
                <w:highlight w:val="none"/>
              </w:rPr>
              <w:t>产生的金属粉尘；</w:t>
            </w:r>
            <w:r>
              <w:rPr>
                <w:bCs/>
                <w:color w:val="auto"/>
                <w:sz w:val="24"/>
                <w:szCs w:val="24"/>
                <w:highlight w:val="none"/>
              </w:rPr>
              <w:t>焊接工序</w:t>
            </w:r>
            <w:r>
              <w:rPr>
                <w:color w:val="auto"/>
                <w:sz w:val="24"/>
                <w:szCs w:val="24"/>
                <w:highlight w:val="none"/>
              </w:rPr>
              <w:t>产生</w:t>
            </w:r>
            <w:r>
              <w:rPr>
                <w:rFonts w:hint="eastAsia"/>
                <w:color w:val="auto"/>
                <w:sz w:val="24"/>
                <w:szCs w:val="24"/>
                <w:highlight w:val="none"/>
              </w:rPr>
              <w:t>焊接</w:t>
            </w:r>
            <w:r>
              <w:rPr>
                <w:color w:val="auto"/>
                <w:sz w:val="24"/>
                <w:szCs w:val="24"/>
                <w:highlight w:val="none"/>
              </w:rPr>
              <w:t>烟尘；</w:t>
            </w:r>
            <w:r>
              <w:rPr>
                <w:rFonts w:hint="eastAsia"/>
                <w:color w:val="auto"/>
                <w:sz w:val="24"/>
                <w:szCs w:val="24"/>
                <w:highlight w:val="none"/>
              </w:rPr>
              <w:t>抛丸粉尘及废钢丸</w:t>
            </w:r>
            <w:r>
              <w:rPr>
                <w:color w:val="auto"/>
                <w:sz w:val="24"/>
                <w:szCs w:val="24"/>
                <w:highlight w:val="none"/>
              </w:rPr>
              <w:t>；喷漆、</w:t>
            </w:r>
            <w:r>
              <w:rPr>
                <w:rFonts w:hint="eastAsia"/>
                <w:color w:val="auto"/>
                <w:sz w:val="24"/>
                <w:szCs w:val="24"/>
                <w:highlight w:val="none"/>
              </w:rPr>
              <w:t>晾干</w:t>
            </w:r>
            <w:r>
              <w:rPr>
                <w:color w:val="auto"/>
                <w:sz w:val="24"/>
                <w:szCs w:val="24"/>
                <w:highlight w:val="none"/>
              </w:rPr>
              <w:t>产生的漆雾、有机废气。</w:t>
            </w:r>
          </w:p>
          <w:p>
            <w:pPr>
              <w:spacing w:line="480" w:lineRule="exact"/>
              <w:ind w:firstLine="480" w:firstLineChars="200"/>
              <w:rPr>
                <w:color w:val="auto"/>
                <w:sz w:val="24"/>
                <w:szCs w:val="24"/>
                <w:highlight w:val="none"/>
              </w:rPr>
            </w:pPr>
            <w:r>
              <w:rPr>
                <w:rFonts w:hint="eastAsia" w:ascii="宋体" w:hAnsi="宋体" w:cs="宋体"/>
                <w:color w:val="auto"/>
                <w:sz w:val="24"/>
                <w:szCs w:val="24"/>
                <w:highlight w:val="none"/>
              </w:rPr>
              <w:t>②</w:t>
            </w:r>
            <w:r>
              <w:rPr>
                <w:color w:val="auto"/>
                <w:sz w:val="24"/>
                <w:szCs w:val="24"/>
                <w:highlight w:val="none"/>
              </w:rPr>
              <w:t>废水：主要</w:t>
            </w:r>
            <w:r>
              <w:rPr>
                <w:rFonts w:hint="eastAsia"/>
                <w:color w:val="auto"/>
                <w:sz w:val="24"/>
                <w:szCs w:val="24"/>
                <w:highlight w:val="none"/>
                <w:lang w:val="en-US" w:eastAsia="zh-CN"/>
              </w:rPr>
              <w:t>为</w:t>
            </w:r>
            <w:r>
              <w:rPr>
                <w:color w:val="auto"/>
                <w:sz w:val="24"/>
                <w:szCs w:val="24"/>
                <w:highlight w:val="none"/>
              </w:rPr>
              <w:t>职工</w:t>
            </w:r>
            <w:r>
              <w:rPr>
                <w:rFonts w:hint="eastAsia"/>
                <w:color w:val="auto"/>
                <w:sz w:val="24"/>
                <w:szCs w:val="24"/>
                <w:highlight w:val="none"/>
              </w:rPr>
              <w:t>生活</w:t>
            </w:r>
            <w:r>
              <w:rPr>
                <w:color w:val="auto"/>
                <w:sz w:val="24"/>
                <w:szCs w:val="24"/>
                <w:highlight w:val="none"/>
              </w:rPr>
              <w:t>污水</w:t>
            </w:r>
            <w:r>
              <w:rPr>
                <w:rFonts w:hint="eastAsia"/>
                <w:color w:val="auto"/>
                <w:sz w:val="24"/>
                <w:szCs w:val="24"/>
                <w:highlight w:val="none"/>
              </w:rPr>
              <w:t>。</w:t>
            </w:r>
          </w:p>
          <w:p>
            <w:pPr>
              <w:spacing w:line="480" w:lineRule="exact"/>
              <w:ind w:firstLine="480" w:firstLineChars="200"/>
              <w:rPr>
                <w:rFonts w:hint="eastAsia" w:eastAsia="宋体"/>
                <w:color w:val="auto"/>
                <w:sz w:val="24"/>
                <w:szCs w:val="24"/>
                <w:highlight w:val="none"/>
                <w:lang w:eastAsia="zh-CN"/>
              </w:rPr>
            </w:pPr>
            <w:r>
              <w:rPr>
                <w:rFonts w:hint="eastAsia" w:ascii="宋体" w:hAnsi="宋体" w:cs="宋体"/>
                <w:color w:val="auto"/>
                <w:sz w:val="24"/>
                <w:szCs w:val="24"/>
                <w:highlight w:val="none"/>
              </w:rPr>
              <w:t>③</w:t>
            </w:r>
            <w:r>
              <w:rPr>
                <w:color w:val="auto"/>
                <w:sz w:val="24"/>
                <w:szCs w:val="24"/>
                <w:highlight w:val="none"/>
              </w:rPr>
              <w:t>噪声：机械设备产生的噪声</w:t>
            </w:r>
            <w:r>
              <w:rPr>
                <w:rFonts w:hint="eastAsia"/>
                <w:color w:val="auto"/>
                <w:sz w:val="24"/>
                <w:szCs w:val="24"/>
                <w:highlight w:val="none"/>
                <w:lang w:eastAsia="zh-CN"/>
              </w:rPr>
              <w:t>。</w:t>
            </w:r>
          </w:p>
          <w:p>
            <w:pPr>
              <w:spacing w:line="480" w:lineRule="exact"/>
              <w:ind w:firstLine="480" w:firstLineChars="200"/>
              <w:rPr>
                <w:color w:val="auto"/>
                <w:sz w:val="24"/>
                <w:szCs w:val="24"/>
                <w:highlight w:val="none"/>
              </w:rPr>
            </w:pPr>
            <w:r>
              <w:rPr>
                <w:rFonts w:hint="eastAsia" w:ascii="宋体" w:hAnsi="宋体" w:cs="宋体"/>
                <w:color w:val="auto"/>
                <w:sz w:val="24"/>
                <w:szCs w:val="24"/>
                <w:highlight w:val="none"/>
              </w:rPr>
              <w:t>④</w:t>
            </w:r>
            <w:r>
              <w:rPr>
                <w:color w:val="auto"/>
                <w:sz w:val="24"/>
                <w:szCs w:val="24"/>
                <w:highlight w:val="none"/>
              </w:rPr>
              <w:t>固废：</w:t>
            </w:r>
            <w:r>
              <w:rPr>
                <w:bCs/>
                <w:color w:val="auto"/>
                <w:sz w:val="24"/>
                <w:szCs w:val="24"/>
                <w:highlight w:val="none"/>
              </w:rPr>
              <w:t>下料工序自然沉降后收集的金属粉尘</w:t>
            </w:r>
            <w:r>
              <w:rPr>
                <w:rFonts w:hint="eastAsia"/>
                <w:bCs/>
                <w:color w:val="auto"/>
                <w:sz w:val="24"/>
                <w:szCs w:val="24"/>
                <w:highlight w:val="none"/>
                <w:lang w:eastAsia="zh-CN"/>
              </w:rPr>
              <w:t>、</w:t>
            </w:r>
            <w:r>
              <w:rPr>
                <w:rFonts w:hint="eastAsia"/>
                <w:bCs/>
                <w:color w:val="auto"/>
                <w:sz w:val="24"/>
                <w:szCs w:val="24"/>
                <w:highlight w:val="none"/>
                <w:lang w:val="en-US" w:eastAsia="zh-CN"/>
              </w:rPr>
              <w:t>除尘器收集的金属粉尘和</w:t>
            </w:r>
            <w:r>
              <w:rPr>
                <w:rFonts w:hint="eastAsia"/>
                <w:bCs/>
                <w:color w:val="auto"/>
                <w:sz w:val="24"/>
                <w:szCs w:val="24"/>
                <w:highlight w:val="none"/>
              </w:rPr>
              <w:t>边角料</w:t>
            </w:r>
            <w:r>
              <w:rPr>
                <w:bCs/>
                <w:color w:val="auto"/>
                <w:sz w:val="24"/>
                <w:szCs w:val="24"/>
                <w:highlight w:val="none"/>
              </w:rPr>
              <w:t>，</w:t>
            </w:r>
            <w:r>
              <w:rPr>
                <w:rFonts w:hint="eastAsia"/>
                <w:bCs/>
                <w:color w:val="auto"/>
                <w:sz w:val="24"/>
                <w:szCs w:val="24"/>
                <w:highlight w:val="none"/>
              </w:rPr>
              <w:t>焊接烟尘及焊渣、</w:t>
            </w:r>
            <w:r>
              <w:rPr>
                <w:rFonts w:hint="eastAsia"/>
                <w:bCs/>
                <w:color w:val="auto"/>
                <w:sz w:val="24"/>
                <w:szCs w:val="24"/>
                <w:highlight w:val="none"/>
                <w:lang w:eastAsia="zh-CN"/>
              </w:rPr>
              <w:t>抛丸粉尘及废钢丸，</w:t>
            </w:r>
            <w:r>
              <w:rPr>
                <w:bCs/>
                <w:color w:val="auto"/>
                <w:sz w:val="24"/>
                <w:szCs w:val="24"/>
                <w:highlight w:val="none"/>
              </w:rPr>
              <w:t>漆渣</w:t>
            </w:r>
            <w:r>
              <w:rPr>
                <w:rFonts w:hint="eastAsia"/>
                <w:bCs/>
                <w:color w:val="auto"/>
                <w:sz w:val="24"/>
                <w:szCs w:val="24"/>
                <w:highlight w:val="none"/>
              </w:rPr>
              <w:t>、</w:t>
            </w:r>
            <w:r>
              <w:rPr>
                <w:bCs/>
                <w:color w:val="auto"/>
                <w:sz w:val="24"/>
                <w:szCs w:val="24"/>
                <w:highlight w:val="none"/>
              </w:rPr>
              <w:t>废过滤棉、</w:t>
            </w:r>
            <w:r>
              <w:rPr>
                <w:color w:val="auto"/>
                <w:sz w:val="24"/>
                <w:szCs w:val="24"/>
                <w:highlight w:val="none"/>
              </w:rPr>
              <w:t>废活性炭</w:t>
            </w:r>
            <w:r>
              <w:rPr>
                <w:rFonts w:hint="eastAsia"/>
                <w:color w:val="auto"/>
                <w:sz w:val="24"/>
                <w:szCs w:val="24"/>
                <w:highlight w:val="none"/>
                <w:lang w:eastAsia="zh-CN"/>
              </w:rPr>
              <w:t>、</w:t>
            </w:r>
            <w:r>
              <w:rPr>
                <w:color w:val="auto"/>
                <w:sz w:val="24"/>
                <w:szCs w:val="24"/>
                <w:highlight w:val="none"/>
              </w:rPr>
              <w:t>废漆</w:t>
            </w:r>
            <w:r>
              <w:rPr>
                <w:rFonts w:hint="eastAsia"/>
                <w:color w:val="auto"/>
                <w:sz w:val="24"/>
                <w:szCs w:val="24"/>
                <w:highlight w:val="none"/>
              </w:rPr>
              <w:t>料</w:t>
            </w:r>
            <w:r>
              <w:rPr>
                <w:color w:val="auto"/>
                <w:sz w:val="24"/>
                <w:szCs w:val="24"/>
                <w:highlight w:val="none"/>
              </w:rPr>
              <w:t>桶</w:t>
            </w:r>
            <w:r>
              <w:rPr>
                <w:rFonts w:hint="eastAsia"/>
                <w:color w:val="auto"/>
                <w:sz w:val="24"/>
                <w:szCs w:val="24"/>
                <w:highlight w:val="none"/>
                <w:lang w:eastAsia="zh-CN"/>
              </w:rPr>
              <w:t>、废机油、废机油桶</w:t>
            </w:r>
            <w:r>
              <w:rPr>
                <w:rFonts w:hint="eastAsia"/>
                <w:color w:val="auto"/>
                <w:sz w:val="24"/>
                <w:szCs w:val="24"/>
                <w:highlight w:val="none"/>
              </w:rPr>
              <w:t>；</w:t>
            </w:r>
            <w:r>
              <w:rPr>
                <w:bCs/>
                <w:color w:val="auto"/>
                <w:sz w:val="24"/>
                <w:szCs w:val="24"/>
                <w:highlight w:val="none"/>
              </w:rPr>
              <w:t>生活垃圾</w:t>
            </w:r>
            <w:r>
              <w:rPr>
                <w:color w:val="auto"/>
                <w:sz w:val="24"/>
                <w:szCs w:val="24"/>
                <w:highlight w:val="none"/>
              </w:rPr>
              <w:t>。</w:t>
            </w:r>
          </w:p>
          <w:p>
            <w:pPr>
              <w:pStyle w:val="59"/>
              <w:spacing w:line="480" w:lineRule="exact"/>
              <w:ind w:firstLineChars="0"/>
              <w:jc w:val="left"/>
              <w:rPr>
                <w:rFonts w:ascii="Times New Roman" w:eastAsia="宋体"/>
                <w:bCs/>
                <w:color w:val="auto"/>
                <w:sz w:val="24"/>
                <w:szCs w:val="24"/>
                <w:highlight w:val="none"/>
              </w:rPr>
            </w:pPr>
            <w:r>
              <w:rPr>
                <w:rFonts w:ascii="Times New Roman" w:eastAsia="宋体"/>
                <w:bCs/>
                <w:color w:val="auto"/>
                <w:sz w:val="24"/>
                <w:szCs w:val="24"/>
                <w:highlight w:val="none"/>
              </w:rPr>
              <w:t>本项目营运期主要污染工序具体见下表。</w:t>
            </w:r>
          </w:p>
          <w:p>
            <w:pPr>
              <w:pStyle w:val="59"/>
              <w:spacing w:line="480" w:lineRule="exact"/>
              <w:ind w:firstLineChars="0"/>
              <w:jc w:val="center"/>
              <w:rPr>
                <w:rFonts w:ascii="Times New Roman" w:eastAsia="宋体"/>
                <w:color w:val="auto"/>
                <w:highlight w:val="none"/>
              </w:rPr>
            </w:pPr>
            <w:r>
              <w:rPr>
                <w:rFonts w:ascii="Times New Roman" w:eastAsia="宋体"/>
                <w:b/>
                <w:bCs/>
                <w:color w:val="auto"/>
                <w:sz w:val="24"/>
                <w:szCs w:val="24"/>
                <w:highlight w:val="none"/>
              </w:rPr>
              <w:t>表2</w:t>
            </w:r>
            <w:r>
              <w:rPr>
                <w:rFonts w:hint="eastAsia" w:ascii="Times New Roman" w:eastAsia="宋体"/>
                <w:b/>
                <w:bCs/>
                <w:color w:val="auto"/>
                <w:sz w:val="24"/>
                <w:szCs w:val="24"/>
                <w:highlight w:val="none"/>
              </w:rPr>
              <w:t xml:space="preserve">-7  </w:t>
            </w:r>
            <w:r>
              <w:rPr>
                <w:rFonts w:ascii="宋体" w:hAnsi="宋体" w:eastAsia="宋体" w:cs="宋体"/>
                <w:b/>
                <w:bCs/>
                <w:color w:val="auto"/>
                <w:sz w:val="24"/>
                <w:szCs w:val="24"/>
                <w:highlight w:val="none"/>
              </w:rPr>
              <w:t>主要产污环节和排污特征</w:t>
            </w:r>
          </w:p>
          <w:tbl>
            <w:tblPr>
              <w:tblStyle w:val="35"/>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932"/>
              <w:gridCol w:w="373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widowControl/>
                    <w:jc w:val="center"/>
                    <w:textAlignment w:val="center"/>
                    <w:rPr>
                      <w:b/>
                      <w:bCs/>
                      <w:color w:val="auto"/>
                      <w:kern w:val="0"/>
                      <w:szCs w:val="21"/>
                      <w:highlight w:val="none"/>
                      <w:lang w:bidi="ar"/>
                    </w:rPr>
                  </w:pPr>
                  <w:r>
                    <w:rPr>
                      <w:rFonts w:hint="eastAsia"/>
                      <w:b/>
                      <w:bCs/>
                      <w:color w:val="auto"/>
                      <w:kern w:val="0"/>
                      <w:szCs w:val="21"/>
                      <w:highlight w:val="none"/>
                      <w:lang w:bidi="ar"/>
                    </w:rPr>
                    <w:t>类别</w:t>
                  </w:r>
                </w:p>
              </w:tc>
              <w:tc>
                <w:tcPr>
                  <w:tcW w:w="1932" w:type="dxa"/>
                  <w:vAlign w:val="center"/>
                </w:tcPr>
                <w:p>
                  <w:pPr>
                    <w:widowControl/>
                    <w:jc w:val="center"/>
                    <w:textAlignment w:val="center"/>
                    <w:rPr>
                      <w:b/>
                      <w:bCs/>
                      <w:color w:val="auto"/>
                      <w:kern w:val="0"/>
                      <w:szCs w:val="21"/>
                      <w:highlight w:val="none"/>
                      <w:lang w:bidi="ar"/>
                    </w:rPr>
                  </w:pPr>
                  <w:r>
                    <w:rPr>
                      <w:rFonts w:hint="eastAsia"/>
                      <w:b/>
                      <w:bCs/>
                      <w:color w:val="auto"/>
                      <w:kern w:val="0"/>
                      <w:szCs w:val="21"/>
                      <w:highlight w:val="none"/>
                      <w:lang w:bidi="ar"/>
                    </w:rPr>
                    <w:t>产生节点</w:t>
                  </w:r>
                </w:p>
              </w:tc>
              <w:tc>
                <w:tcPr>
                  <w:tcW w:w="3735" w:type="dxa"/>
                  <w:vAlign w:val="center"/>
                </w:tcPr>
                <w:p>
                  <w:pPr>
                    <w:widowControl/>
                    <w:jc w:val="center"/>
                    <w:textAlignment w:val="center"/>
                    <w:rPr>
                      <w:b/>
                      <w:bCs/>
                      <w:color w:val="auto"/>
                      <w:kern w:val="0"/>
                      <w:szCs w:val="21"/>
                      <w:highlight w:val="none"/>
                      <w:lang w:bidi="ar"/>
                    </w:rPr>
                  </w:pPr>
                  <w:r>
                    <w:rPr>
                      <w:rFonts w:hint="eastAsia"/>
                      <w:b/>
                      <w:bCs/>
                      <w:color w:val="auto"/>
                      <w:kern w:val="0"/>
                      <w:szCs w:val="21"/>
                      <w:highlight w:val="none"/>
                      <w:lang w:bidi="ar"/>
                    </w:rPr>
                    <w:t>污染物</w:t>
                  </w:r>
                </w:p>
              </w:tc>
              <w:tc>
                <w:tcPr>
                  <w:tcW w:w="1201" w:type="dxa"/>
                  <w:vAlign w:val="center"/>
                </w:tcPr>
                <w:p>
                  <w:pPr>
                    <w:widowControl/>
                    <w:jc w:val="center"/>
                    <w:textAlignment w:val="center"/>
                    <w:rPr>
                      <w:b/>
                      <w:bCs/>
                      <w:color w:val="auto"/>
                      <w:kern w:val="0"/>
                      <w:szCs w:val="21"/>
                      <w:highlight w:val="none"/>
                      <w:lang w:bidi="ar"/>
                    </w:rPr>
                  </w:pPr>
                  <w:r>
                    <w:rPr>
                      <w:rFonts w:hint="eastAsia"/>
                      <w:b/>
                      <w:bCs/>
                      <w:color w:val="auto"/>
                      <w:kern w:val="0"/>
                      <w:szCs w:val="21"/>
                      <w:highlight w:val="none"/>
                      <w:lang w:bidi="ar"/>
                    </w:rPr>
                    <w:t>产生特征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0" w:type="dxa"/>
                  <w:vMerge w:val="restart"/>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大气</w:t>
                  </w: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切割下料</w:t>
                  </w:r>
                </w:p>
              </w:tc>
              <w:tc>
                <w:tcPr>
                  <w:tcW w:w="3735" w:type="dxa"/>
                  <w:vAlign w:val="center"/>
                </w:tcPr>
                <w:p>
                  <w:pPr>
                    <w:jc w:val="center"/>
                    <w:rPr>
                      <w:color w:val="auto"/>
                      <w:highlight w:val="none"/>
                    </w:rPr>
                  </w:pPr>
                  <w:r>
                    <w:rPr>
                      <w:bCs/>
                      <w:color w:val="auto"/>
                      <w:szCs w:val="21"/>
                      <w:highlight w:val="none"/>
                    </w:rPr>
                    <w:t>颗粒物</w:t>
                  </w:r>
                </w:p>
              </w:tc>
              <w:tc>
                <w:tcPr>
                  <w:tcW w:w="1201" w:type="dxa"/>
                  <w:vAlign w:val="center"/>
                </w:tcPr>
                <w:p>
                  <w:pPr>
                    <w:widowControl/>
                    <w:jc w:val="center"/>
                    <w:textAlignment w:val="center"/>
                    <w:rPr>
                      <w:color w:val="auto"/>
                      <w:kern w:val="0"/>
                      <w:szCs w:val="21"/>
                      <w:highlight w:val="none"/>
                      <w:lang w:bidi="ar"/>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焊接</w:t>
                  </w:r>
                </w:p>
              </w:tc>
              <w:tc>
                <w:tcPr>
                  <w:tcW w:w="3735" w:type="dxa"/>
                  <w:vAlign w:val="center"/>
                </w:tcPr>
                <w:p>
                  <w:pPr>
                    <w:jc w:val="center"/>
                    <w:rPr>
                      <w:color w:val="auto"/>
                      <w:highlight w:val="none"/>
                    </w:rPr>
                  </w:pPr>
                  <w:r>
                    <w:rPr>
                      <w:bCs/>
                      <w:color w:val="auto"/>
                      <w:szCs w:val="21"/>
                      <w:highlight w:val="none"/>
                    </w:rPr>
                    <w:t>颗粒物</w:t>
                  </w:r>
                </w:p>
              </w:tc>
              <w:tc>
                <w:tcPr>
                  <w:tcW w:w="1201" w:type="dxa"/>
                  <w:vAlign w:val="center"/>
                </w:tcPr>
                <w:p>
                  <w:pPr>
                    <w:widowControl/>
                    <w:jc w:val="center"/>
                    <w:textAlignment w:val="center"/>
                    <w:rPr>
                      <w:color w:val="auto"/>
                      <w:kern w:val="0"/>
                      <w:szCs w:val="21"/>
                      <w:highlight w:val="none"/>
                      <w:lang w:bidi="ar"/>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rFonts w:hint="eastAsia" w:eastAsia="宋体"/>
                      <w:color w:val="auto"/>
                      <w:kern w:val="0"/>
                      <w:szCs w:val="21"/>
                      <w:highlight w:val="none"/>
                      <w:lang w:eastAsia="zh-CN" w:bidi="ar"/>
                    </w:rPr>
                  </w:pPr>
                  <w:r>
                    <w:rPr>
                      <w:rFonts w:hint="eastAsia"/>
                      <w:color w:val="auto"/>
                      <w:kern w:val="0"/>
                      <w:szCs w:val="21"/>
                      <w:highlight w:val="none"/>
                      <w:lang w:eastAsia="zh-CN" w:bidi="ar"/>
                    </w:rPr>
                    <w:t>抛丸</w:t>
                  </w:r>
                </w:p>
              </w:tc>
              <w:tc>
                <w:tcPr>
                  <w:tcW w:w="3735" w:type="dxa"/>
                  <w:vAlign w:val="center"/>
                </w:tcPr>
                <w:p>
                  <w:pPr>
                    <w:jc w:val="center"/>
                    <w:rPr>
                      <w:bCs/>
                      <w:color w:val="auto"/>
                      <w:szCs w:val="21"/>
                      <w:highlight w:val="none"/>
                    </w:rPr>
                  </w:pPr>
                  <w:r>
                    <w:rPr>
                      <w:bCs/>
                      <w:color w:val="auto"/>
                      <w:szCs w:val="21"/>
                      <w:highlight w:val="none"/>
                    </w:rPr>
                    <w:t>颗粒物</w:t>
                  </w:r>
                </w:p>
              </w:tc>
              <w:tc>
                <w:tcPr>
                  <w:tcW w:w="1201" w:type="dxa"/>
                  <w:vAlign w:val="center"/>
                </w:tcPr>
                <w:p>
                  <w:pPr>
                    <w:widowControl/>
                    <w:jc w:val="center"/>
                    <w:textAlignment w:val="center"/>
                    <w:rPr>
                      <w:bCs/>
                      <w:color w:val="auto"/>
                      <w:szCs w:val="21"/>
                      <w:highlight w:val="none"/>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喷漆、晾干</w:t>
                  </w:r>
                </w:p>
              </w:tc>
              <w:tc>
                <w:tcPr>
                  <w:tcW w:w="3735"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颗粒物、非甲烷总烃</w:t>
                  </w:r>
                </w:p>
              </w:tc>
              <w:tc>
                <w:tcPr>
                  <w:tcW w:w="1201" w:type="dxa"/>
                  <w:vAlign w:val="center"/>
                </w:tcPr>
                <w:p>
                  <w:pPr>
                    <w:widowControl/>
                    <w:jc w:val="center"/>
                    <w:textAlignment w:val="center"/>
                    <w:rPr>
                      <w:color w:val="auto"/>
                      <w:kern w:val="0"/>
                      <w:szCs w:val="21"/>
                      <w:highlight w:val="none"/>
                      <w:lang w:bidi="ar"/>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90"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水</w:t>
                  </w: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生活污水</w:t>
                  </w:r>
                </w:p>
              </w:tc>
              <w:tc>
                <w:tcPr>
                  <w:tcW w:w="3735" w:type="dxa"/>
                  <w:vAlign w:val="center"/>
                </w:tcPr>
                <w:p>
                  <w:pPr>
                    <w:widowControl/>
                    <w:jc w:val="center"/>
                    <w:textAlignment w:val="center"/>
                    <w:rPr>
                      <w:color w:val="auto"/>
                      <w:kern w:val="0"/>
                      <w:szCs w:val="21"/>
                      <w:highlight w:val="none"/>
                      <w:lang w:bidi="ar"/>
                    </w:rPr>
                  </w:pPr>
                  <w:r>
                    <w:rPr>
                      <w:color w:val="auto"/>
                      <w:szCs w:val="21"/>
                      <w:highlight w:val="none"/>
                    </w:rPr>
                    <w:t>COD</w:t>
                  </w:r>
                  <w:r>
                    <w:rPr>
                      <w:rFonts w:hint="eastAsia"/>
                      <w:color w:val="auto"/>
                      <w:kern w:val="0"/>
                      <w:szCs w:val="21"/>
                      <w:highlight w:val="none"/>
                      <w:lang w:bidi="ar"/>
                    </w:rPr>
                    <w:t>、</w:t>
                  </w:r>
                  <w:r>
                    <w:rPr>
                      <w:color w:val="auto"/>
                      <w:szCs w:val="21"/>
                      <w:highlight w:val="none"/>
                    </w:rPr>
                    <w:t>BOD</w:t>
                  </w:r>
                  <w:r>
                    <w:rPr>
                      <w:color w:val="auto"/>
                      <w:szCs w:val="21"/>
                      <w:highlight w:val="none"/>
                      <w:vertAlign w:val="subscript"/>
                    </w:rPr>
                    <w:t>5</w:t>
                  </w:r>
                  <w:r>
                    <w:rPr>
                      <w:rFonts w:hint="eastAsia"/>
                      <w:color w:val="auto"/>
                      <w:kern w:val="0"/>
                      <w:szCs w:val="21"/>
                      <w:highlight w:val="none"/>
                      <w:lang w:bidi="ar"/>
                    </w:rPr>
                    <w:t>、</w:t>
                  </w:r>
                  <w:r>
                    <w:rPr>
                      <w:color w:val="auto"/>
                      <w:szCs w:val="21"/>
                      <w:highlight w:val="none"/>
                    </w:rPr>
                    <w:t>SS</w:t>
                  </w:r>
                  <w:r>
                    <w:rPr>
                      <w:rFonts w:hint="eastAsia"/>
                      <w:color w:val="auto"/>
                      <w:kern w:val="0"/>
                      <w:szCs w:val="21"/>
                      <w:highlight w:val="none"/>
                      <w:lang w:bidi="ar"/>
                    </w:rPr>
                    <w:t>、</w:t>
                  </w:r>
                  <w:r>
                    <w:rPr>
                      <w:bCs/>
                      <w:color w:val="auto"/>
                      <w:szCs w:val="21"/>
                      <w:highlight w:val="none"/>
                    </w:rPr>
                    <w:t>NH</w:t>
                  </w:r>
                  <w:r>
                    <w:rPr>
                      <w:bCs/>
                      <w:color w:val="auto"/>
                      <w:szCs w:val="21"/>
                      <w:highlight w:val="none"/>
                      <w:vertAlign w:val="subscript"/>
                    </w:rPr>
                    <w:t>3</w:t>
                  </w:r>
                  <w:r>
                    <w:rPr>
                      <w:bCs/>
                      <w:color w:val="auto"/>
                      <w:szCs w:val="21"/>
                      <w:highlight w:val="none"/>
                    </w:rPr>
                    <w:t>-N</w:t>
                  </w:r>
                </w:p>
              </w:tc>
              <w:tc>
                <w:tcPr>
                  <w:tcW w:w="1201" w:type="dxa"/>
                  <w:vAlign w:val="center"/>
                </w:tcPr>
                <w:p>
                  <w:pPr>
                    <w:widowControl/>
                    <w:jc w:val="center"/>
                    <w:textAlignment w:val="center"/>
                    <w:rPr>
                      <w:color w:val="auto"/>
                      <w:kern w:val="0"/>
                      <w:szCs w:val="21"/>
                      <w:highlight w:val="none"/>
                      <w:lang w:bidi="ar"/>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噪声</w:t>
                  </w: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下料</w:t>
                  </w:r>
                </w:p>
              </w:tc>
              <w:tc>
                <w:tcPr>
                  <w:tcW w:w="3735" w:type="dxa"/>
                  <w:vMerge w:val="restart"/>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噪声</w:t>
                  </w:r>
                </w:p>
              </w:tc>
              <w:tc>
                <w:tcPr>
                  <w:tcW w:w="1201" w:type="dxa"/>
                  <w:vMerge w:val="restart"/>
                  <w:vAlign w:val="center"/>
                </w:tcPr>
                <w:p>
                  <w:pPr>
                    <w:widowControl/>
                    <w:jc w:val="center"/>
                    <w:textAlignment w:val="center"/>
                    <w:rPr>
                      <w:color w:val="auto"/>
                      <w:highlight w:val="none"/>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机加工</w:t>
                  </w:r>
                </w:p>
              </w:tc>
              <w:tc>
                <w:tcPr>
                  <w:tcW w:w="3735" w:type="dxa"/>
                  <w:vMerge w:val="continue"/>
                  <w:vAlign w:val="center"/>
                </w:tcPr>
                <w:p>
                  <w:pPr>
                    <w:widowControl/>
                    <w:jc w:val="center"/>
                    <w:textAlignment w:val="center"/>
                    <w:rPr>
                      <w:color w:val="auto"/>
                      <w:kern w:val="0"/>
                      <w:szCs w:val="21"/>
                      <w:highlight w:val="none"/>
                      <w:lang w:bidi="ar"/>
                    </w:rPr>
                  </w:pPr>
                </w:p>
              </w:tc>
              <w:tc>
                <w:tcPr>
                  <w:tcW w:w="1201" w:type="dxa"/>
                  <w:vMerge w:val="continue"/>
                  <w:vAlign w:val="center"/>
                </w:tcPr>
                <w:p>
                  <w:pPr>
                    <w:widowControl/>
                    <w:jc w:val="center"/>
                    <w:textAlignment w:val="center"/>
                    <w:rPr>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焊接</w:t>
                  </w:r>
                </w:p>
              </w:tc>
              <w:tc>
                <w:tcPr>
                  <w:tcW w:w="3735" w:type="dxa"/>
                  <w:vMerge w:val="continue"/>
                  <w:vAlign w:val="center"/>
                </w:tcPr>
                <w:p>
                  <w:pPr>
                    <w:widowControl/>
                    <w:jc w:val="center"/>
                    <w:textAlignment w:val="center"/>
                    <w:rPr>
                      <w:color w:val="auto"/>
                      <w:kern w:val="0"/>
                      <w:szCs w:val="21"/>
                      <w:highlight w:val="none"/>
                      <w:lang w:bidi="ar"/>
                    </w:rPr>
                  </w:pPr>
                </w:p>
              </w:tc>
              <w:tc>
                <w:tcPr>
                  <w:tcW w:w="1201" w:type="dxa"/>
                  <w:vMerge w:val="continue"/>
                  <w:vAlign w:val="center"/>
                </w:tcPr>
                <w:p>
                  <w:pPr>
                    <w:widowControl/>
                    <w:jc w:val="center"/>
                    <w:textAlignment w:val="center"/>
                    <w:rPr>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rFonts w:hint="eastAsia" w:eastAsia="宋体"/>
                      <w:color w:val="auto"/>
                      <w:kern w:val="0"/>
                      <w:szCs w:val="21"/>
                      <w:highlight w:val="none"/>
                      <w:lang w:eastAsia="zh-CN" w:bidi="ar"/>
                    </w:rPr>
                  </w:pPr>
                  <w:r>
                    <w:rPr>
                      <w:rFonts w:hint="eastAsia"/>
                      <w:color w:val="auto"/>
                      <w:kern w:val="0"/>
                      <w:szCs w:val="21"/>
                      <w:highlight w:val="none"/>
                      <w:lang w:eastAsia="zh-CN" w:bidi="ar"/>
                    </w:rPr>
                    <w:t>抛丸</w:t>
                  </w:r>
                </w:p>
              </w:tc>
              <w:tc>
                <w:tcPr>
                  <w:tcW w:w="3735" w:type="dxa"/>
                  <w:vMerge w:val="continue"/>
                  <w:vAlign w:val="center"/>
                </w:tcPr>
                <w:p>
                  <w:pPr>
                    <w:widowControl/>
                    <w:jc w:val="center"/>
                    <w:textAlignment w:val="center"/>
                    <w:rPr>
                      <w:color w:val="auto"/>
                      <w:kern w:val="0"/>
                      <w:szCs w:val="21"/>
                      <w:highlight w:val="none"/>
                      <w:lang w:bidi="ar"/>
                    </w:rPr>
                  </w:pPr>
                </w:p>
              </w:tc>
              <w:tc>
                <w:tcPr>
                  <w:tcW w:w="1201" w:type="dxa"/>
                  <w:vMerge w:val="continue"/>
                  <w:vAlign w:val="center"/>
                </w:tcPr>
                <w:p>
                  <w:pPr>
                    <w:widowControl/>
                    <w:jc w:val="center"/>
                    <w:textAlignment w:val="center"/>
                    <w:rPr>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组装</w:t>
                  </w:r>
                </w:p>
              </w:tc>
              <w:tc>
                <w:tcPr>
                  <w:tcW w:w="3735" w:type="dxa"/>
                  <w:vMerge w:val="continue"/>
                  <w:vAlign w:val="center"/>
                </w:tcPr>
                <w:p>
                  <w:pPr>
                    <w:widowControl/>
                    <w:jc w:val="center"/>
                    <w:textAlignment w:val="center"/>
                    <w:rPr>
                      <w:color w:val="auto"/>
                      <w:kern w:val="0"/>
                      <w:szCs w:val="21"/>
                      <w:highlight w:val="none"/>
                      <w:lang w:bidi="ar"/>
                    </w:rPr>
                  </w:pPr>
                </w:p>
              </w:tc>
              <w:tc>
                <w:tcPr>
                  <w:tcW w:w="1201" w:type="dxa"/>
                  <w:vMerge w:val="continue"/>
                  <w:vAlign w:val="center"/>
                </w:tcPr>
                <w:p>
                  <w:pPr>
                    <w:widowControl/>
                    <w:jc w:val="center"/>
                    <w:textAlignment w:val="center"/>
                    <w:rPr>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喷漆</w:t>
                  </w:r>
                </w:p>
              </w:tc>
              <w:tc>
                <w:tcPr>
                  <w:tcW w:w="3735" w:type="dxa"/>
                  <w:vMerge w:val="continue"/>
                  <w:vAlign w:val="center"/>
                </w:tcPr>
                <w:p>
                  <w:pPr>
                    <w:widowControl/>
                    <w:jc w:val="center"/>
                    <w:textAlignment w:val="center"/>
                    <w:rPr>
                      <w:color w:val="auto"/>
                      <w:kern w:val="0"/>
                      <w:szCs w:val="21"/>
                      <w:highlight w:val="none"/>
                      <w:lang w:bidi="ar"/>
                    </w:rPr>
                  </w:pPr>
                </w:p>
              </w:tc>
              <w:tc>
                <w:tcPr>
                  <w:tcW w:w="1201" w:type="dxa"/>
                  <w:vMerge w:val="continue"/>
                  <w:vAlign w:val="center"/>
                </w:tcPr>
                <w:p>
                  <w:pPr>
                    <w:widowControl/>
                    <w:jc w:val="center"/>
                    <w:textAlignment w:val="center"/>
                    <w:rPr>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固废</w:t>
                  </w:r>
                </w:p>
              </w:tc>
              <w:tc>
                <w:tcPr>
                  <w:tcW w:w="1932" w:type="dxa"/>
                  <w:vAlign w:val="center"/>
                </w:tcPr>
                <w:p>
                  <w:pPr>
                    <w:jc w:val="center"/>
                    <w:rPr>
                      <w:rFonts w:hint="eastAsia" w:eastAsia="宋体"/>
                      <w:color w:val="auto"/>
                      <w:szCs w:val="21"/>
                      <w:highlight w:val="none"/>
                      <w:lang w:eastAsia="zh-CN"/>
                    </w:rPr>
                  </w:pPr>
                  <w:r>
                    <w:rPr>
                      <w:rFonts w:hint="eastAsia"/>
                      <w:color w:val="auto"/>
                      <w:szCs w:val="21"/>
                      <w:highlight w:val="none"/>
                    </w:rPr>
                    <w:t>下料、机加工</w:t>
                  </w:r>
                  <w:r>
                    <w:rPr>
                      <w:rFonts w:hint="eastAsia"/>
                      <w:color w:val="auto"/>
                      <w:szCs w:val="21"/>
                      <w:highlight w:val="none"/>
                      <w:lang w:eastAsia="zh-CN"/>
                    </w:rPr>
                    <w:t>、</w:t>
                  </w:r>
                  <w:r>
                    <w:rPr>
                      <w:rFonts w:hint="eastAsia"/>
                      <w:color w:val="auto"/>
                      <w:szCs w:val="21"/>
                      <w:highlight w:val="none"/>
                    </w:rPr>
                    <w:t>焊接、</w:t>
                  </w:r>
                  <w:r>
                    <w:rPr>
                      <w:rFonts w:hint="eastAsia"/>
                      <w:color w:val="auto"/>
                      <w:szCs w:val="21"/>
                      <w:highlight w:val="none"/>
                      <w:lang w:eastAsia="zh-CN"/>
                    </w:rPr>
                    <w:t>抛丸</w:t>
                  </w:r>
                </w:p>
              </w:tc>
              <w:tc>
                <w:tcPr>
                  <w:tcW w:w="3735" w:type="dxa"/>
                  <w:vAlign w:val="center"/>
                </w:tcPr>
                <w:p>
                  <w:pPr>
                    <w:widowControl/>
                    <w:jc w:val="center"/>
                    <w:textAlignment w:val="center"/>
                    <w:rPr>
                      <w:rFonts w:hint="eastAsia" w:eastAsia="宋体"/>
                      <w:color w:val="auto"/>
                      <w:kern w:val="0"/>
                      <w:szCs w:val="21"/>
                      <w:highlight w:val="none"/>
                      <w:lang w:eastAsia="zh-CN" w:bidi="ar"/>
                    </w:rPr>
                  </w:pPr>
                  <w:r>
                    <w:rPr>
                      <w:rFonts w:hint="eastAsia"/>
                      <w:color w:val="auto"/>
                      <w:kern w:val="0"/>
                      <w:szCs w:val="21"/>
                      <w:highlight w:val="none"/>
                      <w:lang w:val="en-US" w:eastAsia="zh-CN" w:bidi="ar"/>
                    </w:rPr>
                    <w:t>下料产生的金属粉尘和</w:t>
                  </w:r>
                  <w:r>
                    <w:rPr>
                      <w:rFonts w:hint="eastAsia"/>
                      <w:color w:val="auto"/>
                      <w:kern w:val="0"/>
                      <w:szCs w:val="21"/>
                      <w:highlight w:val="none"/>
                      <w:lang w:bidi="ar"/>
                    </w:rPr>
                    <w:t>边角料、</w:t>
                  </w:r>
                  <w:r>
                    <w:rPr>
                      <w:rFonts w:hint="default" w:ascii="Times New Roman" w:hAnsi="Times New Roman" w:cs="Times New Roman"/>
                      <w:bCs/>
                      <w:color w:val="auto"/>
                      <w:szCs w:val="21"/>
                      <w:highlight w:val="none"/>
                    </w:rPr>
                    <w:t>焊接烟尘及焊渣</w:t>
                  </w:r>
                  <w:r>
                    <w:rPr>
                      <w:rFonts w:hint="eastAsia"/>
                      <w:color w:val="auto"/>
                      <w:kern w:val="0"/>
                      <w:szCs w:val="21"/>
                      <w:highlight w:val="none"/>
                      <w:lang w:eastAsia="zh-CN" w:bidi="ar"/>
                    </w:rPr>
                    <w:t>、</w:t>
                  </w:r>
                  <w:r>
                    <w:rPr>
                      <w:rFonts w:hint="eastAsia" w:cs="Times New Roman"/>
                      <w:bCs/>
                      <w:color w:val="auto"/>
                      <w:szCs w:val="21"/>
                      <w:highlight w:val="none"/>
                      <w:lang w:eastAsia="zh-CN"/>
                    </w:rPr>
                    <w:t>抛丸粉尘及废钢丸</w:t>
                  </w:r>
                </w:p>
              </w:tc>
              <w:tc>
                <w:tcPr>
                  <w:tcW w:w="1201" w:type="dxa"/>
                  <w:vMerge w:val="restart"/>
                  <w:vAlign w:val="center"/>
                </w:tcPr>
                <w:p>
                  <w:pPr>
                    <w:widowControl/>
                    <w:jc w:val="center"/>
                    <w:textAlignment w:val="center"/>
                    <w:rPr>
                      <w:color w:val="auto"/>
                      <w:kern w:val="0"/>
                      <w:szCs w:val="21"/>
                      <w:highlight w:val="none"/>
                      <w:lang w:bidi="ar"/>
                    </w:rPr>
                  </w:pPr>
                  <w:r>
                    <w:rPr>
                      <w:rFonts w:hint="eastAsia"/>
                      <w:bCs/>
                      <w:color w:val="auto"/>
                      <w:szCs w:val="21"/>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auto"/>
                      <w:kern w:val="0"/>
                      <w:szCs w:val="21"/>
                      <w:highlight w:val="none"/>
                      <w:lang w:bidi="ar"/>
                    </w:rPr>
                  </w:pPr>
                </w:p>
              </w:tc>
              <w:tc>
                <w:tcPr>
                  <w:tcW w:w="1932" w:type="dxa"/>
                  <w:vAlign w:val="center"/>
                </w:tcPr>
                <w:p>
                  <w:pPr>
                    <w:jc w:val="center"/>
                    <w:rPr>
                      <w:color w:val="auto"/>
                      <w:szCs w:val="21"/>
                      <w:highlight w:val="none"/>
                    </w:rPr>
                  </w:pPr>
                  <w:r>
                    <w:rPr>
                      <w:rFonts w:hint="eastAsia"/>
                      <w:color w:val="auto"/>
                      <w:szCs w:val="21"/>
                      <w:highlight w:val="none"/>
                    </w:rPr>
                    <w:t>喷漆、晾干</w:t>
                  </w:r>
                </w:p>
              </w:tc>
              <w:tc>
                <w:tcPr>
                  <w:tcW w:w="3735"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废活性炭、废过滤棉、</w:t>
                  </w:r>
                  <w:r>
                    <w:rPr>
                      <w:rFonts w:hint="eastAsia"/>
                      <w:color w:val="auto"/>
                      <w:kern w:val="0"/>
                      <w:szCs w:val="21"/>
                      <w:highlight w:val="none"/>
                      <w:lang w:val="en-US" w:eastAsia="zh-CN" w:bidi="ar"/>
                    </w:rPr>
                    <w:t>漆渣、</w:t>
                  </w:r>
                  <w:r>
                    <w:rPr>
                      <w:rFonts w:hint="eastAsia"/>
                      <w:color w:val="auto"/>
                      <w:kern w:val="0"/>
                      <w:szCs w:val="21"/>
                      <w:highlight w:val="none"/>
                      <w:lang w:bidi="ar"/>
                    </w:rPr>
                    <w:t>废漆料桶</w:t>
                  </w:r>
                </w:p>
              </w:tc>
              <w:tc>
                <w:tcPr>
                  <w:tcW w:w="1201" w:type="dxa"/>
                  <w:vMerge w:val="continue"/>
                  <w:vAlign w:val="center"/>
                </w:tcPr>
                <w:p>
                  <w:pPr>
                    <w:widowControl/>
                    <w:jc w:val="center"/>
                    <w:textAlignment w:val="center"/>
                    <w:rPr>
                      <w:color w:val="auto"/>
                      <w:kern w:val="0"/>
                      <w:szCs w:val="21"/>
                      <w:highlight w:val="none"/>
                      <w:lang w:bidi="ar"/>
                    </w:rPr>
                  </w:pPr>
                </w:p>
              </w:tc>
            </w:tr>
          </w:tbl>
          <w:p>
            <w:pPr>
              <w:pStyle w:val="10"/>
              <w:spacing w:line="360" w:lineRule="auto"/>
              <w:rPr>
                <w:rFonts w:ascii="宋体" w:hAnsi="宋体"/>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8" w:type="dxa"/>
            <w:vAlign w:val="center"/>
          </w:tcPr>
          <w:p>
            <w:pPr>
              <w:pStyle w:val="31"/>
              <w:adjustRightInd w:val="0"/>
              <w:snapToGrid w:val="0"/>
              <w:spacing w:before="0" w:beforeAutospacing="0" w:after="0" w:afterAutospacing="0"/>
              <w:jc w:val="center"/>
              <w:rPr>
                <w:rFonts w:cs="宋体"/>
                <w:color w:val="auto"/>
                <w:sz w:val="21"/>
                <w:szCs w:val="21"/>
                <w:highlight w:val="none"/>
              </w:rPr>
            </w:pPr>
            <w:r>
              <w:rPr>
                <w:rFonts w:hint="eastAsia" w:cs="宋体"/>
                <w:bCs/>
                <w:color w:val="auto"/>
                <w:kern w:val="2"/>
                <w:sz w:val="21"/>
                <w:szCs w:val="21"/>
                <w:highlight w:val="none"/>
              </w:rPr>
              <w:t>与项目有关的原有环境污染问题</w:t>
            </w:r>
          </w:p>
        </w:tc>
        <w:tc>
          <w:tcPr>
            <w:tcW w:w="8216" w:type="dxa"/>
          </w:tcPr>
          <w:p>
            <w:pPr>
              <w:adjustRightInd w:val="0"/>
              <w:snapToGrid w:val="0"/>
              <w:spacing w:line="360" w:lineRule="auto"/>
              <w:ind w:firstLine="420" w:firstLineChars="200"/>
              <w:rPr>
                <w:color w:val="auto"/>
                <w:highlight w:val="none"/>
              </w:rPr>
            </w:pPr>
          </w:p>
          <w:p>
            <w:pPr>
              <w:adjustRightInd w:val="0"/>
              <w:snapToGrid w:val="0"/>
              <w:spacing w:line="360" w:lineRule="auto"/>
              <w:ind w:firstLine="480" w:firstLineChars="200"/>
              <w:rPr>
                <w:rFonts w:hAnsi="宋体"/>
                <w:bCs/>
                <w:color w:val="auto"/>
                <w:highlight w:val="none"/>
                <w:u w:val="single"/>
              </w:rPr>
            </w:pPr>
            <w:r>
              <w:rPr>
                <w:rFonts w:hint="eastAsia" w:ascii="宋体" w:hAnsi="宋体" w:cs="宋体"/>
                <w:color w:val="auto"/>
                <w:sz w:val="24"/>
                <w:szCs w:val="24"/>
                <w:highlight w:val="none"/>
              </w:rPr>
              <w:t>本项目为新建项目，无</w:t>
            </w:r>
            <w:r>
              <w:rPr>
                <w:rFonts w:hint="eastAsia" w:ascii="宋体" w:hAnsi="宋体"/>
                <w:color w:val="auto"/>
                <w:sz w:val="24"/>
                <w:szCs w:val="24"/>
                <w:highlight w:val="none"/>
              </w:rPr>
              <w:t>与项目有关的</w:t>
            </w:r>
            <w:r>
              <w:rPr>
                <w:rFonts w:hint="eastAsia" w:ascii="宋体" w:hAnsi="宋体" w:cs="宋体"/>
                <w:color w:val="auto"/>
                <w:sz w:val="24"/>
                <w:szCs w:val="24"/>
                <w:highlight w:val="none"/>
              </w:rPr>
              <w:t>原有环境污染问题。</w:t>
            </w:r>
          </w:p>
        </w:tc>
      </w:tr>
    </w:tbl>
    <w:p>
      <w:pPr>
        <w:rPr>
          <w:color w:val="auto"/>
        </w:rPr>
      </w:pPr>
      <w:r>
        <w:rPr>
          <w:color w:val="auto"/>
        </w:rPr>
        <w:br w:type="page"/>
      </w:r>
    </w:p>
    <w:p>
      <w:pPr>
        <w:pStyle w:val="31"/>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3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21"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区域</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质量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469" w:type="dxa"/>
            <w:vAlign w:val="center"/>
          </w:tcPr>
          <w:p>
            <w:pPr>
              <w:spacing w:line="360" w:lineRule="auto"/>
              <w:ind w:firstLine="482" w:firstLineChars="200"/>
              <w:rPr>
                <w:b/>
                <w:color w:val="auto"/>
                <w:sz w:val="24"/>
                <w:szCs w:val="24"/>
              </w:rPr>
            </w:pPr>
            <w:r>
              <w:rPr>
                <w:rFonts w:hint="eastAsia"/>
                <w:b/>
                <w:color w:val="auto"/>
                <w:sz w:val="24"/>
                <w:szCs w:val="24"/>
              </w:rPr>
              <w:t>一、</w:t>
            </w:r>
            <w:r>
              <w:rPr>
                <w:b/>
                <w:color w:val="auto"/>
                <w:sz w:val="24"/>
                <w:szCs w:val="24"/>
              </w:rPr>
              <w:t>空气环境质量现状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（1）达标判定</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本项目大气环境中常规污染物引用淮北市2021年度环境公报发布的质量数据进行评价。</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 大气环境》（HJ2.2-2018），项目所在区域达标情况判定优先采用国家或地方生态环境主管部门公开发布的环境质量公告或环境质量报告中的数据或结论。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本次基本污染物环境质量现状数据选用淮北市生态环境局网站公开的202</w:t>
            </w:r>
            <w:r>
              <w:rPr>
                <w:rFonts w:hint="eastAsia" w:cs="Times New Roman"/>
                <w:color w:val="auto"/>
                <w:sz w:val="24"/>
                <w:szCs w:val="24"/>
                <w:lang w:val="en-US" w:eastAsia="zh-CN"/>
              </w:rPr>
              <w:t>1</w:t>
            </w:r>
            <w:r>
              <w:rPr>
                <w:rFonts w:hint="default" w:ascii="Times New Roman" w:hAnsi="Times New Roman" w:cs="Times New Roman"/>
                <w:color w:val="auto"/>
                <w:sz w:val="24"/>
                <w:szCs w:val="24"/>
              </w:rPr>
              <w:t>年环境质量公报，项目区域各基本污染物评价因子现状如下表所示。</w:t>
            </w:r>
          </w:p>
          <w:p>
            <w:pPr>
              <w:spacing w:line="240" w:lineRule="auto"/>
              <w:jc w:val="center"/>
              <w:rPr>
                <w:rFonts w:hint="default" w:ascii="Times New Roman" w:hAnsi="Times New Roman" w:cs="Times New Roman"/>
                <w:b/>
                <w:bCs/>
                <w:color w:val="auto"/>
                <w:sz w:val="24"/>
                <w:szCs w:val="24"/>
                <w:shd w:val="clear" w:color="auto" w:fill="FFFFFF"/>
              </w:rPr>
            </w:pPr>
            <w:r>
              <w:rPr>
                <w:rFonts w:hint="default" w:ascii="Times New Roman" w:hAnsi="Times New Roman" w:cs="Times New Roman"/>
                <w:b/>
                <w:bCs/>
                <w:color w:val="auto"/>
                <w:sz w:val="24"/>
                <w:szCs w:val="24"/>
              </w:rPr>
              <w:t>表3-1  大气</w:t>
            </w:r>
            <w:r>
              <w:rPr>
                <w:rFonts w:hint="default" w:ascii="Times New Roman" w:hAnsi="Times New Roman" w:cs="Times New Roman"/>
                <w:b/>
                <w:bCs/>
                <w:color w:val="auto"/>
                <w:sz w:val="24"/>
                <w:szCs w:val="24"/>
                <w:shd w:val="clear" w:color="auto" w:fill="FFFFFF"/>
              </w:rPr>
              <w:t>基本污染物环境质量现状</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278"/>
              <w:gridCol w:w="1351"/>
              <w:gridCol w:w="138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1988" w:type="pct"/>
                  <w:vAlign w:val="center"/>
                </w:tcPr>
                <w:p>
                  <w:pPr>
                    <w:pStyle w:val="57"/>
                    <w:tabs>
                      <w:tab w:val="left" w:pos="893"/>
                    </w:tabs>
                    <w:spacing w:beforeLines="0" w:afterLines="0" w:line="24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820" w:type="pct"/>
                  <w:vAlign w:val="center"/>
                </w:tcPr>
                <w:p>
                  <w:pPr>
                    <w:pStyle w:val="57"/>
                    <w:tabs>
                      <w:tab w:val="left" w:pos="893"/>
                    </w:tabs>
                    <w:spacing w:beforeLines="0" w:afterLines="0" w:line="24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现状浓度/（μg/m³）</w:t>
                  </w:r>
                </w:p>
              </w:tc>
              <w:tc>
                <w:tcPr>
                  <w:tcW w:w="841" w:type="pct"/>
                  <w:vAlign w:val="center"/>
                </w:tcPr>
                <w:p>
                  <w:pPr>
                    <w:pStyle w:val="57"/>
                    <w:tabs>
                      <w:tab w:val="left" w:pos="893"/>
                    </w:tabs>
                    <w:spacing w:beforeLines="0" w:afterLines="0" w:line="24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标准值（μg/m³）</w:t>
                  </w:r>
                </w:p>
              </w:tc>
              <w:tc>
                <w:tcPr>
                  <w:tcW w:w="774" w:type="pct"/>
                  <w:vAlign w:val="center"/>
                </w:tcPr>
                <w:p>
                  <w:pPr>
                    <w:pStyle w:val="57"/>
                    <w:tabs>
                      <w:tab w:val="left" w:pos="893"/>
                    </w:tabs>
                    <w:spacing w:beforeLines="0" w:afterLines="0" w:line="24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988"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年平均浓度</w:t>
                  </w:r>
                </w:p>
              </w:tc>
              <w:tc>
                <w:tcPr>
                  <w:tcW w:w="820"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841"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774"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988"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年平均浓度</w:t>
                  </w:r>
                </w:p>
              </w:tc>
              <w:tc>
                <w:tcPr>
                  <w:tcW w:w="820"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23</w:t>
                  </w:r>
                </w:p>
              </w:tc>
              <w:tc>
                <w:tcPr>
                  <w:tcW w:w="841"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774"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988"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年平均浓度</w:t>
                  </w:r>
                </w:p>
              </w:tc>
              <w:tc>
                <w:tcPr>
                  <w:tcW w:w="820"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73</w:t>
                  </w:r>
                </w:p>
              </w:tc>
              <w:tc>
                <w:tcPr>
                  <w:tcW w:w="841"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774"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988"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年平均浓度</w:t>
                  </w:r>
                </w:p>
              </w:tc>
              <w:tc>
                <w:tcPr>
                  <w:tcW w:w="820"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41</w:t>
                  </w:r>
                </w:p>
              </w:tc>
              <w:tc>
                <w:tcPr>
                  <w:tcW w:w="841"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774"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988"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24h平均浓度第95百分位数</w:t>
                  </w:r>
                </w:p>
              </w:tc>
              <w:tc>
                <w:tcPr>
                  <w:tcW w:w="820"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1.0mg/m³</w:t>
                  </w:r>
                </w:p>
              </w:tc>
              <w:tc>
                <w:tcPr>
                  <w:tcW w:w="841"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4mg/m³</w:t>
                  </w:r>
                </w:p>
              </w:tc>
              <w:tc>
                <w:tcPr>
                  <w:tcW w:w="774"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75"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1988"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最大8h平均浓度第90百分位数</w:t>
                  </w:r>
                </w:p>
              </w:tc>
              <w:tc>
                <w:tcPr>
                  <w:tcW w:w="820"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152</w:t>
                  </w:r>
                </w:p>
              </w:tc>
              <w:tc>
                <w:tcPr>
                  <w:tcW w:w="841"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774" w:type="pct"/>
                  <w:vAlign w:val="center"/>
                </w:tcPr>
                <w:p>
                  <w:pPr>
                    <w:pStyle w:val="57"/>
                    <w:tabs>
                      <w:tab w:val="left" w:pos="893"/>
                    </w:tabs>
                    <w:spacing w:beforeLines="0" w:afterLines="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pStyle w:val="19"/>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由上述数据可见，SO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、NO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年平均浓度、CO 24小时平均浓度，O</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最大8h平均浓度均能满足《环境空气质量标准》（GB3095-2012）二级标准；PM</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2.5</w:t>
            </w:r>
            <w:r>
              <w:rPr>
                <w:rFonts w:hint="default" w:ascii="Times New Roman" w:hAnsi="Times New Roman" w:cs="Times New Roman"/>
                <w:color w:val="auto"/>
                <w:sz w:val="24"/>
                <w:szCs w:val="24"/>
              </w:rPr>
              <w:t>年平均浓度均不能满足《环境空气质量标准》（GB3095-2012）及2018年修改单二级标准。该区域为环境空气质量不达标区</w:t>
            </w:r>
          </w:p>
          <w:p>
            <w:pPr>
              <w:widowControl/>
              <w:spacing w:line="360" w:lineRule="auto"/>
              <w:ind w:firstLine="482" w:firstLineChars="200"/>
              <w:jc w:val="left"/>
              <w:rPr>
                <w:b/>
                <w:color w:val="auto"/>
                <w:sz w:val="24"/>
                <w:szCs w:val="24"/>
              </w:rPr>
            </w:pPr>
            <w:r>
              <w:rPr>
                <w:rFonts w:hint="eastAsia"/>
                <w:b/>
                <w:color w:val="auto"/>
                <w:sz w:val="24"/>
                <w:szCs w:val="24"/>
              </w:rPr>
              <w:t>（2）特征污染物</w:t>
            </w:r>
            <w:r>
              <w:rPr>
                <w:b/>
                <w:bCs/>
                <w:color w:val="auto"/>
                <w:sz w:val="24"/>
                <w:szCs w:val="24"/>
              </w:rPr>
              <w:t>监测数据</w:t>
            </w:r>
          </w:p>
          <w:p>
            <w:pPr>
              <w:spacing w:line="360" w:lineRule="auto"/>
              <w:ind w:firstLine="480" w:firstLineChars="200"/>
              <w:rPr>
                <w:rFonts w:ascii="宋体" w:hAnsi="宋体" w:cs="宋体"/>
                <w:color w:val="auto"/>
                <w:szCs w:val="21"/>
              </w:rPr>
            </w:pPr>
            <w:r>
              <w:rPr>
                <w:bCs/>
                <w:color w:val="auto"/>
                <w:sz w:val="24"/>
                <w:szCs w:val="24"/>
              </w:rPr>
              <w:t>本项目</w:t>
            </w:r>
            <w:r>
              <w:rPr>
                <w:rFonts w:hint="eastAsia"/>
                <w:bCs/>
                <w:color w:val="auto"/>
                <w:sz w:val="24"/>
                <w:szCs w:val="24"/>
              </w:rPr>
              <w:t>建设地点位于安徽淮北杜集经济开发区，项目</w:t>
            </w:r>
            <w:r>
              <w:rPr>
                <w:bCs/>
                <w:color w:val="auto"/>
                <w:sz w:val="24"/>
                <w:szCs w:val="24"/>
              </w:rPr>
              <w:t>特征污染物为</w:t>
            </w:r>
            <w:r>
              <w:rPr>
                <w:rFonts w:hint="eastAsia"/>
                <w:b/>
                <w:color w:val="auto"/>
                <w:sz w:val="24"/>
                <w:szCs w:val="24"/>
              </w:rPr>
              <w:t>非甲烷总烃</w:t>
            </w:r>
            <w:r>
              <w:rPr>
                <w:bCs/>
                <w:color w:val="auto"/>
                <w:sz w:val="24"/>
                <w:szCs w:val="24"/>
              </w:rPr>
              <w:t>，</w:t>
            </w:r>
            <w:r>
              <w:rPr>
                <w:rFonts w:hint="eastAsia"/>
                <w:bCs/>
                <w:color w:val="auto"/>
                <w:sz w:val="24"/>
                <w:szCs w:val="24"/>
              </w:rPr>
              <w:t>引用2020年</w:t>
            </w:r>
            <w:r>
              <w:rPr>
                <w:rFonts w:ascii="宋体" w:hAnsi="宋体" w:cs="宋体"/>
                <w:color w:val="auto"/>
                <w:sz w:val="24"/>
                <w:szCs w:val="24"/>
              </w:rPr>
              <w:t>《</w:t>
            </w:r>
            <w:r>
              <w:rPr>
                <w:rFonts w:hint="eastAsia" w:ascii="宋体" w:hAnsi="宋体" w:cs="宋体"/>
                <w:color w:val="auto"/>
                <w:sz w:val="24"/>
                <w:szCs w:val="24"/>
              </w:rPr>
              <w:t>安徽淮北杜集经济开发区总体发展规划环境影响跟踪评价报告书</w:t>
            </w:r>
            <w:r>
              <w:rPr>
                <w:rFonts w:ascii="宋体" w:hAnsi="宋体" w:cs="宋体"/>
                <w:color w:val="auto"/>
                <w:sz w:val="24"/>
                <w:szCs w:val="24"/>
              </w:rPr>
              <w:t>》</w:t>
            </w:r>
            <w:r>
              <w:rPr>
                <w:rFonts w:hint="eastAsia" w:ascii="宋体" w:hAnsi="宋体" w:cs="宋体"/>
                <w:color w:val="auto"/>
                <w:sz w:val="24"/>
                <w:szCs w:val="24"/>
              </w:rPr>
              <w:t>中</w:t>
            </w:r>
            <w:r>
              <w:rPr>
                <w:rFonts w:hint="eastAsia"/>
                <w:b/>
                <w:color w:val="auto"/>
                <w:sz w:val="24"/>
                <w:szCs w:val="24"/>
              </w:rPr>
              <w:t>非甲烷总烃</w:t>
            </w:r>
            <w:r>
              <w:rPr>
                <w:rFonts w:hint="eastAsia" w:ascii="宋体" w:hAnsi="宋体" w:cs="宋体"/>
                <w:color w:val="auto"/>
                <w:sz w:val="24"/>
                <w:szCs w:val="24"/>
              </w:rPr>
              <w:t>大气环境现状监测及评价结果：</w:t>
            </w:r>
          </w:p>
          <w:p>
            <w:pPr>
              <w:pStyle w:val="2"/>
              <w:spacing w:line="240" w:lineRule="auto"/>
              <w:jc w:val="center"/>
              <w:rPr>
                <w:rFonts w:hAnsi="宋体"/>
                <w:b/>
                <w:bCs/>
                <w:color w:val="auto"/>
                <w:sz w:val="21"/>
                <w:szCs w:val="21"/>
              </w:rPr>
            </w:pPr>
            <w:r>
              <w:rPr>
                <w:rFonts w:ascii="Times New Roman" w:cs="Times New Roman"/>
                <w:b/>
                <w:bCs/>
                <w:color w:val="auto"/>
                <w:sz w:val="21"/>
                <w:szCs w:val="21"/>
              </w:rPr>
              <w:t>表3</w:t>
            </w:r>
            <w:r>
              <w:rPr>
                <w:rFonts w:hint="eastAsia" w:ascii="Times New Roman" w:cs="Times New Roman"/>
                <w:b/>
                <w:bCs/>
                <w:color w:val="auto"/>
                <w:sz w:val="21"/>
                <w:szCs w:val="21"/>
              </w:rPr>
              <w:t>-</w:t>
            </w:r>
            <w:r>
              <w:rPr>
                <w:rFonts w:ascii="Times New Roman" w:cs="Times New Roman"/>
                <w:b/>
                <w:bCs/>
                <w:color w:val="auto"/>
                <w:sz w:val="21"/>
                <w:szCs w:val="21"/>
              </w:rPr>
              <w:t xml:space="preserve">2  </w:t>
            </w:r>
            <w:r>
              <w:rPr>
                <w:rFonts w:ascii="Times New Roman" w:cs="Times New Roman"/>
                <w:b/>
                <w:color w:val="auto"/>
                <w:sz w:val="21"/>
                <w:szCs w:val="21"/>
              </w:rPr>
              <w:t>非甲烷总烃</w:t>
            </w:r>
            <w:r>
              <w:rPr>
                <w:rFonts w:ascii="Times New Roman" w:cs="Times New Roman"/>
                <w:b/>
                <w:bCs/>
                <w:color w:val="auto"/>
                <w:sz w:val="21"/>
                <w:szCs w:val="21"/>
              </w:rPr>
              <w:t>大气环境现状监测及评价结果</w:t>
            </w:r>
            <w:r>
              <w:rPr>
                <w:rFonts w:hint="eastAsia" w:hAnsi="宋体"/>
                <w:b/>
                <w:bCs/>
                <w:color w:val="auto"/>
                <w:sz w:val="21"/>
                <w:szCs w:val="21"/>
              </w:rPr>
              <w:t xml:space="preserve"> </w:t>
            </w:r>
          </w:p>
          <w:tbl>
            <w:tblPr>
              <w:tblStyle w:val="3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72"/>
              <w:gridCol w:w="1172"/>
              <w:gridCol w:w="853"/>
              <w:gridCol w:w="1267"/>
              <w:gridCol w:w="1181"/>
              <w:gridCol w:w="88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84" w:type="pct"/>
                  <w:vMerge w:val="restart"/>
                  <w:tcBorders>
                    <w:tl2br w:val="nil"/>
                    <w:tr2bl w:val="nil"/>
                  </w:tcBorders>
                  <w:vAlign w:val="center"/>
                </w:tcPr>
                <w:p>
                  <w:pPr>
                    <w:spacing w:line="240" w:lineRule="auto"/>
                    <w:jc w:val="center"/>
                    <w:rPr>
                      <w:b/>
                      <w:bCs/>
                      <w:color w:val="auto"/>
                      <w:kern w:val="0"/>
                    </w:rPr>
                  </w:pPr>
                  <w:r>
                    <w:rPr>
                      <w:b/>
                      <w:bCs/>
                      <w:color w:val="auto"/>
                    </w:rPr>
                    <w:t>监测因子</w:t>
                  </w:r>
                </w:p>
              </w:tc>
              <w:tc>
                <w:tcPr>
                  <w:tcW w:w="764" w:type="pct"/>
                  <w:vMerge w:val="restart"/>
                  <w:tcBorders>
                    <w:tl2br w:val="nil"/>
                    <w:tr2bl w:val="nil"/>
                  </w:tcBorders>
                  <w:vAlign w:val="center"/>
                </w:tcPr>
                <w:p>
                  <w:pPr>
                    <w:spacing w:line="240" w:lineRule="auto"/>
                    <w:jc w:val="center"/>
                    <w:rPr>
                      <w:b/>
                      <w:bCs/>
                      <w:color w:val="auto"/>
                      <w:kern w:val="0"/>
                    </w:rPr>
                  </w:pPr>
                  <w:r>
                    <w:rPr>
                      <w:b/>
                      <w:bCs/>
                      <w:color w:val="auto"/>
                    </w:rPr>
                    <w:t>监测点</w:t>
                  </w:r>
                  <w:r>
                    <w:rPr>
                      <w:rFonts w:hint="eastAsia"/>
                      <w:b/>
                      <w:bCs/>
                      <w:color w:val="auto"/>
                    </w:rPr>
                    <w:t>编号及名称</w:t>
                  </w:r>
                </w:p>
              </w:tc>
              <w:tc>
                <w:tcPr>
                  <w:tcW w:w="1978" w:type="pct"/>
                  <w:gridSpan w:val="3"/>
                  <w:tcBorders>
                    <w:tl2br w:val="nil"/>
                    <w:tr2bl w:val="nil"/>
                  </w:tcBorders>
                  <w:vAlign w:val="center"/>
                </w:tcPr>
                <w:p>
                  <w:pPr>
                    <w:spacing w:line="240" w:lineRule="auto"/>
                    <w:jc w:val="center"/>
                    <w:rPr>
                      <w:b/>
                      <w:bCs/>
                      <w:color w:val="auto"/>
                    </w:rPr>
                  </w:pPr>
                  <w:r>
                    <w:rPr>
                      <w:b/>
                      <w:bCs/>
                      <w:color w:val="auto"/>
                    </w:rPr>
                    <w:t>小时浓度</w:t>
                  </w:r>
                </w:p>
              </w:tc>
              <w:tc>
                <w:tcPr>
                  <w:tcW w:w="1872" w:type="pct"/>
                  <w:gridSpan w:val="3"/>
                  <w:tcBorders>
                    <w:tl2br w:val="nil"/>
                    <w:tr2bl w:val="nil"/>
                  </w:tcBorders>
                  <w:vAlign w:val="center"/>
                </w:tcPr>
                <w:p>
                  <w:pPr>
                    <w:spacing w:line="240" w:lineRule="auto"/>
                    <w:jc w:val="center"/>
                    <w:rPr>
                      <w:b/>
                      <w:bCs/>
                      <w:color w:val="auto"/>
                      <w:kern w:val="0"/>
                    </w:rPr>
                  </w:pPr>
                  <w:r>
                    <w:rPr>
                      <w:b/>
                      <w:bCs/>
                      <w:color w:val="auto"/>
                    </w:rPr>
                    <w:t>日均浓度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84" w:type="pct"/>
                  <w:vMerge w:val="continue"/>
                  <w:tcBorders>
                    <w:tl2br w:val="nil"/>
                    <w:tr2bl w:val="nil"/>
                  </w:tcBorders>
                  <w:vAlign w:val="center"/>
                </w:tcPr>
                <w:p>
                  <w:pPr>
                    <w:spacing w:line="240" w:lineRule="auto"/>
                    <w:jc w:val="center"/>
                    <w:rPr>
                      <w:b/>
                      <w:bCs/>
                      <w:color w:val="auto"/>
                    </w:rPr>
                  </w:pPr>
                </w:p>
              </w:tc>
              <w:tc>
                <w:tcPr>
                  <w:tcW w:w="764" w:type="pct"/>
                  <w:vMerge w:val="continue"/>
                  <w:tcBorders>
                    <w:tl2br w:val="nil"/>
                    <w:tr2bl w:val="nil"/>
                  </w:tcBorders>
                  <w:vAlign w:val="center"/>
                </w:tcPr>
                <w:p>
                  <w:pPr>
                    <w:spacing w:line="240" w:lineRule="auto"/>
                    <w:jc w:val="center"/>
                    <w:rPr>
                      <w:b/>
                      <w:bCs/>
                      <w:color w:val="auto"/>
                    </w:rPr>
                  </w:pPr>
                </w:p>
              </w:tc>
              <w:tc>
                <w:tcPr>
                  <w:tcW w:w="704" w:type="pct"/>
                  <w:tcBorders>
                    <w:tl2br w:val="nil"/>
                    <w:tr2bl w:val="nil"/>
                  </w:tcBorders>
                  <w:vAlign w:val="center"/>
                </w:tcPr>
                <w:p>
                  <w:pPr>
                    <w:spacing w:line="240" w:lineRule="auto"/>
                    <w:jc w:val="center"/>
                    <w:rPr>
                      <w:b/>
                      <w:bCs/>
                      <w:color w:val="auto"/>
                      <w:kern w:val="0"/>
                    </w:rPr>
                  </w:pPr>
                  <w:r>
                    <w:rPr>
                      <w:b/>
                      <w:bCs/>
                      <w:color w:val="auto"/>
                    </w:rPr>
                    <w:t>浓度范围</w:t>
                  </w:r>
                </w:p>
                <w:p>
                  <w:pPr>
                    <w:spacing w:line="240" w:lineRule="auto"/>
                    <w:jc w:val="center"/>
                    <w:rPr>
                      <w:b/>
                      <w:bCs/>
                      <w:color w:val="auto"/>
                    </w:rPr>
                  </w:pPr>
                  <w:r>
                    <w:rPr>
                      <w:b/>
                      <w:bCs/>
                      <w:color w:val="auto"/>
                    </w:rPr>
                    <w:t>(μg/m</w:t>
                  </w:r>
                  <w:r>
                    <w:rPr>
                      <w:b/>
                      <w:bCs/>
                      <w:color w:val="auto"/>
                      <w:vertAlign w:val="superscript"/>
                    </w:rPr>
                    <w:t>3</w:t>
                  </w:r>
                  <w:r>
                    <w:rPr>
                      <w:b/>
                      <w:bCs/>
                      <w:color w:val="auto"/>
                    </w:rPr>
                    <w:t>)</w:t>
                  </w:r>
                </w:p>
              </w:tc>
              <w:tc>
                <w:tcPr>
                  <w:tcW w:w="512" w:type="pct"/>
                  <w:tcBorders>
                    <w:tl2br w:val="nil"/>
                    <w:tr2bl w:val="nil"/>
                  </w:tcBorders>
                  <w:vAlign w:val="center"/>
                </w:tcPr>
                <w:p>
                  <w:pPr>
                    <w:spacing w:line="240" w:lineRule="auto"/>
                    <w:jc w:val="center"/>
                    <w:rPr>
                      <w:b/>
                      <w:bCs/>
                      <w:color w:val="auto"/>
                    </w:rPr>
                  </w:pPr>
                  <w:r>
                    <w:rPr>
                      <w:b/>
                      <w:bCs/>
                      <w:color w:val="auto"/>
                    </w:rPr>
                    <w:t>超标率(%)</w:t>
                  </w:r>
                </w:p>
              </w:tc>
              <w:tc>
                <w:tcPr>
                  <w:tcW w:w="761" w:type="pct"/>
                  <w:tcBorders>
                    <w:tl2br w:val="nil"/>
                    <w:tr2bl w:val="nil"/>
                  </w:tcBorders>
                  <w:vAlign w:val="center"/>
                </w:tcPr>
                <w:p>
                  <w:pPr>
                    <w:spacing w:line="240" w:lineRule="auto"/>
                    <w:jc w:val="center"/>
                    <w:rPr>
                      <w:b/>
                      <w:bCs/>
                      <w:color w:val="auto"/>
                    </w:rPr>
                  </w:pPr>
                  <w:r>
                    <w:rPr>
                      <w:b/>
                      <w:bCs/>
                      <w:color w:val="auto"/>
                    </w:rPr>
                    <w:t>占标准份额(%)</w:t>
                  </w:r>
                </w:p>
              </w:tc>
              <w:tc>
                <w:tcPr>
                  <w:tcW w:w="709" w:type="pct"/>
                  <w:tcBorders>
                    <w:tl2br w:val="nil"/>
                    <w:tr2bl w:val="nil"/>
                  </w:tcBorders>
                  <w:vAlign w:val="center"/>
                </w:tcPr>
                <w:p>
                  <w:pPr>
                    <w:spacing w:line="240" w:lineRule="auto"/>
                    <w:jc w:val="center"/>
                    <w:rPr>
                      <w:b/>
                      <w:bCs/>
                      <w:color w:val="auto"/>
                      <w:kern w:val="0"/>
                    </w:rPr>
                  </w:pPr>
                  <w:r>
                    <w:rPr>
                      <w:b/>
                      <w:bCs/>
                      <w:color w:val="auto"/>
                    </w:rPr>
                    <w:t>浓度范围</w:t>
                  </w:r>
                </w:p>
                <w:p>
                  <w:pPr>
                    <w:spacing w:line="240" w:lineRule="auto"/>
                    <w:jc w:val="center"/>
                    <w:rPr>
                      <w:b/>
                      <w:bCs/>
                      <w:color w:val="auto"/>
                      <w:kern w:val="0"/>
                    </w:rPr>
                  </w:pPr>
                  <w:r>
                    <w:rPr>
                      <w:b/>
                      <w:bCs/>
                      <w:color w:val="auto"/>
                    </w:rPr>
                    <w:t>(μg/m</w:t>
                  </w:r>
                  <w:r>
                    <w:rPr>
                      <w:b/>
                      <w:bCs/>
                      <w:color w:val="auto"/>
                      <w:vertAlign w:val="superscript"/>
                    </w:rPr>
                    <w:t>3</w:t>
                  </w:r>
                  <w:r>
                    <w:rPr>
                      <w:b/>
                      <w:bCs/>
                      <w:color w:val="auto"/>
                    </w:rPr>
                    <w:t>)</w:t>
                  </w:r>
                </w:p>
              </w:tc>
              <w:tc>
                <w:tcPr>
                  <w:tcW w:w="528" w:type="pct"/>
                  <w:tcBorders>
                    <w:tl2br w:val="nil"/>
                    <w:tr2bl w:val="nil"/>
                  </w:tcBorders>
                  <w:vAlign w:val="center"/>
                </w:tcPr>
                <w:p>
                  <w:pPr>
                    <w:spacing w:line="240" w:lineRule="auto"/>
                    <w:jc w:val="center"/>
                    <w:rPr>
                      <w:b/>
                      <w:bCs/>
                      <w:color w:val="auto"/>
                      <w:kern w:val="0"/>
                    </w:rPr>
                  </w:pPr>
                  <w:r>
                    <w:rPr>
                      <w:b/>
                      <w:bCs/>
                      <w:color w:val="auto"/>
                    </w:rPr>
                    <w:t>超标率(%)</w:t>
                  </w:r>
                </w:p>
              </w:tc>
              <w:tc>
                <w:tcPr>
                  <w:tcW w:w="633" w:type="pct"/>
                  <w:tcBorders>
                    <w:tl2br w:val="nil"/>
                    <w:tr2bl w:val="nil"/>
                  </w:tcBorders>
                  <w:vAlign w:val="center"/>
                </w:tcPr>
                <w:p>
                  <w:pPr>
                    <w:spacing w:line="240" w:lineRule="auto"/>
                    <w:jc w:val="center"/>
                    <w:rPr>
                      <w:b/>
                      <w:bCs/>
                      <w:color w:val="auto"/>
                      <w:kern w:val="0"/>
                    </w:rPr>
                  </w:pPr>
                  <w:r>
                    <w:rPr>
                      <w:b/>
                      <w:bCs/>
                      <w:color w:val="auto"/>
                    </w:rPr>
                    <w:t>占标准份额(%)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84" w:type="pct"/>
                  <w:vMerge w:val="restart"/>
                  <w:tcBorders>
                    <w:tl2br w:val="nil"/>
                    <w:tr2bl w:val="nil"/>
                  </w:tcBorders>
                  <w:vAlign w:val="center"/>
                </w:tcPr>
                <w:p>
                  <w:pPr>
                    <w:widowControl/>
                    <w:spacing w:line="240" w:lineRule="auto"/>
                    <w:jc w:val="center"/>
                    <w:rPr>
                      <w:color w:val="auto"/>
                    </w:rPr>
                  </w:pPr>
                  <w:r>
                    <w:rPr>
                      <w:color w:val="auto"/>
                    </w:rPr>
                    <w:t>非甲烷总烃</w:t>
                  </w:r>
                </w:p>
              </w:tc>
              <w:tc>
                <w:tcPr>
                  <w:tcW w:w="764" w:type="pct"/>
                  <w:tcBorders>
                    <w:tl2br w:val="nil"/>
                    <w:tr2bl w:val="nil"/>
                  </w:tcBorders>
                  <w:vAlign w:val="center"/>
                </w:tcPr>
                <w:p>
                  <w:pPr>
                    <w:spacing w:line="240" w:lineRule="auto"/>
                    <w:jc w:val="center"/>
                    <w:rPr>
                      <w:color w:val="auto"/>
                      <w:kern w:val="0"/>
                    </w:rPr>
                  </w:pPr>
                  <w:r>
                    <w:rPr>
                      <w:color w:val="auto"/>
                      <w:kern w:val="0"/>
                    </w:rPr>
                    <w:t>1#纵楼村</w:t>
                  </w:r>
                </w:p>
              </w:tc>
              <w:tc>
                <w:tcPr>
                  <w:tcW w:w="704" w:type="pct"/>
                  <w:tcBorders>
                    <w:tl2br w:val="nil"/>
                    <w:tr2bl w:val="nil"/>
                  </w:tcBorders>
                  <w:vAlign w:val="center"/>
                </w:tcPr>
                <w:p>
                  <w:pPr>
                    <w:spacing w:line="240" w:lineRule="auto"/>
                    <w:jc w:val="center"/>
                    <w:rPr>
                      <w:color w:val="auto"/>
                      <w:kern w:val="0"/>
                    </w:rPr>
                  </w:pPr>
                  <w:r>
                    <w:rPr>
                      <w:color w:val="auto"/>
                      <w:kern w:val="0"/>
                    </w:rPr>
                    <w:t>0.62~1.38</w:t>
                  </w:r>
                </w:p>
              </w:tc>
              <w:tc>
                <w:tcPr>
                  <w:tcW w:w="512" w:type="pct"/>
                  <w:tcBorders>
                    <w:tl2br w:val="nil"/>
                    <w:tr2bl w:val="nil"/>
                  </w:tcBorders>
                  <w:vAlign w:val="center"/>
                </w:tcPr>
                <w:p>
                  <w:pPr>
                    <w:spacing w:line="240" w:lineRule="auto"/>
                    <w:jc w:val="center"/>
                    <w:rPr>
                      <w:color w:val="auto"/>
                      <w:kern w:val="0"/>
                    </w:rPr>
                  </w:pPr>
                  <w:r>
                    <w:rPr>
                      <w:color w:val="auto"/>
                      <w:kern w:val="0"/>
                    </w:rPr>
                    <w:t>0</w:t>
                  </w:r>
                </w:p>
              </w:tc>
              <w:tc>
                <w:tcPr>
                  <w:tcW w:w="761" w:type="pct"/>
                  <w:tcBorders>
                    <w:tl2br w:val="nil"/>
                    <w:tr2bl w:val="nil"/>
                  </w:tcBorders>
                  <w:vAlign w:val="center"/>
                </w:tcPr>
                <w:p>
                  <w:pPr>
                    <w:spacing w:line="240" w:lineRule="auto"/>
                    <w:jc w:val="center"/>
                    <w:rPr>
                      <w:color w:val="auto"/>
                      <w:kern w:val="0"/>
                    </w:rPr>
                  </w:pPr>
                  <w:r>
                    <w:rPr>
                      <w:color w:val="auto"/>
                      <w:kern w:val="0"/>
                    </w:rPr>
                    <w:t>23.0</w:t>
                  </w:r>
                </w:p>
              </w:tc>
              <w:tc>
                <w:tcPr>
                  <w:tcW w:w="709" w:type="pct"/>
                  <w:tcBorders>
                    <w:tl2br w:val="nil"/>
                    <w:tr2bl w:val="nil"/>
                  </w:tcBorders>
                  <w:vAlign w:val="center"/>
                </w:tcPr>
                <w:p>
                  <w:pPr>
                    <w:spacing w:line="240" w:lineRule="auto"/>
                    <w:jc w:val="center"/>
                    <w:rPr>
                      <w:color w:val="auto"/>
                      <w:kern w:val="0"/>
                    </w:rPr>
                  </w:pPr>
                  <w:r>
                    <w:rPr>
                      <w:color w:val="auto"/>
                      <w:kern w:val="0"/>
                    </w:rPr>
                    <w:t>/</w:t>
                  </w:r>
                </w:p>
              </w:tc>
              <w:tc>
                <w:tcPr>
                  <w:tcW w:w="528" w:type="pct"/>
                  <w:tcBorders>
                    <w:tl2br w:val="nil"/>
                    <w:tr2bl w:val="nil"/>
                  </w:tcBorders>
                  <w:vAlign w:val="center"/>
                </w:tcPr>
                <w:p>
                  <w:pPr>
                    <w:spacing w:line="240" w:lineRule="auto"/>
                    <w:jc w:val="center"/>
                    <w:rPr>
                      <w:color w:val="auto"/>
                      <w:kern w:val="0"/>
                    </w:rPr>
                  </w:pPr>
                  <w:r>
                    <w:rPr>
                      <w:color w:val="auto"/>
                      <w:kern w:val="0"/>
                    </w:rPr>
                    <w:t>/</w:t>
                  </w:r>
                </w:p>
              </w:tc>
              <w:tc>
                <w:tcPr>
                  <w:tcW w:w="633" w:type="pct"/>
                  <w:tcBorders>
                    <w:tl2br w:val="nil"/>
                    <w:tr2bl w:val="nil"/>
                  </w:tcBorders>
                  <w:vAlign w:val="center"/>
                </w:tcPr>
                <w:p>
                  <w:pPr>
                    <w:spacing w:line="240" w:lineRule="auto"/>
                    <w:jc w:val="center"/>
                    <w:rPr>
                      <w:color w:val="auto"/>
                      <w:kern w:val="0"/>
                    </w:rPr>
                  </w:pPr>
                  <w:r>
                    <w:rPr>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84" w:type="pct"/>
                  <w:vMerge w:val="continue"/>
                  <w:tcBorders>
                    <w:tl2br w:val="nil"/>
                    <w:tr2bl w:val="nil"/>
                  </w:tcBorders>
                  <w:vAlign w:val="center"/>
                </w:tcPr>
                <w:p>
                  <w:pPr>
                    <w:widowControl/>
                    <w:spacing w:line="240" w:lineRule="auto"/>
                    <w:jc w:val="center"/>
                    <w:rPr>
                      <w:color w:val="auto"/>
                    </w:rPr>
                  </w:pPr>
                </w:p>
              </w:tc>
              <w:tc>
                <w:tcPr>
                  <w:tcW w:w="764" w:type="pct"/>
                  <w:tcBorders>
                    <w:tl2br w:val="nil"/>
                    <w:tr2bl w:val="nil"/>
                  </w:tcBorders>
                  <w:vAlign w:val="center"/>
                </w:tcPr>
                <w:p>
                  <w:pPr>
                    <w:spacing w:line="240" w:lineRule="auto"/>
                    <w:jc w:val="center"/>
                    <w:rPr>
                      <w:color w:val="auto"/>
                      <w:kern w:val="0"/>
                    </w:rPr>
                  </w:pPr>
                  <w:r>
                    <w:rPr>
                      <w:color w:val="auto"/>
                      <w:kern w:val="0"/>
                    </w:rPr>
                    <w:t>2#南段庄</w:t>
                  </w:r>
                </w:p>
              </w:tc>
              <w:tc>
                <w:tcPr>
                  <w:tcW w:w="704" w:type="pct"/>
                  <w:tcBorders>
                    <w:tl2br w:val="nil"/>
                    <w:tr2bl w:val="nil"/>
                  </w:tcBorders>
                  <w:vAlign w:val="center"/>
                </w:tcPr>
                <w:p>
                  <w:pPr>
                    <w:spacing w:line="240" w:lineRule="auto"/>
                    <w:jc w:val="center"/>
                    <w:rPr>
                      <w:color w:val="auto"/>
                      <w:kern w:val="0"/>
                    </w:rPr>
                  </w:pPr>
                  <w:r>
                    <w:rPr>
                      <w:color w:val="auto"/>
                      <w:kern w:val="0"/>
                    </w:rPr>
                    <w:t>0.77~1.90</w:t>
                  </w:r>
                </w:p>
              </w:tc>
              <w:tc>
                <w:tcPr>
                  <w:tcW w:w="512" w:type="pct"/>
                  <w:tcBorders>
                    <w:tl2br w:val="nil"/>
                    <w:tr2bl w:val="nil"/>
                  </w:tcBorders>
                  <w:vAlign w:val="center"/>
                </w:tcPr>
                <w:p>
                  <w:pPr>
                    <w:spacing w:line="240" w:lineRule="auto"/>
                    <w:jc w:val="center"/>
                    <w:rPr>
                      <w:color w:val="auto"/>
                      <w:kern w:val="0"/>
                    </w:rPr>
                  </w:pPr>
                  <w:r>
                    <w:rPr>
                      <w:color w:val="auto"/>
                      <w:kern w:val="0"/>
                    </w:rPr>
                    <w:t>0</w:t>
                  </w:r>
                </w:p>
              </w:tc>
              <w:tc>
                <w:tcPr>
                  <w:tcW w:w="761" w:type="pct"/>
                  <w:tcBorders>
                    <w:tl2br w:val="nil"/>
                    <w:tr2bl w:val="nil"/>
                  </w:tcBorders>
                  <w:vAlign w:val="center"/>
                </w:tcPr>
                <w:p>
                  <w:pPr>
                    <w:spacing w:line="240" w:lineRule="auto"/>
                    <w:jc w:val="center"/>
                    <w:rPr>
                      <w:color w:val="auto"/>
                      <w:kern w:val="0"/>
                    </w:rPr>
                  </w:pPr>
                  <w:r>
                    <w:rPr>
                      <w:color w:val="auto"/>
                      <w:kern w:val="0"/>
                    </w:rPr>
                    <w:t>31.7</w:t>
                  </w:r>
                </w:p>
              </w:tc>
              <w:tc>
                <w:tcPr>
                  <w:tcW w:w="709" w:type="pct"/>
                  <w:tcBorders>
                    <w:tl2br w:val="nil"/>
                    <w:tr2bl w:val="nil"/>
                  </w:tcBorders>
                  <w:vAlign w:val="center"/>
                </w:tcPr>
                <w:p>
                  <w:pPr>
                    <w:spacing w:line="240" w:lineRule="auto"/>
                    <w:jc w:val="center"/>
                    <w:rPr>
                      <w:color w:val="auto"/>
                      <w:kern w:val="0"/>
                    </w:rPr>
                  </w:pPr>
                  <w:r>
                    <w:rPr>
                      <w:color w:val="auto"/>
                      <w:kern w:val="0"/>
                    </w:rPr>
                    <w:t>/</w:t>
                  </w:r>
                </w:p>
              </w:tc>
              <w:tc>
                <w:tcPr>
                  <w:tcW w:w="528" w:type="pct"/>
                  <w:tcBorders>
                    <w:tl2br w:val="nil"/>
                    <w:tr2bl w:val="nil"/>
                  </w:tcBorders>
                  <w:vAlign w:val="center"/>
                </w:tcPr>
                <w:p>
                  <w:pPr>
                    <w:spacing w:line="240" w:lineRule="auto"/>
                    <w:jc w:val="center"/>
                    <w:rPr>
                      <w:color w:val="auto"/>
                      <w:kern w:val="0"/>
                    </w:rPr>
                  </w:pPr>
                  <w:r>
                    <w:rPr>
                      <w:color w:val="auto"/>
                      <w:kern w:val="0"/>
                    </w:rPr>
                    <w:t>/</w:t>
                  </w:r>
                </w:p>
              </w:tc>
              <w:tc>
                <w:tcPr>
                  <w:tcW w:w="633" w:type="pct"/>
                  <w:tcBorders>
                    <w:tl2br w:val="nil"/>
                    <w:tr2bl w:val="nil"/>
                  </w:tcBorders>
                  <w:vAlign w:val="center"/>
                </w:tcPr>
                <w:p>
                  <w:pPr>
                    <w:spacing w:line="240" w:lineRule="auto"/>
                    <w:jc w:val="center"/>
                    <w:rPr>
                      <w:color w:val="auto"/>
                      <w:kern w:val="0"/>
                    </w:rPr>
                  </w:pPr>
                  <w:r>
                    <w:rPr>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84" w:type="pct"/>
                  <w:vMerge w:val="continue"/>
                  <w:tcBorders>
                    <w:tl2br w:val="nil"/>
                    <w:tr2bl w:val="nil"/>
                  </w:tcBorders>
                  <w:vAlign w:val="center"/>
                </w:tcPr>
                <w:p>
                  <w:pPr>
                    <w:widowControl/>
                    <w:spacing w:line="240" w:lineRule="auto"/>
                    <w:jc w:val="center"/>
                    <w:rPr>
                      <w:color w:val="auto"/>
                    </w:rPr>
                  </w:pPr>
                </w:p>
              </w:tc>
              <w:tc>
                <w:tcPr>
                  <w:tcW w:w="764" w:type="pct"/>
                  <w:tcBorders>
                    <w:tl2br w:val="nil"/>
                    <w:tr2bl w:val="nil"/>
                  </w:tcBorders>
                  <w:vAlign w:val="center"/>
                </w:tcPr>
                <w:p>
                  <w:pPr>
                    <w:spacing w:line="240" w:lineRule="auto"/>
                    <w:jc w:val="center"/>
                    <w:rPr>
                      <w:rFonts w:hint="eastAsia" w:eastAsia="宋体"/>
                      <w:color w:val="auto"/>
                      <w:kern w:val="0"/>
                      <w:lang w:eastAsia="zh-CN"/>
                    </w:rPr>
                  </w:pPr>
                  <w:r>
                    <w:rPr>
                      <w:color w:val="auto"/>
                      <w:kern w:val="0"/>
                    </w:rPr>
                    <w:t>3#</w:t>
                  </w:r>
                  <w:r>
                    <w:rPr>
                      <w:rFonts w:hint="eastAsia"/>
                      <w:color w:val="auto"/>
                      <w:kern w:val="0"/>
                      <w:lang w:eastAsia="zh-CN"/>
                    </w:rPr>
                    <w:t>罗里村</w:t>
                  </w:r>
                </w:p>
              </w:tc>
              <w:tc>
                <w:tcPr>
                  <w:tcW w:w="704" w:type="pct"/>
                  <w:tcBorders>
                    <w:tl2br w:val="nil"/>
                    <w:tr2bl w:val="nil"/>
                  </w:tcBorders>
                  <w:vAlign w:val="center"/>
                </w:tcPr>
                <w:p>
                  <w:pPr>
                    <w:spacing w:line="240" w:lineRule="auto"/>
                    <w:jc w:val="center"/>
                    <w:rPr>
                      <w:color w:val="auto"/>
                      <w:kern w:val="0"/>
                    </w:rPr>
                  </w:pPr>
                  <w:r>
                    <w:rPr>
                      <w:color w:val="auto"/>
                      <w:kern w:val="0"/>
                    </w:rPr>
                    <w:t>0.66~1.40</w:t>
                  </w:r>
                </w:p>
              </w:tc>
              <w:tc>
                <w:tcPr>
                  <w:tcW w:w="512" w:type="pct"/>
                  <w:tcBorders>
                    <w:tl2br w:val="nil"/>
                    <w:tr2bl w:val="nil"/>
                  </w:tcBorders>
                  <w:vAlign w:val="center"/>
                </w:tcPr>
                <w:p>
                  <w:pPr>
                    <w:spacing w:line="240" w:lineRule="auto"/>
                    <w:jc w:val="center"/>
                    <w:rPr>
                      <w:color w:val="auto"/>
                      <w:kern w:val="0"/>
                    </w:rPr>
                  </w:pPr>
                  <w:r>
                    <w:rPr>
                      <w:color w:val="auto"/>
                      <w:kern w:val="0"/>
                    </w:rPr>
                    <w:t>0</w:t>
                  </w:r>
                </w:p>
              </w:tc>
              <w:tc>
                <w:tcPr>
                  <w:tcW w:w="761" w:type="pct"/>
                  <w:tcBorders>
                    <w:tl2br w:val="nil"/>
                    <w:tr2bl w:val="nil"/>
                  </w:tcBorders>
                  <w:vAlign w:val="center"/>
                </w:tcPr>
                <w:p>
                  <w:pPr>
                    <w:spacing w:line="240" w:lineRule="auto"/>
                    <w:jc w:val="center"/>
                    <w:rPr>
                      <w:color w:val="auto"/>
                      <w:kern w:val="0"/>
                    </w:rPr>
                  </w:pPr>
                  <w:r>
                    <w:rPr>
                      <w:color w:val="auto"/>
                      <w:kern w:val="0"/>
                    </w:rPr>
                    <w:t>23.3</w:t>
                  </w:r>
                </w:p>
              </w:tc>
              <w:tc>
                <w:tcPr>
                  <w:tcW w:w="709" w:type="pct"/>
                  <w:tcBorders>
                    <w:tl2br w:val="nil"/>
                    <w:tr2bl w:val="nil"/>
                  </w:tcBorders>
                  <w:vAlign w:val="center"/>
                </w:tcPr>
                <w:p>
                  <w:pPr>
                    <w:spacing w:line="240" w:lineRule="auto"/>
                    <w:jc w:val="center"/>
                    <w:rPr>
                      <w:color w:val="auto"/>
                      <w:kern w:val="0"/>
                    </w:rPr>
                  </w:pPr>
                  <w:r>
                    <w:rPr>
                      <w:color w:val="auto"/>
                      <w:kern w:val="0"/>
                    </w:rPr>
                    <w:t>/</w:t>
                  </w:r>
                </w:p>
              </w:tc>
              <w:tc>
                <w:tcPr>
                  <w:tcW w:w="528" w:type="pct"/>
                  <w:tcBorders>
                    <w:tl2br w:val="nil"/>
                    <w:tr2bl w:val="nil"/>
                  </w:tcBorders>
                  <w:vAlign w:val="center"/>
                </w:tcPr>
                <w:p>
                  <w:pPr>
                    <w:spacing w:line="240" w:lineRule="auto"/>
                    <w:jc w:val="center"/>
                    <w:rPr>
                      <w:color w:val="auto"/>
                      <w:kern w:val="0"/>
                    </w:rPr>
                  </w:pPr>
                  <w:r>
                    <w:rPr>
                      <w:color w:val="auto"/>
                      <w:kern w:val="0"/>
                    </w:rPr>
                    <w:t>/</w:t>
                  </w:r>
                </w:p>
              </w:tc>
              <w:tc>
                <w:tcPr>
                  <w:tcW w:w="633" w:type="pct"/>
                  <w:tcBorders>
                    <w:tl2br w:val="nil"/>
                    <w:tr2bl w:val="nil"/>
                  </w:tcBorders>
                  <w:vAlign w:val="center"/>
                </w:tcPr>
                <w:p>
                  <w:pPr>
                    <w:spacing w:line="240" w:lineRule="auto"/>
                    <w:jc w:val="center"/>
                    <w:rPr>
                      <w:color w:val="auto"/>
                      <w:kern w:val="0"/>
                    </w:rPr>
                  </w:pPr>
                  <w:r>
                    <w:rPr>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84" w:type="pct"/>
                  <w:vMerge w:val="continue"/>
                  <w:tcBorders>
                    <w:tl2br w:val="nil"/>
                    <w:tr2bl w:val="nil"/>
                  </w:tcBorders>
                  <w:vAlign w:val="center"/>
                </w:tcPr>
                <w:p>
                  <w:pPr>
                    <w:widowControl/>
                    <w:spacing w:line="240" w:lineRule="auto"/>
                    <w:jc w:val="center"/>
                    <w:rPr>
                      <w:color w:val="auto"/>
                    </w:rPr>
                  </w:pPr>
                </w:p>
              </w:tc>
              <w:tc>
                <w:tcPr>
                  <w:tcW w:w="764" w:type="pct"/>
                  <w:tcBorders>
                    <w:tl2br w:val="nil"/>
                    <w:tr2bl w:val="nil"/>
                  </w:tcBorders>
                  <w:vAlign w:val="center"/>
                </w:tcPr>
                <w:p>
                  <w:pPr>
                    <w:spacing w:line="240" w:lineRule="auto"/>
                    <w:jc w:val="center"/>
                    <w:rPr>
                      <w:color w:val="auto"/>
                      <w:kern w:val="0"/>
                    </w:rPr>
                  </w:pPr>
                  <w:r>
                    <w:rPr>
                      <w:color w:val="auto"/>
                      <w:kern w:val="0"/>
                    </w:rPr>
                    <w:t>4#滂汪小学</w:t>
                  </w:r>
                </w:p>
              </w:tc>
              <w:tc>
                <w:tcPr>
                  <w:tcW w:w="704" w:type="pct"/>
                  <w:tcBorders>
                    <w:tl2br w:val="nil"/>
                    <w:tr2bl w:val="nil"/>
                  </w:tcBorders>
                  <w:vAlign w:val="center"/>
                </w:tcPr>
                <w:p>
                  <w:pPr>
                    <w:spacing w:line="240" w:lineRule="auto"/>
                    <w:jc w:val="center"/>
                    <w:rPr>
                      <w:color w:val="auto"/>
                      <w:kern w:val="0"/>
                    </w:rPr>
                  </w:pPr>
                  <w:r>
                    <w:rPr>
                      <w:color w:val="auto"/>
                      <w:kern w:val="0"/>
                    </w:rPr>
                    <w:t>0.69~1.24</w:t>
                  </w:r>
                </w:p>
              </w:tc>
              <w:tc>
                <w:tcPr>
                  <w:tcW w:w="512" w:type="pct"/>
                  <w:tcBorders>
                    <w:tl2br w:val="nil"/>
                    <w:tr2bl w:val="nil"/>
                  </w:tcBorders>
                  <w:vAlign w:val="center"/>
                </w:tcPr>
                <w:p>
                  <w:pPr>
                    <w:spacing w:line="240" w:lineRule="auto"/>
                    <w:jc w:val="center"/>
                    <w:rPr>
                      <w:color w:val="auto"/>
                      <w:kern w:val="0"/>
                    </w:rPr>
                  </w:pPr>
                  <w:r>
                    <w:rPr>
                      <w:color w:val="auto"/>
                      <w:kern w:val="0"/>
                    </w:rPr>
                    <w:t>0</w:t>
                  </w:r>
                </w:p>
              </w:tc>
              <w:tc>
                <w:tcPr>
                  <w:tcW w:w="761" w:type="pct"/>
                  <w:tcBorders>
                    <w:tl2br w:val="nil"/>
                    <w:tr2bl w:val="nil"/>
                  </w:tcBorders>
                  <w:vAlign w:val="center"/>
                </w:tcPr>
                <w:p>
                  <w:pPr>
                    <w:spacing w:line="240" w:lineRule="auto"/>
                    <w:jc w:val="center"/>
                    <w:rPr>
                      <w:color w:val="auto"/>
                      <w:kern w:val="0"/>
                    </w:rPr>
                  </w:pPr>
                  <w:r>
                    <w:rPr>
                      <w:color w:val="auto"/>
                      <w:kern w:val="0"/>
                    </w:rPr>
                    <w:t>20.7</w:t>
                  </w:r>
                </w:p>
              </w:tc>
              <w:tc>
                <w:tcPr>
                  <w:tcW w:w="709" w:type="pct"/>
                  <w:tcBorders>
                    <w:tl2br w:val="nil"/>
                    <w:tr2bl w:val="nil"/>
                  </w:tcBorders>
                  <w:vAlign w:val="center"/>
                </w:tcPr>
                <w:p>
                  <w:pPr>
                    <w:spacing w:line="240" w:lineRule="auto"/>
                    <w:jc w:val="center"/>
                    <w:rPr>
                      <w:color w:val="auto"/>
                      <w:kern w:val="0"/>
                    </w:rPr>
                  </w:pPr>
                  <w:r>
                    <w:rPr>
                      <w:color w:val="auto"/>
                      <w:kern w:val="0"/>
                    </w:rPr>
                    <w:t>/</w:t>
                  </w:r>
                </w:p>
              </w:tc>
              <w:tc>
                <w:tcPr>
                  <w:tcW w:w="528" w:type="pct"/>
                  <w:tcBorders>
                    <w:tl2br w:val="nil"/>
                    <w:tr2bl w:val="nil"/>
                  </w:tcBorders>
                  <w:vAlign w:val="center"/>
                </w:tcPr>
                <w:p>
                  <w:pPr>
                    <w:spacing w:line="240" w:lineRule="auto"/>
                    <w:jc w:val="center"/>
                    <w:rPr>
                      <w:color w:val="auto"/>
                      <w:kern w:val="0"/>
                    </w:rPr>
                  </w:pPr>
                  <w:r>
                    <w:rPr>
                      <w:color w:val="auto"/>
                      <w:kern w:val="0"/>
                    </w:rPr>
                    <w:t>/</w:t>
                  </w:r>
                </w:p>
              </w:tc>
              <w:tc>
                <w:tcPr>
                  <w:tcW w:w="633" w:type="pct"/>
                  <w:tcBorders>
                    <w:tl2br w:val="nil"/>
                    <w:tr2bl w:val="nil"/>
                  </w:tcBorders>
                  <w:vAlign w:val="center"/>
                </w:tcPr>
                <w:p>
                  <w:pPr>
                    <w:spacing w:line="240" w:lineRule="auto"/>
                    <w:jc w:val="center"/>
                    <w:rPr>
                      <w:color w:val="auto"/>
                      <w:kern w:val="0"/>
                    </w:rPr>
                  </w:pPr>
                  <w:r>
                    <w:rPr>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84" w:type="pct"/>
                  <w:vMerge w:val="continue"/>
                  <w:tcBorders>
                    <w:tl2br w:val="nil"/>
                    <w:tr2bl w:val="nil"/>
                  </w:tcBorders>
                  <w:vAlign w:val="center"/>
                </w:tcPr>
                <w:p>
                  <w:pPr>
                    <w:widowControl/>
                    <w:spacing w:line="240" w:lineRule="auto"/>
                    <w:jc w:val="center"/>
                    <w:rPr>
                      <w:color w:val="auto"/>
                    </w:rPr>
                  </w:pPr>
                </w:p>
              </w:tc>
              <w:tc>
                <w:tcPr>
                  <w:tcW w:w="764" w:type="pct"/>
                  <w:tcBorders>
                    <w:tl2br w:val="nil"/>
                    <w:tr2bl w:val="nil"/>
                  </w:tcBorders>
                  <w:vAlign w:val="center"/>
                </w:tcPr>
                <w:p>
                  <w:pPr>
                    <w:spacing w:line="240" w:lineRule="auto"/>
                    <w:jc w:val="center"/>
                    <w:rPr>
                      <w:color w:val="auto"/>
                      <w:kern w:val="0"/>
                    </w:rPr>
                  </w:pPr>
                  <w:r>
                    <w:rPr>
                      <w:color w:val="auto"/>
                      <w:kern w:val="0"/>
                    </w:rPr>
                    <w:t>5#徐里村</w:t>
                  </w:r>
                </w:p>
              </w:tc>
              <w:tc>
                <w:tcPr>
                  <w:tcW w:w="704" w:type="pct"/>
                  <w:tcBorders>
                    <w:tl2br w:val="nil"/>
                    <w:tr2bl w:val="nil"/>
                  </w:tcBorders>
                  <w:vAlign w:val="center"/>
                </w:tcPr>
                <w:p>
                  <w:pPr>
                    <w:spacing w:line="240" w:lineRule="auto"/>
                    <w:jc w:val="center"/>
                    <w:rPr>
                      <w:color w:val="auto"/>
                      <w:kern w:val="0"/>
                    </w:rPr>
                  </w:pPr>
                  <w:r>
                    <w:rPr>
                      <w:color w:val="auto"/>
                      <w:kern w:val="0"/>
                    </w:rPr>
                    <w:t>0.80~1.11</w:t>
                  </w:r>
                </w:p>
              </w:tc>
              <w:tc>
                <w:tcPr>
                  <w:tcW w:w="512" w:type="pct"/>
                  <w:tcBorders>
                    <w:tl2br w:val="nil"/>
                    <w:tr2bl w:val="nil"/>
                  </w:tcBorders>
                  <w:vAlign w:val="center"/>
                </w:tcPr>
                <w:p>
                  <w:pPr>
                    <w:spacing w:line="240" w:lineRule="auto"/>
                    <w:jc w:val="center"/>
                    <w:rPr>
                      <w:color w:val="auto"/>
                      <w:kern w:val="0"/>
                    </w:rPr>
                  </w:pPr>
                  <w:r>
                    <w:rPr>
                      <w:color w:val="auto"/>
                      <w:kern w:val="0"/>
                    </w:rPr>
                    <w:t>0</w:t>
                  </w:r>
                </w:p>
              </w:tc>
              <w:tc>
                <w:tcPr>
                  <w:tcW w:w="761" w:type="pct"/>
                  <w:tcBorders>
                    <w:tl2br w:val="nil"/>
                    <w:tr2bl w:val="nil"/>
                  </w:tcBorders>
                  <w:vAlign w:val="center"/>
                </w:tcPr>
                <w:p>
                  <w:pPr>
                    <w:spacing w:line="240" w:lineRule="auto"/>
                    <w:jc w:val="center"/>
                    <w:rPr>
                      <w:color w:val="auto"/>
                      <w:kern w:val="0"/>
                    </w:rPr>
                  </w:pPr>
                  <w:r>
                    <w:rPr>
                      <w:color w:val="auto"/>
                      <w:kern w:val="0"/>
                    </w:rPr>
                    <w:t>18.5</w:t>
                  </w:r>
                </w:p>
              </w:tc>
              <w:tc>
                <w:tcPr>
                  <w:tcW w:w="709" w:type="pct"/>
                  <w:tcBorders>
                    <w:tl2br w:val="nil"/>
                    <w:tr2bl w:val="nil"/>
                  </w:tcBorders>
                  <w:vAlign w:val="center"/>
                </w:tcPr>
                <w:p>
                  <w:pPr>
                    <w:spacing w:line="240" w:lineRule="auto"/>
                    <w:jc w:val="center"/>
                    <w:rPr>
                      <w:color w:val="auto"/>
                      <w:kern w:val="0"/>
                    </w:rPr>
                  </w:pPr>
                  <w:r>
                    <w:rPr>
                      <w:color w:val="auto"/>
                      <w:kern w:val="0"/>
                    </w:rPr>
                    <w:t>/</w:t>
                  </w:r>
                </w:p>
              </w:tc>
              <w:tc>
                <w:tcPr>
                  <w:tcW w:w="528" w:type="pct"/>
                  <w:tcBorders>
                    <w:tl2br w:val="nil"/>
                    <w:tr2bl w:val="nil"/>
                  </w:tcBorders>
                  <w:vAlign w:val="center"/>
                </w:tcPr>
                <w:p>
                  <w:pPr>
                    <w:spacing w:line="240" w:lineRule="auto"/>
                    <w:jc w:val="center"/>
                    <w:rPr>
                      <w:color w:val="auto"/>
                      <w:kern w:val="0"/>
                    </w:rPr>
                  </w:pPr>
                  <w:r>
                    <w:rPr>
                      <w:color w:val="auto"/>
                      <w:kern w:val="0"/>
                    </w:rPr>
                    <w:t>/</w:t>
                  </w:r>
                </w:p>
              </w:tc>
              <w:tc>
                <w:tcPr>
                  <w:tcW w:w="633" w:type="pct"/>
                  <w:tcBorders>
                    <w:tl2br w:val="nil"/>
                    <w:tr2bl w:val="nil"/>
                  </w:tcBorders>
                  <w:vAlign w:val="center"/>
                </w:tcPr>
                <w:p>
                  <w:pPr>
                    <w:spacing w:line="240" w:lineRule="auto"/>
                    <w:jc w:val="center"/>
                    <w:rPr>
                      <w:color w:val="auto"/>
                      <w:kern w:val="0"/>
                    </w:rPr>
                  </w:pPr>
                  <w:r>
                    <w:rPr>
                      <w:color w:val="auto"/>
                      <w:kern w:val="0"/>
                    </w:rPr>
                    <w:t>/</w:t>
                  </w:r>
                </w:p>
              </w:tc>
            </w:tr>
          </w:tbl>
          <w:p>
            <w:pPr>
              <w:pStyle w:val="2"/>
              <w:jc w:val="center"/>
              <w:rPr>
                <w:rFonts w:hint="default" w:hAnsi="宋体" w:eastAsia="宋体"/>
                <w:b/>
                <w:bCs/>
                <w:color w:val="auto"/>
                <w:sz w:val="21"/>
                <w:szCs w:val="21"/>
                <w:lang w:val="en-US" w:eastAsia="zh-CN"/>
              </w:rPr>
            </w:pPr>
            <w:r>
              <w:rPr>
                <w:rFonts w:ascii="Times New Roman" w:cs="Times New Roman"/>
                <w:b/>
                <w:bCs/>
                <w:color w:val="auto"/>
                <w:sz w:val="21"/>
                <w:szCs w:val="21"/>
              </w:rPr>
              <w:t>表3</w:t>
            </w:r>
            <w:r>
              <w:rPr>
                <w:rFonts w:hint="eastAsia" w:ascii="Times New Roman" w:cs="Times New Roman"/>
                <w:b/>
                <w:bCs/>
                <w:color w:val="auto"/>
                <w:sz w:val="21"/>
                <w:szCs w:val="21"/>
              </w:rPr>
              <w:t>-</w:t>
            </w:r>
            <w:r>
              <w:rPr>
                <w:rFonts w:ascii="Times New Roman" w:cs="Times New Roman"/>
                <w:b/>
                <w:bCs/>
                <w:color w:val="auto"/>
                <w:sz w:val="21"/>
                <w:szCs w:val="21"/>
              </w:rPr>
              <w:t>3  开发区环境空气质量现状监测点</w:t>
            </w:r>
            <w:r>
              <w:rPr>
                <w:rFonts w:hint="eastAsia" w:ascii="Times New Roman" w:cs="Times New Roman"/>
                <w:b/>
                <w:bCs/>
                <w:color w:val="auto"/>
                <w:sz w:val="21"/>
                <w:szCs w:val="21"/>
                <w:lang w:val="en-US" w:eastAsia="zh-CN"/>
              </w:rPr>
              <w:t>位与本项目位置关系</w:t>
            </w:r>
          </w:p>
          <w:tbl>
            <w:tblPr>
              <w:tblStyle w:val="35"/>
              <w:tblW w:w="7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323"/>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tcBorders>
                    <w:tl2br w:val="nil"/>
                    <w:tr2bl w:val="nil"/>
                  </w:tcBorders>
                  <w:vAlign w:val="center"/>
                </w:tcPr>
                <w:p>
                  <w:pPr>
                    <w:jc w:val="center"/>
                    <w:rPr>
                      <w:b/>
                      <w:color w:val="auto"/>
                      <w:kern w:val="0"/>
                      <w:sz w:val="21"/>
                      <w:szCs w:val="21"/>
                    </w:rPr>
                  </w:pPr>
                  <w:r>
                    <w:rPr>
                      <w:b/>
                      <w:color w:val="auto"/>
                      <w:sz w:val="21"/>
                      <w:szCs w:val="21"/>
                    </w:rPr>
                    <w:t>编号</w:t>
                  </w:r>
                </w:p>
              </w:tc>
              <w:tc>
                <w:tcPr>
                  <w:tcW w:w="2323" w:type="dxa"/>
                  <w:tcBorders>
                    <w:tl2br w:val="nil"/>
                    <w:tr2bl w:val="nil"/>
                  </w:tcBorders>
                  <w:vAlign w:val="center"/>
                </w:tcPr>
                <w:p>
                  <w:pPr>
                    <w:jc w:val="center"/>
                    <w:rPr>
                      <w:b/>
                      <w:color w:val="auto"/>
                      <w:kern w:val="0"/>
                      <w:sz w:val="21"/>
                      <w:szCs w:val="21"/>
                    </w:rPr>
                  </w:pPr>
                  <w:r>
                    <w:rPr>
                      <w:b/>
                      <w:color w:val="auto"/>
                      <w:sz w:val="21"/>
                      <w:szCs w:val="21"/>
                    </w:rPr>
                    <w:t>点位名称</w:t>
                  </w:r>
                </w:p>
              </w:tc>
              <w:tc>
                <w:tcPr>
                  <w:tcW w:w="3520" w:type="dxa"/>
                  <w:tcBorders>
                    <w:tl2br w:val="nil"/>
                    <w:tr2bl w:val="nil"/>
                  </w:tcBorders>
                  <w:vAlign w:val="center"/>
                </w:tcPr>
                <w:p>
                  <w:pPr>
                    <w:jc w:val="center"/>
                    <w:rPr>
                      <w:b/>
                      <w:color w:val="auto"/>
                      <w:sz w:val="21"/>
                      <w:szCs w:val="21"/>
                    </w:rPr>
                  </w:pPr>
                  <w:r>
                    <w:rPr>
                      <w:rFonts w:hint="eastAsia"/>
                      <w:b/>
                      <w:color w:val="auto"/>
                      <w:sz w:val="21"/>
                      <w:szCs w:val="21"/>
                    </w:rPr>
                    <w:t>相对本项目的方位及距离（m）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tcBorders>
                    <w:tl2br w:val="nil"/>
                    <w:tr2bl w:val="nil"/>
                  </w:tcBorders>
                  <w:vAlign w:val="center"/>
                </w:tcPr>
                <w:p>
                  <w:pPr>
                    <w:jc w:val="center"/>
                    <w:rPr>
                      <w:color w:val="auto"/>
                      <w:kern w:val="0"/>
                      <w:sz w:val="21"/>
                      <w:szCs w:val="21"/>
                    </w:rPr>
                  </w:pPr>
                  <w:r>
                    <w:rPr>
                      <w:color w:val="auto"/>
                      <w:sz w:val="21"/>
                      <w:szCs w:val="21"/>
                    </w:rPr>
                    <w:t>G1</w:t>
                  </w:r>
                </w:p>
              </w:tc>
              <w:tc>
                <w:tcPr>
                  <w:tcW w:w="2323" w:type="dxa"/>
                  <w:tcBorders>
                    <w:tl2br w:val="nil"/>
                    <w:tr2bl w:val="nil"/>
                  </w:tcBorders>
                  <w:vAlign w:val="center"/>
                </w:tcPr>
                <w:p>
                  <w:pPr>
                    <w:jc w:val="center"/>
                    <w:rPr>
                      <w:color w:val="auto"/>
                      <w:sz w:val="21"/>
                      <w:szCs w:val="21"/>
                    </w:rPr>
                  </w:pPr>
                  <w:r>
                    <w:rPr>
                      <w:color w:val="auto"/>
                      <w:sz w:val="21"/>
                      <w:szCs w:val="21"/>
                    </w:rPr>
                    <w:t>纵楼村</w:t>
                  </w:r>
                </w:p>
              </w:tc>
              <w:tc>
                <w:tcPr>
                  <w:tcW w:w="3520" w:type="dxa"/>
                  <w:tcBorders>
                    <w:tl2br w:val="nil"/>
                    <w:tr2bl w:val="nil"/>
                  </w:tcBorders>
                  <w:vAlign w:val="center"/>
                </w:tcPr>
                <w:p>
                  <w:pPr>
                    <w:jc w:val="center"/>
                    <w:rPr>
                      <w:color w:val="auto"/>
                      <w:sz w:val="21"/>
                      <w:szCs w:val="21"/>
                    </w:rPr>
                  </w:pPr>
                  <w:r>
                    <w:rPr>
                      <w:rFonts w:hint="eastAsia"/>
                      <w:color w:val="auto"/>
                      <w:sz w:val="21"/>
                      <w:szCs w:val="21"/>
                    </w:rPr>
                    <w:t xml:space="preserve">NE  </w:t>
                  </w:r>
                  <w:r>
                    <w:rPr>
                      <w:rFonts w:hint="eastAsia"/>
                      <w:color w:val="auto"/>
                      <w:sz w:val="21"/>
                      <w:szCs w:val="21"/>
                      <w:lang w:val="en-US" w:eastAsia="zh-CN"/>
                    </w:rPr>
                    <w:t>30</w:t>
                  </w:r>
                  <w:r>
                    <w:rPr>
                      <w:rFonts w:hint="eastAsia"/>
                      <w:color w:val="auto"/>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tcBorders>
                    <w:tl2br w:val="nil"/>
                    <w:tr2bl w:val="nil"/>
                  </w:tcBorders>
                  <w:vAlign w:val="center"/>
                </w:tcPr>
                <w:p>
                  <w:pPr>
                    <w:jc w:val="center"/>
                    <w:rPr>
                      <w:color w:val="auto"/>
                      <w:kern w:val="0"/>
                      <w:sz w:val="21"/>
                      <w:szCs w:val="21"/>
                    </w:rPr>
                  </w:pPr>
                  <w:r>
                    <w:rPr>
                      <w:color w:val="auto"/>
                      <w:sz w:val="21"/>
                      <w:szCs w:val="21"/>
                    </w:rPr>
                    <w:t>G2</w:t>
                  </w:r>
                </w:p>
              </w:tc>
              <w:tc>
                <w:tcPr>
                  <w:tcW w:w="2323" w:type="dxa"/>
                  <w:tcBorders>
                    <w:tl2br w:val="nil"/>
                    <w:tr2bl w:val="nil"/>
                  </w:tcBorders>
                  <w:vAlign w:val="center"/>
                </w:tcPr>
                <w:p>
                  <w:pPr>
                    <w:jc w:val="center"/>
                    <w:rPr>
                      <w:color w:val="auto"/>
                      <w:sz w:val="21"/>
                      <w:szCs w:val="21"/>
                    </w:rPr>
                  </w:pPr>
                  <w:r>
                    <w:rPr>
                      <w:color w:val="auto"/>
                      <w:sz w:val="21"/>
                      <w:szCs w:val="21"/>
                    </w:rPr>
                    <w:t>南段庄</w:t>
                  </w:r>
                </w:p>
              </w:tc>
              <w:tc>
                <w:tcPr>
                  <w:tcW w:w="3520" w:type="dxa"/>
                  <w:tcBorders>
                    <w:tl2br w:val="nil"/>
                    <w:tr2bl w:val="nil"/>
                  </w:tcBorders>
                  <w:vAlign w:val="center"/>
                </w:tcPr>
                <w:p>
                  <w:pPr>
                    <w:jc w:val="center"/>
                    <w:rPr>
                      <w:rFonts w:hint="default"/>
                      <w:color w:val="auto"/>
                      <w:sz w:val="21"/>
                      <w:szCs w:val="21"/>
                      <w:lang w:val="en-US"/>
                    </w:rPr>
                  </w:pPr>
                  <w:r>
                    <w:rPr>
                      <w:rFonts w:hint="eastAsia"/>
                      <w:color w:val="auto"/>
                      <w:sz w:val="21"/>
                      <w:szCs w:val="21"/>
                    </w:rPr>
                    <w:t xml:space="preserve">SE   </w:t>
                  </w:r>
                  <w:r>
                    <w:rPr>
                      <w:rFonts w:hint="eastAsia"/>
                      <w:color w:val="auto"/>
                      <w:sz w:val="21"/>
                      <w:szCs w:val="21"/>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tcBorders>
                    <w:tl2br w:val="nil"/>
                    <w:tr2bl w:val="nil"/>
                  </w:tcBorders>
                  <w:vAlign w:val="center"/>
                </w:tcPr>
                <w:p>
                  <w:pPr>
                    <w:jc w:val="center"/>
                    <w:rPr>
                      <w:color w:val="auto"/>
                      <w:kern w:val="0"/>
                      <w:sz w:val="21"/>
                      <w:szCs w:val="21"/>
                    </w:rPr>
                  </w:pPr>
                  <w:r>
                    <w:rPr>
                      <w:color w:val="auto"/>
                      <w:sz w:val="21"/>
                      <w:szCs w:val="21"/>
                    </w:rPr>
                    <w:t>G3</w:t>
                  </w:r>
                </w:p>
              </w:tc>
              <w:tc>
                <w:tcPr>
                  <w:tcW w:w="2323" w:type="dxa"/>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罗里村</w:t>
                  </w:r>
                </w:p>
              </w:tc>
              <w:tc>
                <w:tcPr>
                  <w:tcW w:w="3520" w:type="dxa"/>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rPr>
                    <w:t xml:space="preserve">W  </w:t>
                  </w:r>
                  <w:r>
                    <w:rPr>
                      <w:rFonts w:hint="eastAsia"/>
                      <w:color w:val="auto"/>
                      <w:sz w:val="21"/>
                      <w:szCs w:val="21"/>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tcBorders>
                    <w:tl2br w:val="nil"/>
                    <w:tr2bl w:val="nil"/>
                  </w:tcBorders>
                  <w:vAlign w:val="center"/>
                </w:tcPr>
                <w:p>
                  <w:pPr>
                    <w:jc w:val="center"/>
                    <w:rPr>
                      <w:color w:val="auto"/>
                      <w:kern w:val="0"/>
                      <w:sz w:val="21"/>
                      <w:szCs w:val="21"/>
                    </w:rPr>
                  </w:pPr>
                  <w:r>
                    <w:rPr>
                      <w:color w:val="auto"/>
                      <w:sz w:val="21"/>
                      <w:szCs w:val="21"/>
                    </w:rPr>
                    <w:t>G4</w:t>
                  </w:r>
                </w:p>
              </w:tc>
              <w:tc>
                <w:tcPr>
                  <w:tcW w:w="2323" w:type="dxa"/>
                  <w:tcBorders>
                    <w:tl2br w:val="nil"/>
                    <w:tr2bl w:val="nil"/>
                  </w:tcBorders>
                  <w:vAlign w:val="center"/>
                </w:tcPr>
                <w:p>
                  <w:pPr>
                    <w:jc w:val="center"/>
                    <w:rPr>
                      <w:color w:val="auto"/>
                      <w:sz w:val="21"/>
                      <w:szCs w:val="21"/>
                    </w:rPr>
                  </w:pPr>
                  <w:r>
                    <w:rPr>
                      <w:color w:val="auto"/>
                      <w:sz w:val="21"/>
                      <w:szCs w:val="21"/>
                    </w:rPr>
                    <w:t>滂汪小学</w:t>
                  </w:r>
                </w:p>
              </w:tc>
              <w:tc>
                <w:tcPr>
                  <w:tcW w:w="3520" w:type="dxa"/>
                  <w:tcBorders>
                    <w:tl2br w:val="nil"/>
                    <w:tr2bl w:val="nil"/>
                  </w:tcBorders>
                  <w:vAlign w:val="center"/>
                </w:tcPr>
                <w:p>
                  <w:pPr>
                    <w:jc w:val="center"/>
                    <w:rPr>
                      <w:color w:val="auto"/>
                      <w:sz w:val="21"/>
                      <w:szCs w:val="21"/>
                    </w:rPr>
                  </w:pPr>
                  <w:r>
                    <w:rPr>
                      <w:rFonts w:hint="eastAsia"/>
                      <w:color w:val="auto"/>
                      <w:sz w:val="21"/>
                      <w:szCs w:val="21"/>
                    </w:rPr>
                    <w:t xml:space="preserve">S </w:t>
                  </w:r>
                  <w:r>
                    <w:rPr>
                      <w:rFonts w:hint="eastAsia"/>
                      <w:color w:val="auto"/>
                      <w:sz w:val="21"/>
                      <w:szCs w:val="21"/>
                      <w:lang w:val="en-US" w:eastAsia="zh-CN"/>
                    </w:rPr>
                    <w:t xml:space="preserve"> 33</w:t>
                  </w:r>
                  <w:r>
                    <w:rPr>
                      <w:rFonts w:hint="eastAsia"/>
                      <w:color w:val="auto"/>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56" w:type="dxa"/>
                  <w:tcBorders>
                    <w:tl2br w:val="nil"/>
                    <w:tr2bl w:val="nil"/>
                  </w:tcBorders>
                  <w:vAlign w:val="center"/>
                </w:tcPr>
                <w:p>
                  <w:pPr>
                    <w:jc w:val="center"/>
                    <w:rPr>
                      <w:color w:val="auto"/>
                      <w:kern w:val="0"/>
                      <w:sz w:val="21"/>
                      <w:szCs w:val="21"/>
                    </w:rPr>
                  </w:pPr>
                  <w:r>
                    <w:rPr>
                      <w:color w:val="auto"/>
                      <w:sz w:val="21"/>
                      <w:szCs w:val="21"/>
                    </w:rPr>
                    <w:t>G5</w:t>
                  </w:r>
                </w:p>
              </w:tc>
              <w:tc>
                <w:tcPr>
                  <w:tcW w:w="2323" w:type="dxa"/>
                  <w:tcBorders>
                    <w:tl2br w:val="nil"/>
                    <w:tr2bl w:val="nil"/>
                  </w:tcBorders>
                  <w:vAlign w:val="center"/>
                </w:tcPr>
                <w:p>
                  <w:pPr>
                    <w:jc w:val="center"/>
                    <w:rPr>
                      <w:color w:val="auto"/>
                      <w:sz w:val="21"/>
                      <w:szCs w:val="21"/>
                    </w:rPr>
                  </w:pPr>
                  <w:r>
                    <w:rPr>
                      <w:color w:val="auto"/>
                      <w:sz w:val="21"/>
                      <w:szCs w:val="21"/>
                    </w:rPr>
                    <w:t>徐里村</w:t>
                  </w:r>
                </w:p>
              </w:tc>
              <w:tc>
                <w:tcPr>
                  <w:tcW w:w="3520" w:type="dxa"/>
                  <w:tcBorders>
                    <w:tl2br w:val="nil"/>
                    <w:tr2bl w:val="nil"/>
                  </w:tcBorders>
                  <w:vAlign w:val="center"/>
                </w:tcPr>
                <w:p>
                  <w:pPr>
                    <w:jc w:val="center"/>
                    <w:rPr>
                      <w:color w:val="auto"/>
                      <w:sz w:val="21"/>
                      <w:szCs w:val="21"/>
                    </w:rPr>
                  </w:pPr>
                  <w:r>
                    <w:rPr>
                      <w:rFonts w:hint="eastAsia"/>
                      <w:color w:val="auto"/>
                      <w:sz w:val="21"/>
                      <w:szCs w:val="21"/>
                    </w:rPr>
                    <w:t xml:space="preserve">SW  </w:t>
                  </w:r>
                  <w:r>
                    <w:rPr>
                      <w:rFonts w:hint="eastAsia"/>
                      <w:color w:val="auto"/>
                      <w:sz w:val="21"/>
                      <w:szCs w:val="21"/>
                      <w:lang w:val="en-US" w:eastAsia="zh-CN"/>
                    </w:rPr>
                    <w:t>52</w:t>
                  </w:r>
                  <w:r>
                    <w:rPr>
                      <w:rFonts w:hint="eastAsia"/>
                      <w:color w:val="auto"/>
                      <w:sz w:val="21"/>
                      <w:szCs w:val="21"/>
                    </w:rPr>
                    <w:t>00</w:t>
                  </w:r>
                </w:p>
              </w:tc>
            </w:tr>
          </w:tbl>
          <w:p>
            <w:pPr>
              <w:spacing w:line="360" w:lineRule="auto"/>
              <w:ind w:firstLine="480" w:firstLineChars="200"/>
              <w:rPr>
                <w:color w:val="auto"/>
                <w:sz w:val="24"/>
                <w:szCs w:val="24"/>
              </w:rPr>
            </w:pPr>
            <w:r>
              <w:rPr>
                <w:color w:val="auto"/>
                <w:sz w:val="24"/>
                <w:szCs w:val="24"/>
              </w:rPr>
              <w:t>根据表</w:t>
            </w:r>
            <w:r>
              <w:rPr>
                <w:rFonts w:hint="eastAsia"/>
                <w:color w:val="auto"/>
                <w:sz w:val="24"/>
                <w:szCs w:val="24"/>
              </w:rPr>
              <w:t>3.2</w:t>
            </w:r>
            <w:r>
              <w:rPr>
                <w:color w:val="auto"/>
                <w:sz w:val="24"/>
                <w:szCs w:val="24"/>
              </w:rPr>
              <w:t>可知，建设项目所在地区域非甲烷总烃小时浓度最大占标率为31.7%，可满足《大气污染物综合排放标准详解》中的标准限值要求</w:t>
            </w:r>
            <w:r>
              <w:rPr>
                <w:rFonts w:hint="eastAsia" w:ascii="宋体" w:hAnsi="宋体" w:cs="宋体"/>
                <w:color w:val="auto"/>
                <w:sz w:val="24"/>
                <w:szCs w:val="24"/>
              </w:rPr>
              <w:t>。</w:t>
            </w:r>
          </w:p>
          <w:p>
            <w:pPr>
              <w:spacing w:line="360" w:lineRule="auto"/>
              <w:rPr>
                <w:b/>
                <w:color w:val="auto"/>
                <w:sz w:val="24"/>
                <w:szCs w:val="24"/>
              </w:rPr>
            </w:pPr>
            <w:r>
              <w:rPr>
                <w:rFonts w:hint="eastAsia"/>
                <w:b/>
                <w:color w:val="auto"/>
                <w:sz w:val="24"/>
                <w:szCs w:val="24"/>
              </w:rPr>
              <w:t xml:space="preserve"> 二、</w:t>
            </w:r>
            <w:r>
              <w:rPr>
                <w:b/>
                <w:color w:val="auto"/>
                <w:sz w:val="24"/>
                <w:szCs w:val="24"/>
              </w:rPr>
              <w:t>水环境质量现状</w:t>
            </w:r>
          </w:p>
          <w:p>
            <w:pPr>
              <w:widowControl/>
              <w:spacing w:line="360" w:lineRule="auto"/>
              <w:ind w:firstLine="480" w:firstLineChars="200"/>
              <w:jc w:val="left"/>
              <w:rPr>
                <w:b/>
                <w:bCs/>
                <w:color w:val="auto"/>
                <w:sz w:val="24"/>
                <w:szCs w:val="24"/>
              </w:rPr>
            </w:pPr>
            <w:r>
              <w:rPr>
                <w:color w:val="auto"/>
                <w:sz w:val="24"/>
                <w:szCs w:val="24"/>
              </w:rPr>
              <w:t>区域地表水</w:t>
            </w:r>
            <w:r>
              <w:rPr>
                <w:rFonts w:hint="eastAsia"/>
                <w:color w:val="auto"/>
                <w:sz w:val="24"/>
                <w:szCs w:val="24"/>
              </w:rPr>
              <w:t>岱河、</w:t>
            </w:r>
            <w:r>
              <w:rPr>
                <w:color w:val="auto"/>
                <w:sz w:val="24"/>
                <w:szCs w:val="24"/>
              </w:rPr>
              <w:t>龙河引用</w:t>
            </w:r>
            <w:r>
              <w:rPr>
                <w:rFonts w:hint="eastAsia"/>
                <w:color w:val="auto"/>
                <w:sz w:val="24"/>
                <w:szCs w:val="24"/>
              </w:rPr>
              <w:t>2020年《</w:t>
            </w:r>
            <w:r>
              <w:rPr>
                <w:rFonts w:hint="eastAsia" w:ascii="宋体" w:hAnsi="宋体" w:cs="宋体"/>
                <w:color w:val="auto"/>
                <w:sz w:val="24"/>
                <w:szCs w:val="24"/>
              </w:rPr>
              <w:t>安徽淮北杜集经济开发区总体发展规划环境影响跟踪评价报告书</w:t>
            </w:r>
            <w:r>
              <w:rPr>
                <w:rFonts w:hint="eastAsia"/>
                <w:color w:val="auto"/>
                <w:sz w:val="24"/>
                <w:szCs w:val="24"/>
              </w:rPr>
              <w:t>》</w:t>
            </w:r>
            <w:r>
              <w:rPr>
                <w:color w:val="auto"/>
                <w:sz w:val="24"/>
                <w:szCs w:val="24"/>
              </w:rPr>
              <w:t>中</w:t>
            </w:r>
            <w:r>
              <w:rPr>
                <w:rFonts w:hint="eastAsia"/>
                <w:color w:val="auto"/>
                <w:sz w:val="24"/>
                <w:szCs w:val="24"/>
              </w:rPr>
              <w:t>岱河、</w:t>
            </w:r>
            <w:r>
              <w:rPr>
                <w:rFonts w:hint="eastAsia"/>
                <w:color w:val="auto"/>
                <w:sz w:val="24"/>
                <w:szCs w:val="24"/>
                <w:lang w:val="zh-CN"/>
              </w:rPr>
              <w:t>龙河（</w:t>
            </w:r>
            <w:r>
              <w:rPr>
                <w:rFonts w:hint="eastAsia"/>
                <w:color w:val="auto"/>
                <w:sz w:val="24"/>
                <w:szCs w:val="24"/>
              </w:rPr>
              <w:t>龙湖涵闸下断面</w:t>
            </w:r>
            <w:r>
              <w:rPr>
                <w:rFonts w:hint="eastAsia"/>
                <w:color w:val="auto"/>
                <w:sz w:val="24"/>
                <w:szCs w:val="24"/>
                <w:lang w:val="zh-CN"/>
              </w:rPr>
              <w:t>）</w:t>
            </w:r>
            <w:r>
              <w:rPr>
                <w:color w:val="auto"/>
                <w:sz w:val="24"/>
                <w:szCs w:val="24"/>
              </w:rPr>
              <w:t>各水质断面</w:t>
            </w:r>
            <w:r>
              <w:rPr>
                <w:rFonts w:hint="eastAsia"/>
                <w:color w:val="auto"/>
                <w:sz w:val="24"/>
                <w:szCs w:val="24"/>
              </w:rPr>
              <w:t>监测</w:t>
            </w:r>
            <w:r>
              <w:rPr>
                <w:rFonts w:hint="eastAsia"/>
                <w:color w:val="auto"/>
                <w:sz w:val="24"/>
                <w:szCs w:val="24"/>
                <w:lang w:val="zh-CN"/>
              </w:rPr>
              <w:t>数据。</w:t>
            </w:r>
            <w:r>
              <w:rPr>
                <w:color w:val="auto"/>
                <w:sz w:val="24"/>
                <w:szCs w:val="24"/>
              </w:rPr>
              <w:t>监测断面水质现状情况具体见表</w:t>
            </w:r>
            <w:r>
              <w:rPr>
                <w:rFonts w:hint="eastAsia"/>
                <w:color w:val="auto"/>
                <w:sz w:val="24"/>
                <w:szCs w:val="24"/>
              </w:rPr>
              <w:t>3-4、表3-5</w:t>
            </w:r>
            <w:r>
              <w:rPr>
                <w:color w:val="auto"/>
                <w:sz w:val="24"/>
                <w:szCs w:val="24"/>
              </w:rPr>
              <w:t>。</w:t>
            </w:r>
          </w:p>
          <w:p>
            <w:pPr>
              <w:spacing w:line="240" w:lineRule="auto"/>
              <w:jc w:val="center"/>
              <w:rPr>
                <w:b/>
                <w:bCs/>
                <w:color w:val="auto"/>
                <w:sz w:val="21"/>
                <w:szCs w:val="21"/>
              </w:rPr>
            </w:pPr>
            <w:r>
              <w:rPr>
                <w:b/>
                <w:bCs/>
                <w:color w:val="auto"/>
                <w:sz w:val="21"/>
                <w:szCs w:val="21"/>
              </w:rPr>
              <w:t>表3</w:t>
            </w:r>
            <w:r>
              <w:rPr>
                <w:rFonts w:hint="eastAsia"/>
                <w:b/>
                <w:bCs/>
                <w:color w:val="auto"/>
                <w:sz w:val="21"/>
                <w:szCs w:val="21"/>
              </w:rPr>
              <w:t>-</w:t>
            </w:r>
            <w:r>
              <w:rPr>
                <w:b/>
                <w:bCs/>
                <w:color w:val="auto"/>
                <w:sz w:val="21"/>
                <w:szCs w:val="21"/>
              </w:rPr>
              <w:t>4  岱河环境质量现状监测结果（单位：mg/L，pH无量纲）</w:t>
            </w:r>
          </w:p>
          <w:tbl>
            <w:tblPr>
              <w:tblStyle w:val="3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3"/>
              <w:gridCol w:w="2066"/>
              <w:gridCol w:w="1632"/>
              <w:gridCol w:w="1632"/>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794" w:type="pct"/>
                  <w:tcBorders>
                    <w:tl2br w:val="nil"/>
                    <w:tr2bl w:val="nil"/>
                  </w:tcBorders>
                  <w:vAlign w:val="center"/>
                </w:tcPr>
                <w:p>
                  <w:pPr>
                    <w:jc w:val="center"/>
                    <w:rPr>
                      <w:b/>
                      <w:color w:val="auto"/>
                      <w:kern w:val="24"/>
                      <w:szCs w:val="18"/>
                    </w:rPr>
                  </w:pPr>
                  <w:r>
                    <w:rPr>
                      <w:b/>
                      <w:color w:val="auto"/>
                      <w:kern w:val="24"/>
                      <w:szCs w:val="18"/>
                    </w:rPr>
                    <w:t>监测时间</w:t>
                  </w:r>
                </w:p>
              </w:tc>
              <w:tc>
                <w:tcPr>
                  <w:tcW w:w="1247" w:type="pct"/>
                  <w:tcBorders>
                    <w:tl2br w:val="nil"/>
                    <w:tr2bl w:val="nil"/>
                  </w:tcBorders>
                  <w:vAlign w:val="center"/>
                </w:tcPr>
                <w:p>
                  <w:pPr>
                    <w:jc w:val="center"/>
                    <w:rPr>
                      <w:b/>
                      <w:color w:val="auto"/>
                      <w:kern w:val="24"/>
                      <w:szCs w:val="18"/>
                    </w:rPr>
                  </w:pPr>
                  <w:r>
                    <w:rPr>
                      <w:b/>
                      <w:color w:val="auto"/>
                      <w:kern w:val="24"/>
                      <w:szCs w:val="18"/>
                    </w:rPr>
                    <w:t>监测因子</w:t>
                  </w:r>
                </w:p>
              </w:tc>
              <w:tc>
                <w:tcPr>
                  <w:tcW w:w="985" w:type="pct"/>
                  <w:tcBorders>
                    <w:tl2br w:val="nil"/>
                    <w:tr2bl w:val="nil"/>
                  </w:tcBorders>
                  <w:vAlign w:val="center"/>
                </w:tcPr>
                <w:p>
                  <w:pPr>
                    <w:jc w:val="center"/>
                    <w:rPr>
                      <w:b/>
                      <w:color w:val="auto"/>
                      <w:kern w:val="24"/>
                      <w:szCs w:val="18"/>
                    </w:rPr>
                  </w:pPr>
                  <w:r>
                    <w:rPr>
                      <w:b/>
                      <w:color w:val="auto"/>
                      <w:kern w:val="24"/>
                      <w:szCs w:val="18"/>
                    </w:rPr>
                    <w:t>1#</w:t>
                  </w:r>
                </w:p>
              </w:tc>
              <w:tc>
                <w:tcPr>
                  <w:tcW w:w="985" w:type="pct"/>
                  <w:tcBorders>
                    <w:tl2br w:val="nil"/>
                    <w:tr2bl w:val="nil"/>
                  </w:tcBorders>
                  <w:vAlign w:val="center"/>
                </w:tcPr>
                <w:p>
                  <w:pPr>
                    <w:jc w:val="center"/>
                    <w:rPr>
                      <w:b/>
                      <w:color w:val="auto"/>
                      <w:kern w:val="24"/>
                      <w:szCs w:val="18"/>
                    </w:rPr>
                  </w:pPr>
                  <w:r>
                    <w:rPr>
                      <w:b/>
                      <w:color w:val="auto"/>
                      <w:kern w:val="24"/>
                      <w:szCs w:val="18"/>
                    </w:rPr>
                    <w:t>2#</w:t>
                  </w:r>
                </w:p>
              </w:tc>
              <w:tc>
                <w:tcPr>
                  <w:tcW w:w="986" w:type="pct"/>
                  <w:tcBorders>
                    <w:tl2br w:val="nil"/>
                    <w:tr2bl w:val="nil"/>
                  </w:tcBorders>
                  <w:vAlign w:val="center"/>
                </w:tcPr>
                <w:p>
                  <w:pPr>
                    <w:jc w:val="center"/>
                    <w:rPr>
                      <w:b/>
                      <w:color w:val="auto"/>
                      <w:kern w:val="24"/>
                      <w:szCs w:val="18"/>
                    </w:rPr>
                  </w:pPr>
                  <w:r>
                    <w:rPr>
                      <w:b/>
                      <w:color w:val="auto"/>
                      <w:kern w:val="24"/>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94" w:type="pct"/>
                  <w:vMerge w:val="restart"/>
                  <w:tcBorders>
                    <w:tl2br w:val="nil"/>
                    <w:tr2bl w:val="nil"/>
                  </w:tcBorders>
                  <w:vAlign w:val="center"/>
                </w:tcPr>
                <w:p>
                  <w:pPr>
                    <w:jc w:val="center"/>
                    <w:rPr>
                      <w:color w:val="auto"/>
                      <w:kern w:val="24"/>
                      <w:szCs w:val="18"/>
                    </w:rPr>
                  </w:pPr>
                  <w:r>
                    <w:rPr>
                      <w:color w:val="auto"/>
                      <w:kern w:val="24"/>
                      <w:szCs w:val="18"/>
                    </w:rPr>
                    <w:t>2020.03.03</w:t>
                  </w:r>
                </w:p>
              </w:tc>
              <w:tc>
                <w:tcPr>
                  <w:tcW w:w="1247" w:type="pct"/>
                  <w:tcBorders>
                    <w:tl2br w:val="nil"/>
                    <w:tr2bl w:val="nil"/>
                  </w:tcBorders>
                  <w:vAlign w:val="center"/>
                </w:tcPr>
                <w:p>
                  <w:pPr>
                    <w:jc w:val="center"/>
                    <w:rPr>
                      <w:color w:val="auto"/>
                      <w:kern w:val="24"/>
                      <w:szCs w:val="18"/>
                    </w:rPr>
                  </w:pPr>
                  <w:r>
                    <w:rPr>
                      <w:color w:val="auto"/>
                      <w:kern w:val="24"/>
                      <w:szCs w:val="18"/>
                    </w:rPr>
                    <w:t>pH</w:t>
                  </w:r>
                </w:p>
              </w:tc>
              <w:tc>
                <w:tcPr>
                  <w:tcW w:w="985" w:type="pct"/>
                  <w:tcBorders>
                    <w:tl2br w:val="nil"/>
                    <w:tr2bl w:val="nil"/>
                  </w:tcBorders>
                  <w:vAlign w:val="center"/>
                </w:tcPr>
                <w:p>
                  <w:pPr>
                    <w:jc w:val="center"/>
                    <w:rPr>
                      <w:color w:val="auto"/>
                      <w:kern w:val="24"/>
                      <w:szCs w:val="18"/>
                    </w:rPr>
                  </w:pPr>
                  <w:r>
                    <w:rPr>
                      <w:color w:val="auto"/>
                      <w:kern w:val="24"/>
                      <w:szCs w:val="18"/>
                    </w:rPr>
                    <w:t>7.2</w:t>
                  </w:r>
                </w:p>
              </w:tc>
              <w:tc>
                <w:tcPr>
                  <w:tcW w:w="985" w:type="pct"/>
                  <w:tcBorders>
                    <w:tl2br w:val="nil"/>
                    <w:tr2bl w:val="nil"/>
                  </w:tcBorders>
                  <w:vAlign w:val="center"/>
                </w:tcPr>
                <w:p>
                  <w:pPr>
                    <w:jc w:val="center"/>
                    <w:rPr>
                      <w:color w:val="auto"/>
                      <w:kern w:val="24"/>
                      <w:szCs w:val="18"/>
                    </w:rPr>
                  </w:pPr>
                  <w:r>
                    <w:rPr>
                      <w:color w:val="auto"/>
                      <w:kern w:val="24"/>
                      <w:szCs w:val="18"/>
                    </w:rPr>
                    <w:t>7.5</w:t>
                  </w:r>
                </w:p>
              </w:tc>
              <w:tc>
                <w:tcPr>
                  <w:tcW w:w="986" w:type="pct"/>
                  <w:tcBorders>
                    <w:tl2br w:val="nil"/>
                    <w:tr2bl w:val="nil"/>
                  </w:tcBorders>
                  <w:vAlign w:val="center"/>
                </w:tcPr>
                <w:p>
                  <w:pPr>
                    <w:jc w:val="center"/>
                    <w:rPr>
                      <w:color w:val="auto"/>
                      <w:kern w:val="24"/>
                      <w:szCs w:val="18"/>
                    </w:rPr>
                  </w:pPr>
                  <w:r>
                    <w:rPr>
                      <w:color w:val="auto"/>
                      <w:kern w:val="24"/>
                      <w:szCs w:val="1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溶解氧</w:t>
                  </w:r>
                </w:p>
              </w:tc>
              <w:tc>
                <w:tcPr>
                  <w:tcW w:w="985" w:type="pct"/>
                  <w:tcBorders>
                    <w:tl2br w:val="nil"/>
                    <w:tr2bl w:val="nil"/>
                  </w:tcBorders>
                  <w:vAlign w:val="center"/>
                </w:tcPr>
                <w:p>
                  <w:pPr>
                    <w:jc w:val="center"/>
                    <w:rPr>
                      <w:color w:val="auto"/>
                      <w:kern w:val="24"/>
                      <w:szCs w:val="18"/>
                    </w:rPr>
                  </w:pPr>
                  <w:r>
                    <w:rPr>
                      <w:color w:val="auto"/>
                      <w:kern w:val="24"/>
                      <w:szCs w:val="18"/>
                    </w:rPr>
                    <w:t>5.2</w:t>
                  </w:r>
                </w:p>
              </w:tc>
              <w:tc>
                <w:tcPr>
                  <w:tcW w:w="985" w:type="pct"/>
                  <w:tcBorders>
                    <w:tl2br w:val="nil"/>
                    <w:tr2bl w:val="nil"/>
                  </w:tcBorders>
                  <w:vAlign w:val="center"/>
                </w:tcPr>
                <w:p>
                  <w:pPr>
                    <w:jc w:val="center"/>
                    <w:rPr>
                      <w:color w:val="auto"/>
                      <w:kern w:val="24"/>
                      <w:szCs w:val="18"/>
                    </w:rPr>
                  </w:pPr>
                  <w:r>
                    <w:rPr>
                      <w:color w:val="auto"/>
                      <w:kern w:val="24"/>
                      <w:szCs w:val="18"/>
                    </w:rPr>
                    <w:t>6.3</w:t>
                  </w:r>
                </w:p>
              </w:tc>
              <w:tc>
                <w:tcPr>
                  <w:tcW w:w="986" w:type="pct"/>
                  <w:tcBorders>
                    <w:tl2br w:val="nil"/>
                    <w:tr2bl w:val="nil"/>
                  </w:tcBorders>
                  <w:vAlign w:val="center"/>
                </w:tcPr>
                <w:p>
                  <w:pPr>
                    <w:jc w:val="center"/>
                    <w:rPr>
                      <w:color w:val="auto"/>
                      <w:kern w:val="24"/>
                      <w:szCs w:val="18"/>
                    </w:rPr>
                  </w:pPr>
                  <w:r>
                    <w:rPr>
                      <w:color w:val="auto"/>
                      <w:kern w:val="24"/>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化学需氧量</w:t>
                  </w:r>
                </w:p>
              </w:tc>
              <w:tc>
                <w:tcPr>
                  <w:tcW w:w="985" w:type="pct"/>
                  <w:tcBorders>
                    <w:tl2br w:val="nil"/>
                    <w:tr2bl w:val="nil"/>
                  </w:tcBorders>
                  <w:vAlign w:val="center"/>
                </w:tcPr>
                <w:p>
                  <w:pPr>
                    <w:jc w:val="center"/>
                    <w:rPr>
                      <w:color w:val="auto"/>
                      <w:kern w:val="24"/>
                      <w:szCs w:val="18"/>
                    </w:rPr>
                  </w:pPr>
                  <w:r>
                    <w:rPr>
                      <w:color w:val="auto"/>
                      <w:kern w:val="24"/>
                      <w:szCs w:val="18"/>
                    </w:rPr>
                    <w:t>18.7</w:t>
                  </w:r>
                </w:p>
              </w:tc>
              <w:tc>
                <w:tcPr>
                  <w:tcW w:w="985" w:type="pct"/>
                  <w:tcBorders>
                    <w:tl2br w:val="nil"/>
                    <w:tr2bl w:val="nil"/>
                  </w:tcBorders>
                  <w:vAlign w:val="center"/>
                </w:tcPr>
                <w:p>
                  <w:pPr>
                    <w:jc w:val="center"/>
                    <w:rPr>
                      <w:color w:val="auto"/>
                      <w:kern w:val="24"/>
                      <w:szCs w:val="18"/>
                    </w:rPr>
                  </w:pPr>
                  <w:r>
                    <w:rPr>
                      <w:color w:val="auto"/>
                      <w:kern w:val="24"/>
                      <w:szCs w:val="18"/>
                    </w:rPr>
                    <w:t>16.3</w:t>
                  </w:r>
                </w:p>
              </w:tc>
              <w:tc>
                <w:tcPr>
                  <w:tcW w:w="986" w:type="pct"/>
                  <w:tcBorders>
                    <w:tl2br w:val="nil"/>
                    <w:tr2bl w:val="nil"/>
                  </w:tcBorders>
                  <w:vAlign w:val="center"/>
                </w:tcPr>
                <w:p>
                  <w:pPr>
                    <w:jc w:val="center"/>
                    <w:rPr>
                      <w:color w:val="auto"/>
                      <w:kern w:val="24"/>
                      <w:szCs w:val="18"/>
                    </w:rPr>
                  </w:pPr>
                  <w:r>
                    <w:rPr>
                      <w:color w:val="auto"/>
                      <w:kern w:val="24"/>
                      <w:szCs w:val="18"/>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五日生化需氧量</w:t>
                  </w:r>
                </w:p>
              </w:tc>
              <w:tc>
                <w:tcPr>
                  <w:tcW w:w="985" w:type="pct"/>
                  <w:tcBorders>
                    <w:tl2br w:val="nil"/>
                    <w:tr2bl w:val="nil"/>
                  </w:tcBorders>
                  <w:vAlign w:val="center"/>
                </w:tcPr>
                <w:p>
                  <w:pPr>
                    <w:jc w:val="center"/>
                    <w:rPr>
                      <w:color w:val="auto"/>
                      <w:kern w:val="24"/>
                      <w:szCs w:val="18"/>
                    </w:rPr>
                  </w:pPr>
                  <w:r>
                    <w:rPr>
                      <w:color w:val="auto"/>
                      <w:kern w:val="24"/>
                      <w:szCs w:val="18"/>
                    </w:rPr>
                    <w:t>2.3</w:t>
                  </w:r>
                </w:p>
              </w:tc>
              <w:tc>
                <w:tcPr>
                  <w:tcW w:w="985" w:type="pct"/>
                  <w:tcBorders>
                    <w:tl2br w:val="nil"/>
                    <w:tr2bl w:val="nil"/>
                  </w:tcBorders>
                  <w:vAlign w:val="center"/>
                </w:tcPr>
                <w:p>
                  <w:pPr>
                    <w:jc w:val="center"/>
                    <w:rPr>
                      <w:color w:val="auto"/>
                      <w:kern w:val="24"/>
                      <w:szCs w:val="18"/>
                    </w:rPr>
                  </w:pPr>
                  <w:r>
                    <w:rPr>
                      <w:color w:val="auto"/>
                      <w:kern w:val="24"/>
                      <w:szCs w:val="18"/>
                    </w:rPr>
                    <w:t>2.2</w:t>
                  </w:r>
                </w:p>
              </w:tc>
              <w:tc>
                <w:tcPr>
                  <w:tcW w:w="986" w:type="pct"/>
                  <w:tcBorders>
                    <w:tl2br w:val="nil"/>
                    <w:tr2bl w:val="nil"/>
                  </w:tcBorders>
                  <w:vAlign w:val="center"/>
                </w:tcPr>
                <w:p>
                  <w:pPr>
                    <w:jc w:val="center"/>
                    <w:rPr>
                      <w:color w:val="auto"/>
                      <w:kern w:val="24"/>
                      <w:szCs w:val="18"/>
                    </w:rPr>
                  </w:pPr>
                  <w:r>
                    <w:rPr>
                      <w:color w:val="auto"/>
                      <w:kern w:val="24"/>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氨氮</w:t>
                  </w:r>
                </w:p>
              </w:tc>
              <w:tc>
                <w:tcPr>
                  <w:tcW w:w="985" w:type="pct"/>
                  <w:tcBorders>
                    <w:tl2br w:val="nil"/>
                    <w:tr2bl w:val="nil"/>
                  </w:tcBorders>
                  <w:vAlign w:val="center"/>
                </w:tcPr>
                <w:p>
                  <w:pPr>
                    <w:jc w:val="center"/>
                    <w:rPr>
                      <w:color w:val="auto"/>
                      <w:kern w:val="24"/>
                      <w:szCs w:val="18"/>
                    </w:rPr>
                  </w:pPr>
                  <w:r>
                    <w:rPr>
                      <w:color w:val="auto"/>
                      <w:kern w:val="24"/>
                      <w:szCs w:val="18"/>
                    </w:rPr>
                    <w:t>0.328</w:t>
                  </w:r>
                </w:p>
              </w:tc>
              <w:tc>
                <w:tcPr>
                  <w:tcW w:w="985" w:type="pct"/>
                  <w:tcBorders>
                    <w:tl2br w:val="nil"/>
                    <w:tr2bl w:val="nil"/>
                  </w:tcBorders>
                  <w:vAlign w:val="center"/>
                </w:tcPr>
                <w:p>
                  <w:pPr>
                    <w:jc w:val="center"/>
                    <w:rPr>
                      <w:color w:val="auto"/>
                      <w:kern w:val="24"/>
                      <w:szCs w:val="18"/>
                    </w:rPr>
                  </w:pPr>
                  <w:r>
                    <w:rPr>
                      <w:color w:val="auto"/>
                      <w:kern w:val="24"/>
                      <w:szCs w:val="18"/>
                    </w:rPr>
                    <w:t>0.089</w:t>
                  </w:r>
                </w:p>
              </w:tc>
              <w:tc>
                <w:tcPr>
                  <w:tcW w:w="986" w:type="pct"/>
                  <w:tcBorders>
                    <w:tl2br w:val="nil"/>
                    <w:tr2bl w:val="nil"/>
                  </w:tcBorders>
                  <w:vAlign w:val="center"/>
                </w:tcPr>
                <w:p>
                  <w:pPr>
                    <w:jc w:val="center"/>
                    <w:rPr>
                      <w:color w:val="auto"/>
                      <w:kern w:val="24"/>
                      <w:szCs w:val="18"/>
                    </w:rPr>
                  </w:pPr>
                  <w:r>
                    <w:rPr>
                      <w:color w:val="auto"/>
                      <w:kern w:val="24"/>
                      <w:szCs w:val="18"/>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总磷</w:t>
                  </w:r>
                </w:p>
              </w:tc>
              <w:tc>
                <w:tcPr>
                  <w:tcW w:w="985" w:type="pct"/>
                  <w:tcBorders>
                    <w:tl2br w:val="nil"/>
                    <w:tr2bl w:val="nil"/>
                  </w:tcBorders>
                  <w:vAlign w:val="center"/>
                </w:tcPr>
                <w:p>
                  <w:pPr>
                    <w:jc w:val="center"/>
                    <w:rPr>
                      <w:color w:val="auto"/>
                      <w:kern w:val="24"/>
                      <w:szCs w:val="18"/>
                    </w:rPr>
                  </w:pPr>
                  <w:r>
                    <w:rPr>
                      <w:color w:val="auto"/>
                      <w:kern w:val="24"/>
                      <w:szCs w:val="18"/>
                    </w:rPr>
                    <w:t>0.18</w:t>
                  </w:r>
                </w:p>
              </w:tc>
              <w:tc>
                <w:tcPr>
                  <w:tcW w:w="985" w:type="pct"/>
                  <w:tcBorders>
                    <w:tl2br w:val="nil"/>
                    <w:tr2bl w:val="nil"/>
                  </w:tcBorders>
                  <w:vAlign w:val="center"/>
                </w:tcPr>
                <w:p>
                  <w:pPr>
                    <w:jc w:val="center"/>
                    <w:rPr>
                      <w:color w:val="auto"/>
                      <w:kern w:val="24"/>
                      <w:szCs w:val="18"/>
                    </w:rPr>
                  </w:pPr>
                  <w:r>
                    <w:rPr>
                      <w:color w:val="auto"/>
                      <w:kern w:val="24"/>
                      <w:szCs w:val="18"/>
                    </w:rPr>
                    <w:t>0.06</w:t>
                  </w:r>
                </w:p>
              </w:tc>
              <w:tc>
                <w:tcPr>
                  <w:tcW w:w="986" w:type="pct"/>
                  <w:tcBorders>
                    <w:tl2br w:val="nil"/>
                    <w:tr2bl w:val="nil"/>
                  </w:tcBorders>
                  <w:vAlign w:val="center"/>
                </w:tcPr>
                <w:p>
                  <w:pPr>
                    <w:jc w:val="center"/>
                    <w:rPr>
                      <w:color w:val="auto"/>
                      <w:kern w:val="24"/>
                      <w:szCs w:val="18"/>
                    </w:rPr>
                  </w:pPr>
                  <w:r>
                    <w:rPr>
                      <w:color w:val="auto"/>
                      <w:kern w:val="24"/>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石油类</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6" w:type="pct"/>
                  <w:tcBorders>
                    <w:tl2br w:val="nil"/>
                    <w:tr2bl w:val="nil"/>
                  </w:tcBorders>
                  <w:vAlign w:val="center"/>
                </w:tcPr>
                <w:p>
                  <w:pPr>
                    <w:jc w:val="center"/>
                    <w:rPr>
                      <w:color w:val="auto"/>
                      <w:kern w:val="24"/>
                      <w:szCs w:val="18"/>
                    </w:rPr>
                  </w:pPr>
                  <w:r>
                    <w:rPr>
                      <w:color w:val="auto"/>
                      <w:kern w:val="24"/>
                      <w:szCs w:val="18"/>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挥发酚</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5" w:type="pct"/>
                  <w:tcBorders>
                    <w:tl2br w:val="nil"/>
                    <w:tr2bl w:val="nil"/>
                  </w:tcBorders>
                  <w:vAlign w:val="center"/>
                </w:tcPr>
                <w:p>
                  <w:pPr>
                    <w:jc w:val="center"/>
                    <w:rPr>
                      <w:color w:val="auto"/>
                      <w:kern w:val="24"/>
                      <w:szCs w:val="18"/>
                    </w:rPr>
                  </w:pPr>
                  <w:r>
                    <w:rPr>
                      <w:color w:val="auto"/>
                      <w:kern w:val="24"/>
                      <w:szCs w:val="18"/>
                    </w:rPr>
                    <w:t>&lt;0.0003</w:t>
                  </w:r>
                </w:p>
              </w:tc>
              <w:tc>
                <w:tcPr>
                  <w:tcW w:w="986" w:type="pct"/>
                  <w:tcBorders>
                    <w:tl2br w:val="nil"/>
                    <w:tr2bl w:val="nil"/>
                  </w:tcBorders>
                  <w:vAlign w:val="center"/>
                </w:tcPr>
                <w:p>
                  <w:pPr>
                    <w:jc w:val="center"/>
                    <w:rPr>
                      <w:color w:val="auto"/>
                      <w:kern w:val="24"/>
                      <w:szCs w:val="18"/>
                    </w:rPr>
                  </w:pPr>
                  <w:r>
                    <w:rPr>
                      <w:color w:val="auto"/>
                      <w:kern w:val="24"/>
                      <w:szCs w:val="18"/>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阴离子表面活性剂</w:t>
                  </w:r>
                </w:p>
              </w:tc>
              <w:tc>
                <w:tcPr>
                  <w:tcW w:w="985" w:type="pct"/>
                  <w:tcBorders>
                    <w:tl2br w:val="nil"/>
                    <w:tr2bl w:val="nil"/>
                  </w:tcBorders>
                  <w:vAlign w:val="center"/>
                </w:tcPr>
                <w:p>
                  <w:pPr>
                    <w:jc w:val="center"/>
                    <w:rPr>
                      <w:color w:val="auto"/>
                      <w:kern w:val="24"/>
                      <w:szCs w:val="18"/>
                    </w:rPr>
                  </w:pPr>
                  <w:r>
                    <w:rPr>
                      <w:color w:val="auto"/>
                      <w:kern w:val="24"/>
                      <w:szCs w:val="18"/>
                    </w:rPr>
                    <w:t>&lt;0.05</w:t>
                  </w:r>
                </w:p>
              </w:tc>
              <w:tc>
                <w:tcPr>
                  <w:tcW w:w="985" w:type="pct"/>
                  <w:tcBorders>
                    <w:tl2br w:val="nil"/>
                    <w:tr2bl w:val="nil"/>
                  </w:tcBorders>
                  <w:vAlign w:val="center"/>
                </w:tcPr>
                <w:p>
                  <w:pPr>
                    <w:jc w:val="center"/>
                    <w:rPr>
                      <w:color w:val="auto"/>
                      <w:kern w:val="24"/>
                      <w:szCs w:val="18"/>
                    </w:rPr>
                  </w:pPr>
                  <w:r>
                    <w:rPr>
                      <w:color w:val="auto"/>
                      <w:kern w:val="24"/>
                      <w:szCs w:val="18"/>
                    </w:rPr>
                    <w:t>&lt;0.05</w:t>
                  </w:r>
                </w:p>
              </w:tc>
              <w:tc>
                <w:tcPr>
                  <w:tcW w:w="986" w:type="pct"/>
                  <w:tcBorders>
                    <w:tl2br w:val="nil"/>
                    <w:tr2bl w:val="nil"/>
                  </w:tcBorders>
                  <w:vAlign w:val="center"/>
                </w:tcPr>
                <w:p>
                  <w:pPr>
                    <w:jc w:val="center"/>
                    <w:rPr>
                      <w:color w:val="auto"/>
                      <w:kern w:val="24"/>
                      <w:szCs w:val="18"/>
                    </w:rPr>
                  </w:pPr>
                  <w:r>
                    <w:rPr>
                      <w:color w:val="auto"/>
                      <w:kern w:val="24"/>
                      <w:szCs w:val="18"/>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794" w:type="pct"/>
                  <w:vMerge w:val="restart"/>
                  <w:tcBorders>
                    <w:tl2br w:val="nil"/>
                    <w:tr2bl w:val="nil"/>
                  </w:tcBorders>
                  <w:vAlign w:val="center"/>
                </w:tcPr>
                <w:p>
                  <w:pPr>
                    <w:jc w:val="center"/>
                    <w:rPr>
                      <w:color w:val="auto"/>
                      <w:kern w:val="24"/>
                      <w:szCs w:val="18"/>
                    </w:rPr>
                  </w:pPr>
                  <w:r>
                    <w:rPr>
                      <w:color w:val="auto"/>
                      <w:kern w:val="24"/>
                      <w:szCs w:val="18"/>
                    </w:rPr>
                    <w:t>2020.03.04</w:t>
                  </w:r>
                </w:p>
              </w:tc>
              <w:tc>
                <w:tcPr>
                  <w:tcW w:w="1247" w:type="pct"/>
                  <w:tcBorders>
                    <w:tl2br w:val="nil"/>
                    <w:tr2bl w:val="nil"/>
                  </w:tcBorders>
                  <w:vAlign w:val="center"/>
                </w:tcPr>
                <w:p>
                  <w:pPr>
                    <w:jc w:val="center"/>
                    <w:rPr>
                      <w:color w:val="auto"/>
                      <w:kern w:val="24"/>
                      <w:szCs w:val="18"/>
                    </w:rPr>
                  </w:pPr>
                  <w:r>
                    <w:rPr>
                      <w:color w:val="auto"/>
                      <w:kern w:val="24"/>
                      <w:szCs w:val="18"/>
                    </w:rPr>
                    <w:t>pH</w:t>
                  </w:r>
                </w:p>
              </w:tc>
              <w:tc>
                <w:tcPr>
                  <w:tcW w:w="985" w:type="pct"/>
                  <w:tcBorders>
                    <w:tl2br w:val="nil"/>
                    <w:tr2bl w:val="nil"/>
                  </w:tcBorders>
                  <w:vAlign w:val="center"/>
                </w:tcPr>
                <w:p>
                  <w:pPr>
                    <w:jc w:val="center"/>
                    <w:rPr>
                      <w:color w:val="auto"/>
                      <w:kern w:val="24"/>
                      <w:szCs w:val="18"/>
                    </w:rPr>
                  </w:pPr>
                  <w:r>
                    <w:rPr>
                      <w:color w:val="auto"/>
                      <w:kern w:val="24"/>
                      <w:szCs w:val="18"/>
                    </w:rPr>
                    <w:t>7.2</w:t>
                  </w:r>
                </w:p>
              </w:tc>
              <w:tc>
                <w:tcPr>
                  <w:tcW w:w="985" w:type="pct"/>
                  <w:tcBorders>
                    <w:tl2br w:val="nil"/>
                    <w:tr2bl w:val="nil"/>
                  </w:tcBorders>
                  <w:vAlign w:val="center"/>
                </w:tcPr>
                <w:p>
                  <w:pPr>
                    <w:jc w:val="center"/>
                    <w:rPr>
                      <w:color w:val="auto"/>
                      <w:kern w:val="24"/>
                      <w:szCs w:val="18"/>
                    </w:rPr>
                  </w:pPr>
                  <w:r>
                    <w:rPr>
                      <w:color w:val="auto"/>
                      <w:kern w:val="24"/>
                      <w:szCs w:val="18"/>
                    </w:rPr>
                    <w:t>7.5</w:t>
                  </w:r>
                </w:p>
              </w:tc>
              <w:tc>
                <w:tcPr>
                  <w:tcW w:w="986" w:type="pct"/>
                  <w:tcBorders>
                    <w:tl2br w:val="nil"/>
                    <w:tr2bl w:val="nil"/>
                  </w:tcBorders>
                  <w:vAlign w:val="center"/>
                </w:tcPr>
                <w:p>
                  <w:pPr>
                    <w:jc w:val="center"/>
                    <w:rPr>
                      <w:color w:val="auto"/>
                      <w:kern w:val="24"/>
                      <w:szCs w:val="18"/>
                    </w:rPr>
                  </w:pPr>
                  <w:r>
                    <w:rPr>
                      <w:color w:val="auto"/>
                      <w:kern w:val="24"/>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溶解氧</w:t>
                  </w:r>
                </w:p>
              </w:tc>
              <w:tc>
                <w:tcPr>
                  <w:tcW w:w="985" w:type="pct"/>
                  <w:tcBorders>
                    <w:tl2br w:val="nil"/>
                    <w:tr2bl w:val="nil"/>
                  </w:tcBorders>
                  <w:vAlign w:val="center"/>
                </w:tcPr>
                <w:p>
                  <w:pPr>
                    <w:jc w:val="center"/>
                    <w:rPr>
                      <w:color w:val="auto"/>
                      <w:kern w:val="24"/>
                      <w:szCs w:val="18"/>
                    </w:rPr>
                  </w:pPr>
                  <w:r>
                    <w:rPr>
                      <w:color w:val="auto"/>
                      <w:kern w:val="24"/>
                      <w:szCs w:val="18"/>
                    </w:rPr>
                    <w:t>5.2</w:t>
                  </w:r>
                </w:p>
              </w:tc>
              <w:tc>
                <w:tcPr>
                  <w:tcW w:w="985" w:type="pct"/>
                  <w:tcBorders>
                    <w:tl2br w:val="nil"/>
                    <w:tr2bl w:val="nil"/>
                  </w:tcBorders>
                  <w:vAlign w:val="center"/>
                </w:tcPr>
                <w:p>
                  <w:pPr>
                    <w:jc w:val="center"/>
                    <w:rPr>
                      <w:color w:val="auto"/>
                      <w:kern w:val="24"/>
                      <w:szCs w:val="18"/>
                    </w:rPr>
                  </w:pPr>
                  <w:r>
                    <w:rPr>
                      <w:color w:val="auto"/>
                      <w:kern w:val="24"/>
                      <w:szCs w:val="18"/>
                    </w:rPr>
                    <w:t>6.3</w:t>
                  </w:r>
                </w:p>
              </w:tc>
              <w:tc>
                <w:tcPr>
                  <w:tcW w:w="986" w:type="pct"/>
                  <w:tcBorders>
                    <w:tl2br w:val="nil"/>
                    <w:tr2bl w:val="nil"/>
                  </w:tcBorders>
                  <w:vAlign w:val="center"/>
                </w:tcPr>
                <w:p>
                  <w:pPr>
                    <w:jc w:val="center"/>
                    <w:rPr>
                      <w:color w:val="auto"/>
                      <w:kern w:val="24"/>
                      <w:szCs w:val="18"/>
                    </w:rPr>
                  </w:pPr>
                  <w:r>
                    <w:rPr>
                      <w:color w:val="auto"/>
                      <w:kern w:val="24"/>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化学需氧量</w:t>
                  </w:r>
                </w:p>
              </w:tc>
              <w:tc>
                <w:tcPr>
                  <w:tcW w:w="985" w:type="pct"/>
                  <w:tcBorders>
                    <w:tl2br w:val="nil"/>
                    <w:tr2bl w:val="nil"/>
                  </w:tcBorders>
                  <w:vAlign w:val="center"/>
                </w:tcPr>
                <w:p>
                  <w:pPr>
                    <w:jc w:val="center"/>
                    <w:rPr>
                      <w:color w:val="auto"/>
                      <w:kern w:val="24"/>
                      <w:szCs w:val="18"/>
                    </w:rPr>
                  </w:pPr>
                  <w:r>
                    <w:rPr>
                      <w:color w:val="auto"/>
                      <w:kern w:val="24"/>
                      <w:szCs w:val="18"/>
                    </w:rPr>
                    <w:t>18.1</w:t>
                  </w:r>
                </w:p>
              </w:tc>
              <w:tc>
                <w:tcPr>
                  <w:tcW w:w="985" w:type="pct"/>
                  <w:tcBorders>
                    <w:tl2br w:val="nil"/>
                    <w:tr2bl w:val="nil"/>
                  </w:tcBorders>
                  <w:vAlign w:val="center"/>
                </w:tcPr>
                <w:p>
                  <w:pPr>
                    <w:jc w:val="center"/>
                    <w:rPr>
                      <w:color w:val="auto"/>
                      <w:kern w:val="24"/>
                      <w:szCs w:val="18"/>
                    </w:rPr>
                  </w:pPr>
                  <w:r>
                    <w:rPr>
                      <w:color w:val="auto"/>
                      <w:kern w:val="24"/>
                      <w:szCs w:val="18"/>
                    </w:rPr>
                    <w:t>17.2</w:t>
                  </w:r>
                </w:p>
              </w:tc>
              <w:tc>
                <w:tcPr>
                  <w:tcW w:w="986" w:type="pct"/>
                  <w:tcBorders>
                    <w:tl2br w:val="nil"/>
                    <w:tr2bl w:val="nil"/>
                  </w:tcBorders>
                  <w:vAlign w:val="center"/>
                </w:tcPr>
                <w:p>
                  <w:pPr>
                    <w:jc w:val="center"/>
                    <w:rPr>
                      <w:color w:val="auto"/>
                      <w:kern w:val="24"/>
                      <w:szCs w:val="18"/>
                    </w:rPr>
                  </w:pPr>
                  <w:r>
                    <w:rPr>
                      <w:color w:val="auto"/>
                      <w:kern w:val="24"/>
                      <w:szCs w:val="18"/>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五日生化需氧量</w:t>
                  </w:r>
                </w:p>
              </w:tc>
              <w:tc>
                <w:tcPr>
                  <w:tcW w:w="985" w:type="pct"/>
                  <w:tcBorders>
                    <w:tl2br w:val="nil"/>
                    <w:tr2bl w:val="nil"/>
                  </w:tcBorders>
                  <w:vAlign w:val="center"/>
                </w:tcPr>
                <w:p>
                  <w:pPr>
                    <w:jc w:val="center"/>
                    <w:rPr>
                      <w:color w:val="auto"/>
                      <w:kern w:val="24"/>
                      <w:szCs w:val="18"/>
                    </w:rPr>
                  </w:pPr>
                  <w:r>
                    <w:rPr>
                      <w:color w:val="auto"/>
                      <w:kern w:val="24"/>
                      <w:szCs w:val="18"/>
                    </w:rPr>
                    <w:t>2.2</w:t>
                  </w:r>
                </w:p>
              </w:tc>
              <w:tc>
                <w:tcPr>
                  <w:tcW w:w="985" w:type="pct"/>
                  <w:tcBorders>
                    <w:tl2br w:val="nil"/>
                    <w:tr2bl w:val="nil"/>
                  </w:tcBorders>
                  <w:vAlign w:val="center"/>
                </w:tcPr>
                <w:p>
                  <w:pPr>
                    <w:jc w:val="center"/>
                    <w:rPr>
                      <w:color w:val="auto"/>
                      <w:kern w:val="24"/>
                      <w:szCs w:val="18"/>
                    </w:rPr>
                  </w:pPr>
                  <w:r>
                    <w:rPr>
                      <w:color w:val="auto"/>
                      <w:kern w:val="24"/>
                      <w:szCs w:val="18"/>
                    </w:rPr>
                    <w:t>2.4</w:t>
                  </w:r>
                </w:p>
              </w:tc>
              <w:tc>
                <w:tcPr>
                  <w:tcW w:w="986" w:type="pct"/>
                  <w:tcBorders>
                    <w:tl2br w:val="nil"/>
                    <w:tr2bl w:val="nil"/>
                  </w:tcBorders>
                  <w:vAlign w:val="center"/>
                </w:tcPr>
                <w:p>
                  <w:pPr>
                    <w:jc w:val="center"/>
                    <w:rPr>
                      <w:color w:val="auto"/>
                      <w:kern w:val="24"/>
                      <w:szCs w:val="18"/>
                    </w:rPr>
                  </w:pPr>
                  <w:r>
                    <w:rPr>
                      <w:color w:val="auto"/>
                      <w:kern w:val="24"/>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氨氮</w:t>
                  </w:r>
                </w:p>
              </w:tc>
              <w:tc>
                <w:tcPr>
                  <w:tcW w:w="985" w:type="pct"/>
                  <w:tcBorders>
                    <w:tl2br w:val="nil"/>
                    <w:tr2bl w:val="nil"/>
                  </w:tcBorders>
                  <w:vAlign w:val="center"/>
                </w:tcPr>
                <w:p>
                  <w:pPr>
                    <w:jc w:val="center"/>
                    <w:rPr>
                      <w:color w:val="auto"/>
                      <w:kern w:val="24"/>
                      <w:szCs w:val="18"/>
                    </w:rPr>
                  </w:pPr>
                  <w:r>
                    <w:rPr>
                      <w:color w:val="auto"/>
                      <w:kern w:val="24"/>
                      <w:szCs w:val="18"/>
                    </w:rPr>
                    <w:t>0.242</w:t>
                  </w:r>
                </w:p>
              </w:tc>
              <w:tc>
                <w:tcPr>
                  <w:tcW w:w="985" w:type="pct"/>
                  <w:tcBorders>
                    <w:tl2br w:val="nil"/>
                    <w:tr2bl w:val="nil"/>
                  </w:tcBorders>
                  <w:vAlign w:val="center"/>
                </w:tcPr>
                <w:p>
                  <w:pPr>
                    <w:jc w:val="center"/>
                    <w:rPr>
                      <w:color w:val="auto"/>
                      <w:kern w:val="24"/>
                      <w:szCs w:val="18"/>
                    </w:rPr>
                  </w:pPr>
                  <w:r>
                    <w:rPr>
                      <w:color w:val="auto"/>
                      <w:kern w:val="24"/>
                      <w:szCs w:val="18"/>
                    </w:rPr>
                    <w:t>0.186</w:t>
                  </w:r>
                </w:p>
              </w:tc>
              <w:tc>
                <w:tcPr>
                  <w:tcW w:w="986" w:type="pct"/>
                  <w:tcBorders>
                    <w:tl2br w:val="nil"/>
                    <w:tr2bl w:val="nil"/>
                  </w:tcBorders>
                  <w:vAlign w:val="center"/>
                </w:tcPr>
                <w:p>
                  <w:pPr>
                    <w:jc w:val="center"/>
                    <w:rPr>
                      <w:color w:val="auto"/>
                      <w:kern w:val="24"/>
                      <w:szCs w:val="18"/>
                    </w:rPr>
                  </w:pPr>
                  <w:r>
                    <w:rPr>
                      <w:color w:val="auto"/>
                      <w:kern w:val="24"/>
                      <w:szCs w:val="18"/>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总磷</w:t>
                  </w:r>
                </w:p>
              </w:tc>
              <w:tc>
                <w:tcPr>
                  <w:tcW w:w="985" w:type="pct"/>
                  <w:tcBorders>
                    <w:tl2br w:val="nil"/>
                    <w:tr2bl w:val="nil"/>
                  </w:tcBorders>
                  <w:vAlign w:val="center"/>
                </w:tcPr>
                <w:p>
                  <w:pPr>
                    <w:jc w:val="center"/>
                    <w:rPr>
                      <w:color w:val="auto"/>
                      <w:kern w:val="24"/>
                      <w:szCs w:val="18"/>
                    </w:rPr>
                  </w:pPr>
                  <w:r>
                    <w:rPr>
                      <w:color w:val="auto"/>
                      <w:kern w:val="24"/>
                      <w:szCs w:val="18"/>
                    </w:rPr>
                    <w:t>0.16</w:t>
                  </w:r>
                </w:p>
              </w:tc>
              <w:tc>
                <w:tcPr>
                  <w:tcW w:w="985" w:type="pct"/>
                  <w:tcBorders>
                    <w:tl2br w:val="nil"/>
                    <w:tr2bl w:val="nil"/>
                  </w:tcBorders>
                  <w:vAlign w:val="center"/>
                </w:tcPr>
                <w:p>
                  <w:pPr>
                    <w:jc w:val="center"/>
                    <w:rPr>
                      <w:color w:val="auto"/>
                      <w:kern w:val="24"/>
                      <w:szCs w:val="18"/>
                    </w:rPr>
                  </w:pPr>
                  <w:r>
                    <w:rPr>
                      <w:color w:val="auto"/>
                      <w:kern w:val="24"/>
                      <w:szCs w:val="18"/>
                    </w:rPr>
                    <w:t>0.06</w:t>
                  </w:r>
                </w:p>
              </w:tc>
              <w:tc>
                <w:tcPr>
                  <w:tcW w:w="986" w:type="pct"/>
                  <w:tcBorders>
                    <w:tl2br w:val="nil"/>
                    <w:tr2bl w:val="nil"/>
                  </w:tcBorders>
                  <w:vAlign w:val="center"/>
                </w:tcPr>
                <w:p>
                  <w:pPr>
                    <w:jc w:val="center"/>
                    <w:rPr>
                      <w:color w:val="auto"/>
                      <w:kern w:val="24"/>
                      <w:szCs w:val="18"/>
                    </w:rPr>
                  </w:pPr>
                  <w:r>
                    <w:rPr>
                      <w:color w:val="auto"/>
                      <w:kern w:val="24"/>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石油类</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6" w:type="pct"/>
                  <w:tcBorders>
                    <w:tl2br w:val="nil"/>
                    <w:tr2bl w:val="nil"/>
                  </w:tcBorders>
                  <w:vAlign w:val="center"/>
                </w:tcPr>
                <w:p>
                  <w:pPr>
                    <w:jc w:val="center"/>
                    <w:rPr>
                      <w:color w:val="auto"/>
                      <w:kern w:val="24"/>
                      <w:szCs w:val="18"/>
                    </w:rPr>
                  </w:pPr>
                  <w:r>
                    <w:rPr>
                      <w:color w:val="auto"/>
                      <w:kern w:val="24"/>
                      <w:szCs w:val="18"/>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挥发酚</w:t>
                  </w:r>
                </w:p>
              </w:tc>
              <w:tc>
                <w:tcPr>
                  <w:tcW w:w="985" w:type="pct"/>
                  <w:tcBorders>
                    <w:tl2br w:val="nil"/>
                    <w:tr2bl w:val="nil"/>
                  </w:tcBorders>
                  <w:vAlign w:val="center"/>
                </w:tcPr>
                <w:p>
                  <w:pPr>
                    <w:jc w:val="center"/>
                    <w:rPr>
                      <w:color w:val="auto"/>
                      <w:kern w:val="24"/>
                      <w:szCs w:val="18"/>
                    </w:rPr>
                  </w:pPr>
                  <w:r>
                    <w:rPr>
                      <w:color w:val="auto"/>
                      <w:kern w:val="24"/>
                      <w:szCs w:val="18"/>
                    </w:rPr>
                    <w:t>0.0003</w:t>
                  </w:r>
                </w:p>
              </w:tc>
              <w:tc>
                <w:tcPr>
                  <w:tcW w:w="985" w:type="pct"/>
                  <w:tcBorders>
                    <w:tl2br w:val="nil"/>
                    <w:tr2bl w:val="nil"/>
                  </w:tcBorders>
                  <w:vAlign w:val="center"/>
                </w:tcPr>
                <w:p>
                  <w:pPr>
                    <w:jc w:val="center"/>
                    <w:rPr>
                      <w:color w:val="auto"/>
                      <w:kern w:val="24"/>
                      <w:szCs w:val="18"/>
                    </w:rPr>
                  </w:pPr>
                  <w:r>
                    <w:rPr>
                      <w:color w:val="auto"/>
                      <w:kern w:val="24"/>
                      <w:szCs w:val="18"/>
                    </w:rPr>
                    <w:t>&lt;0.0003</w:t>
                  </w:r>
                </w:p>
              </w:tc>
              <w:tc>
                <w:tcPr>
                  <w:tcW w:w="986" w:type="pct"/>
                  <w:tcBorders>
                    <w:tl2br w:val="nil"/>
                    <w:tr2bl w:val="nil"/>
                  </w:tcBorders>
                  <w:vAlign w:val="center"/>
                </w:tcPr>
                <w:p>
                  <w:pPr>
                    <w:jc w:val="center"/>
                    <w:rPr>
                      <w:color w:val="auto"/>
                      <w:kern w:val="24"/>
                      <w:szCs w:val="18"/>
                    </w:rPr>
                  </w:pPr>
                  <w:r>
                    <w:rPr>
                      <w:color w:val="auto"/>
                      <w:kern w:val="24"/>
                      <w:szCs w:val="18"/>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阴离子表面活性剂</w:t>
                  </w:r>
                </w:p>
              </w:tc>
              <w:tc>
                <w:tcPr>
                  <w:tcW w:w="985" w:type="pct"/>
                  <w:tcBorders>
                    <w:tl2br w:val="nil"/>
                    <w:tr2bl w:val="nil"/>
                  </w:tcBorders>
                  <w:vAlign w:val="center"/>
                </w:tcPr>
                <w:p>
                  <w:pPr>
                    <w:jc w:val="center"/>
                    <w:rPr>
                      <w:color w:val="auto"/>
                      <w:kern w:val="24"/>
                      <w:szCs w:val="18"/>
                    </w:rPr>
                  </w:pPr>
                  <w:r>
                    <w:rPr>
                      <w:color w:val="auto"/>
                      <w:kern w:val="24"/>
                      <w:szCs w:val="18"/>
                    </w:rPr>
                    <w:t>&lt;0.05</w:t>
                  </w:r>
                </w:p>
              </w:tc>
              <w:tc>
                <w:tcPr>
                  <w:tcW w:w="985" w:type="pct"/>
                  <w:tcBorders>
                    <w:tl2br w:val="nil"/>
                    <w:tr2bl w:val="nil"/>
                  </w:tcBorders>
                  <w:vAlign w:val="center"/>
                </w:tcPr>
                <w:p>
                  <w:pPr>
                    <w:jc w:val="center"/>
                    <w:rPr>
                      <w:color w:val="auto"/>
                      <w:kern w:val="24"/>
                      <w:szCs w:val="18"/>
                    </w:rPr>
                  </w:pPr>
                  <w:r>
                    <w:rPr>
                      <w:color w:val="auto"/>
                      <w:kern w:val="24"/>
                      <w:szCs w:val="18"/>
                    </w:rPr>
                    <w:t>&lt;0.05</w:t>
                  </w:r>
                </w:p>
              </w:tc>
              <w:tc>
                <w:tcPr>
                  <w:tcW w:w="986" w:type="pct"/>
                  <w:tcBorders>
                    <w:tl2br w:val="nil"/>
                    <w:tr2bl w:val="nil"/>
                  </w:tcBorders>
                  <w:vAlign w:val="center"/>
                </w:tcPr>
                <w:p>
                  <w:pPr>
                    <w:jc w:val="center"/>
                    <w:rPr>
                      <w:color w:val="auto"/>
                      <w:kern w:val="24"/>
                      <w:szCs w:val="18"/>
                    </w:rPr>
                  </w:pPr>
                  <w:r>
                    <w:rPr>
                      <w:color w:val="auto"/>
                      <w:kern w:val="24"/>
                      <w:szCs w:val="18"/>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94" w:type="pct"/>
                  <w:vMerge w:val="restart"/>
                  <w:tcBorders>
                    <w:tl2br w:val="nil"/>
                    <w:tr2bl w:val="nil"/>
                  </w:tcBorders>
                  <w:vAlign w:val="center"/>
                </w:tcPr>
                <w:p>
                  <w:pPr>
                    <w:jc w:val="center"/>
                    <w:rPr>
                      <w:color w:val="auto"/>
                      <w:kern w:val="24"/>
                      <w:szCs w:val="18"/>
                    </w:rPr>
                  </w:pPr>
                </w:p>
                <w:p>
                  <w:pPr>
                    <w:jc w:val="center"/>
                    <w:rPr>
                      <w:color w:val="auto"/>
                      <w:kern w:val="24"/>
                      <w:szCs w:val="18"/>
                    </w:rPr>
                  </w:pPr>
                </w:p>
                <w:p>
                  <w:pPr>
                    <w:jc w:val="center"/>
                    <w:rPr>
                      <w:color w:val="auto"/>
                      <w:kern w:val="24"/>
                      <w:szCs w:val="18"/>
                    </w:rPr>
                  </w:pPr>
                </w:p>
                <w:p>
                  <w:pPr>
                    <w:jc w:val="center"/>
                    <w:rPr>
                      <w:color w:val="auto"/>
                      <w:kern w:val="24"/>
                      <w:szCs w:val="18"/>
                    </w:rPr>
                  </w:pPr>
                </w:p>
                <w:p>
                  <w:pPr>
                    <w:jc w:val="center"/>
                    <w:rPr>
                      <w:color w:val="auto"/>
                      <w:kern w:val="24"/>
                      <w:szCs w:val="18"/>
                    </w:rPr>
                  </w:pPr>
                  <w:r>
                    <w:rPr>
                      <w:color w:val="auto"/>
                      <w:kern w:val="24"/>
                      <w:szCs w:val="18"/>
                    </w:rPr>
                    <w:t>2020.03.05</w:t>
                  </w:r>
                </w:p>
              </w:tc>
              <w:tc>
                <w:tcPr>
                  <w:tcW w:w="1247" w:type="pct"/>
                  <w:tcBorders>
                    <w:tl2br w:val="nil"/>
                    <w:tr2bl w:val="nil"/>
                  </w:tcBorders>
                  <w:vAlign w:val="center"/>
                </w:tcPr>
                <w:p>
                  <w:pPr>
                    <w:jc w:val="center"/>
                    <w:rPr>
                      <w:color w:val="auto"/>
                      <w:kern w:val="24"/>
                      <w:szCs w:val="18"/>
                    </w:rPr>
                  </w:pPr>
                  <w:r>
                    <w:rPr>
                      <w:color w:val="auto"/>
                      <w:kern w:val="24"/>
                      <w:szCs w:val="18"/>
                    </w:rPr>
                    <w:t>pH</w:t>
                  </w:r>
                </w:p>
              </w:tc>
              <w:tc>
                <w:tcPr>
                  <w:tcW w:w="985" w:type="pct"/>
                  <w:tcBorders>
                    <w:tl2br w:val="nil"/>
                    <w:tr2bl w:val="nil"/>
                  </w:tcBorders>
                  <w:vAlign w:val="center"/>
                </w:tcPr>
                <w:p>
                  <w:pPr>
                    <w:jc w:val="center"/>
                    <w:rPr>
                      <w:color w:val="auto"/>
                      <w:kern w:val="24"/>
                      <w:szCs w:val="18"/>
                    </w:rPr>
                  </w:pPr>
                  <w:r>
                    <w:rPr>
                      <w:color w:val="auto"/>
                      <w:kern w:val="24"/>
                      <w:szCs w:val="18"/>
                    </w:rPr>
                    <w:t>7.2</w:t>
                  </w:r>
                </w:p>
              </w:tc>
              <w:tc>
                <w:tcPr>
                  <w:tcW w:w="985" w:type="pct"/>
                  <w:tcBorders>
                    <w:tl2br w:val="nil"/>
                    <w:tr2bl w:val="nil"/>
                  </w:tcBorders>
                  <w:vAlign w:val="center"/>
                </w:tcPr>
                <w:p>
                  <w:pPr>
                    <w:jc w:val="center"/>
                    <w:rPr>
                      <w:color w:val="auto"/>
                      <w:kern w:val="24"/>
                      <w:szCs w:val="18"/>
                    </w:rPr>
                  </w:pPr>
                  <w:r>
                    <w:rPr>
                      <w:color w:val="auto"/>
                      <w:kern w:val="24"/>
                      <w:szCs w:val="18"/>
                    </w:rPr>
                    <w:t>7.6</w:t>
                  </w:r>
                </w:p>
              </w:tc>
              <w:tc>
                <w:tcPr>
                  <w:tcW w:w="986" w:type="pct"/>
                  <w:tcBorders>
                    <w:tl2br w:val="nil"/>
                    <w:tr2bl w:val="nil"/>
                  </w:tcBorders>
                  <w:vAlign w:val="center"/>
                </w:tcPr>
                <w:p>
                  <w:pPr>
                    <w:jc w:val="center"/>
                    <w:rPr>
                      <w:color w:val="auto"/>
                      <w:kern w:val="24"/>
                      <w:szCs w:val="18"/>
                    </w:rPr>
                  </w:pPr>
                  <w:r>
                    <w:rPr>
                      <w:color w:val="auto"/>
                      <w:kern w:val="24"/>
                      <w:szCs w:val="1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溶解氧</w:t>
                  </w:r>
                </w:p>
              </w:tc>
              <w:tc>
                <w:tcPr>
                  <w:tcW w:w="985" w:type="pct"/>
                  <w:tcBorders>
                    <w:tl2br w:val="nil"/>
                    <w:tr2bl w:val="nil"/>
                  </w:tcBorders>
                  <w:vAlign w:val="center"/>
                </w:tcPr>
                <w:p>
                  <w:pPr>
                    <w:jc w:val="center"/>
                    <w:rPr>
                      <w:color w:val="auto"/>
                      <w:kern w:val="24"/>
                      <w:szCs w:val="18"/>
                    </w:rPr>
                  </w:pPr>
                  <w:r>
                    <w:rPr>
                      <w:color w:val="auto"/>
                      <w:kern w:val="24"/>
                      <w:szCs w:val="18"/>
                    </w:rPr>
                    <w:t>5.2</w:t>
                  </w:r>
                </w:p>
              </w:tc>
              <w:tc>
                <w:tcPr>
                  <w:tcW w:w="985" w:type="pct"/>
                  <w:tcBorders>
                    <w:tl2br w:val="nil"/>
                    <w:tr2bl w:val="nil"/>
                  </w:tcBorders>
                  <w:vAlign w:val="center"/>
                </w:tcPr>
                <w:p>
                  <w:pPr>
                    <w:jc w:val="center"/>
                    <w:rPr>
                      <w:color w:val="auto"/>
                      <w:kern w:val="24"/>
                      <w:szCs w:val="18"/>
                    </w:rPr>
                  </w:pPr>
                  <w:r>
                    <w:rPr>
                      <w:color w:val="auto"/>
                      <w:kern w:val="24"/>
                      <w:szCs w:val="18"/>
                    </w:rPr>
                    <w:t>6.2</w:t>
                  </w:r>
                </w:p>
              </w:tc>
              <w:tc>
                <w:tcPr>
                  <w:tcW w:w="986" w:type="pct"/>
                  <w:tcBorders>
                    <w:tl2br w:val="nil"/>
                    <w:tr2bl w:val="nil"/>
                  </w:tcBorders>
                  <w:vAlign w:val="center"/>
                </w:tcPr>
                <w:p>
                  <w:pPr>
                    <w:jc w:val="center"/>
                    <w:rPr>
                      <w:color w:val="auto"/>
                      <w:kern w:val="24"/>
                      <w:szCs w:val="18"/>
                    </w:rPr>
                  </w:pPr>
                  <w:r>
                    <w:rPr>
                      <w:color w:val="auto"/>
                      <w:kern w:val="24"/>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化学需氧量</w:t>
                  </w:r>
                </w:p>
              </w:tc>
              <w:tc>
                <w:tcPr>
                  <w:tcW w:w="985" w:type="pct"/>
                  <w:tcBorders>
                    <w:tl2br w:val="nil"/>
                    <w:tr2bl w:val="nil"/>
                  </w:tcBorders>
                  <w:vAlign w:val="center"/>
                </w:tcPr>
                <w:p>
                  <w:pPr>
                    <w:jc w:val="center"/>
                    <w:rPr>
                      <w:color w:val="auto"/>
                      <w:kern w:val="24"/>
                      <w:szCs w:val="18"/>
                    </w:rPr>
                  </w:pPr>
                  <w:r>
                    <w:rPr>
                      <w:color w:val="auto"/>
                      <w:kern w:val="24"/>
                      <w:szCs w:val="18"/>
                    </w:rPr>
                    <w:t>18.7</w:t>
                  </w:r>
                </w:p>
              </w:tc>
              <w:tc>
                <w:tcPr>
                  <w:tcW w:w="985" w:type="pct"/>
                  <w:tcBorders>
                    <w:tl2br w:val="nil"/>
                    <w:tr2bl w:val="nil"/>
                  </w:tcBorders>
                  <w:vAlign w:val="center"/>
                </w:tcPr>
                <w:p>
                  <w:pPr>
                    <w:jc w:val="center"/>
                    <w:rPr>
                      <w:color w:val="auto"/>
                      <w:kern w:val="24"/>
                      <w:szCs w:val="18"/>
                    </w:rPr>
                  </w:pPr>
                  <w:r>
                    <w:rPr>
                      <w:color w:val="auto"/>
                      <w:kern w:val="24"/>
                      <w:szCs w:val="18"/>
                    </w:rPr>
                    <w:t>18.1</w:t>
                  </w:r>
                </w:p>
              </w:tc>
              <w:tc>
                <w:tcPr>
                  <w:tcW w:w="986" w:type="pct"/>
                  <w:tcBorders>
                    <w:tl2br w:val="nil"/>
                    <w:tr2bl w:val="nil"/>
                  </w:tcBorders>
                  <w:vAlign w:val="center"/>
                </w:tcPr>
                <w:p>
                  <w:pPr>
                    <w:jc w:val="center"/>
                    <w:rPr>
                      <w:color w:val="auto"/>
                      <w:kern w:val="24"/>
                      <w:szCs w:val="18"/>
                    </w:rPr>
                  </w:pPr>
                  <w:r>
                    <w:rPr>
                      <w:color w:val="auto"/>
                      <w:kern w:val="24"/>
                      <w:szCs w:val="1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五日生化需氧量</w:t>
                  </w:r>
                </w:p>
              </w:tc>
              <w:tc>
                <w:tcPr>
                  <w:tcW w:w="985" w:type="pct"/>
                  <w:tcBorders>
                    <w:tl2br w:val="nil"/>
                    <w:tr2bl w:val="nil"/>
                  </w:tcBorders>
                  <w:vAlign w:val="center"/>
                </w:tcPr>
                <w:p>
                  <w:pPr>
                    <w:jc w:val="center"/>
                    <w:rPr>
                      <w:color w:val="auto"/>
                      <w:kern w:val="24"/>
                      <w:szCs w:val="18"/>
                    </w:rPr>
                  </w:pPr>
                  <w:r>
                    <w:rPr>
                      <w:color w:val="auto"/>
                      <w:kern w:val="24"/>
                      <w:szCs w:val="18"/>
                    </w:rPr>
                    <w:t>2.3</w:t>
                  </w:r>
                </w:p>
              </w:tc>
              <w:tc>
                <w:tcPr>
                  <w:tcW w:w="985" w:type="pct"/>
                  <w:tcBorders>
                    <w:tl2br w:val="nil"/>
                    <w:tr2bl w:val="nil"/>
                  </w:tcBorders>
                  <w:vAlign w:val="center"/>
                </w:tcPr>
                <w:p>
                  <w:pPr>
                    <w:jc w:val="center"/>
                    <w:rPr>
                      <w:color w:val="auto"/>
                      <w:kern w:val="24"/>
                      <w:szCs w:val="18"/>
                    </w:rPr>
                  </w:pPr>
                  <w:r>
                    <w:rPr>
                      <w:color w:val="auto"/>
                      <w:kern w:val="24"/>
                      <w:szCs w:val="18"/>
                    </w:rPr>
                    <w:t>2.5</w:t>
                  </w:r>
                </w:p>
              </w:tc>
              <w:tc>
                <w:tcPr>
                  <w:tcW w:w="986" w:type="pct"/>
                  <w:tcBorders>
                    <w:tl2br w:val="nil"/>
                    <w:tr2bl w:val="nil"/>
                  </w:tcBorders>
                  <w:vAlign w:val="center"/>
                </w:tcPr>
                <w:p>
                  <w:pPr>
                    <w:jc w:val="center"/>
                    <w:rPr>
                      <w:color w:val="auto"/>
                      <w:kern w:val="24"/>
                      <w:szCs w:val="18"/>
                    </w:rPr>
                  </w:pPr>
                  <w:r>
                    <w:rPr>
                      <w:color w:val="auto"/>
                      <w:kern w:val="24"/>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氨氮</w:t>
                  </w:r>
                </w:p>
              </w:tc>
              <w:tc>
                <w:tcPr>
                  <w:tcW w:w="985" w:type="pct"/>
                  <w:tcBorders>
                    <w:tl2br w:val="nil"/>
                    <w:tr2bl w:val="nil"/>
                  </w:tcBorders>
                  <w:vAlign w:val="center"/>
                </w:tcPr>
                <w:p>
                  <w:pPr>
                    <w:jc w:val="center"/>
                    <w:rPr>
                      <w:color w:val="auto"/>
                      <w:kern w:val="24"/>
                      <w:szCs w:val="18"/>
                    </w:rPr>
                  </w:pPr>
                  <w:r>
                    <w:rPr>
                      <w:color w:val="auto"/>
                      <w:kern w:val="24"/>
                      <w:szCs w:val="18"/>
                    </w:rPr>
                    <w:t>0.328</w:t>
                  </w:r>
                </w:p>
              </w:tc>
              <w:tc>
                <w:tcPr>
                  <w:tcW w:w="985" w:type="pct"/>
                  <w:tcBorders>
                    <w:tl2br w:val="nil"/>
                    <w:tr2bl w:val="nil"/>
                  </w:tcBorders>
                  <w:vAlign w:val="center"/>
                </w:tcPr>
                <w:p>
                  <w:pPr>
                    <w:jc w:val="center"/>
                    <w:rPr>
                      <w:color w:val="auto"/>
                      <w:kern w:val="24"/>
                      <w:szCs w:val="18"/>
                    </w:rPr>
                  </w:pPr>
                  <w:r>
                    <w:rPr>
                      <w:color w:val="auto"/>
                      <w:kern w:val="24"/>
                      <w:szCs w:val="18"/>
                    </w:rPr>
                    <w:t>0.138</w:t>
                  </w:r>
                </w:p>
              </w:tc>
              <w:tc>
                <w:tcPr>
                  <w:tcW w:w="986" w:type="pct"/>
                  <w:tcBorders>
                    <w:tl2br w:val="nil"/>
                    <w:tr2bl w:val="nil"/>
                  </w:tcBorders>
                  <w:vAlign w:val="center"/>
                </w:tcPr>
                <w:p>
                  <w:pPr>
                    <w:jc w:val="center"/>
                    <w:rPr>
                      <w:color w:val="auto"/>
                      <w:kern w:val="24"/>
                      <w:szCs w:val="18"/>
                    </w:rPr>
                  </w:pPr>
                  <w:r>
                    <w:rPr>
                      <w:color w:val="auto"/>
                      <w:kern w:val="24"/>
                      <w:szCs w:val="18"/>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总磷</w:t>
                  </w:r>
                </w:p>
              </w:tc>
              <w:tc>
                <w:tcPr>
                  <w:tcW w:w="985" w:type="pct"/>
                  <w:tcBorders>
                    <w:tl2br w:val="nil"/>
                    <w:tr2bl w:val="nil"/>
                  </w:tcBorders>
                  <w:vAlign w:val="center"/>
                </w:tcPr>
                <w:p>
                  <w:pPr>
                    <w:jc w:val="center"/>
                    <w:rPr>
                      <w:color w:val="auto"/>
                      <w:kern w:val="24"/>
                      <w:szCs w:val="18"/>
                    </w:rPr>
                  </w:pPr>
                  <w:r>
                    <w:rPr>
                      <w:color w:val="auto"/>
                      <w:kern w:val="24"/>
                      <w:szCs w:val="18"/>
                    </w:rPr>
                    <w:t>0.18</w:t>
                  </w:r>
                </w:p>
              </w:tc>
              <w:tc>
                <w:tcPr>
                  <w:tcW w:w="985" w:type="pct"/>
                  <w:tcBorders>
                    <w:tl2br w:val="nil"/>
                    <w:tr2bl w:val="nil"/>
                  </w:tcBorders>
                  <w:vAlign w:val="center"/>
                </w:tcPr>
                <w:p>
                  <w:pPr>
                    <w:jc w:val="center"/>
                    <w:rPr>
                      <w:color w:val="auto"/>
                      <w:kern w:val="24"/>
                      <w:szCs w:val="18"/>
                    </w:rPr>
                  </w:pPr>
                  <w:r>
                    <w:rPr>
                      <w:color w:val="auto"/>
                      <w:kern w:val="24"/>
                      <w:szCs w:val="18"/>
                    </w:rPr>
                    <w:t>0.05</w:t>
                  </w:r>
                </w:p>
              </w:tc>
              <w:tc>
                <w:tcPr>
                  <w:tcW w:w="986" w:type="pct"/>
                  <w:tcBorders>
                    <w:tl2br w:val="nil"/>
                    <w:tr2bl w:val="nil"/>
                  </w:tcBorders>
                  <w:vAlign w:val="center"/>
                </w:tcPr>
                <w:p>
                  <w:pPr>
                    <w:jc w:val="center"/>
                    <w:rPr>
                      <w:color w:val="auto"/>
                      <w:kern w:val="24"/>
                      <w:szCs w:val="18"/>
                    </w:rPr>
                  </w:pPr>
                  <w:r>
                    <w:rPr>
                      <w:color w:val="auto"/>
                      <w:kern w:val="24"/>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石油类</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5" w:type="pct"/>
                  <w:tcBorders>
                    <w:tl2br w:val="nil"/>
                    <w:tr2bl w:val="nil"/>
                  </w:tcBorders>
                  <w:vAlign w:val="center"/>
                </w:tcPr>
                <w:p>
                  <w:pPr>
                    <w:jc w:val="center"/>
                    <w:rPr>
                      <w:color w:val="auto"/>
                      <w:kern w:val="24"/>
                      <w:szCs w:val="18"/>
                    </w:rPr>
                  </w:pPr>
                  <w:r>
                    <w:rPr>
                      <w:color w:val="auto"/>
                      <w:kern w:val="24"/>
                      <w:szCs w:val="18"/>
                    </w:rPr>
                    <w:t>&lt;0.01</w:t>
                  </w:r>
                </w:p>
              </w:tc>
              <w:tc>
                <w:tcPr>
                  <w:tcW w:w="986" w:type="pct"/>
                  <w:tcBorders>
                    <w:tl2br w:val="nil"/>
                    <w:tr2bl w:val="nil"/>
                  </w:tcBorders>
                  <w:vAlign w:val="center"/>
                </w:tcPr>
                <w:p>
                  <w:pPr>
                    <w:jc w:val="center"/>
                    <w:rPr>
                      <w:color w:val="auto"/>
                      <w:kern w:val="24"/>
                      <w:szCs w:val="18"/>
                    </w:rPr>
                  </w:pPr>
                  <w:r>
                    <w:rPr>
                      <w:color w:val="auto"/>
                      <w:kern w:val="24"/>
                      <w:szCs w:val="18"/>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挥发酚</w:t>
                  </w:r>
                </w:p>
              </w:tc>
              <w:tc>
                <w:tcPr>
                  <w:tcW w:w="985" w:type="pct"/>
                  <w:tcBorders>
                    <w:tl2br w:val="nil"/>
                    <w:tr2bl w:val="nil"/>
                  </w:tcBorders>
                  <w:vAlign w:val="center"/>
                </w:tcPr>
                <w:p>
                  <w:pPr>
                    <w:jc w:val="center"/>
                    <w:rPr>
                      <w:color w:val="auto"/>
                      <w:kern w:val="24"/>
                      <w:szCs w:val="18"/>
                    </w:rPr>
                  </w:pPr>
                  <w:r>
                    <w:rPr>
                      <w:color w:val="auto"/>
                      <w:kern w:val="24"/>
                      <w:szCs w:val="18"/>
                    </w:rPr>
                    <w:t>0.0004</w:t>
                  </w:r>
                </w:p>
              </w:tc>
              <w:tc>
                <w:tcPr>
                  <w:tcW w:w="985" w:type="pct"/>
                  <w:tcBorders>
                    <w:tl2br w:val="nil"/>
                    <w:tr2bl w:val="nil"/>
                  </w:tcBorders>
                  <w:vAlign w:val="center"/>
                </w:tcPr>
                <w:p>
                  <w:pPr>
                    <w:jc w:val="center"/>
                    <w:rPr>
                      <w:color w:val="auto"/>
                      <w:kern w:val="24"/>
                      <w:szCs w:val="18"/>
                    </w:rPr>
                  </w:pPr>
                  <w:r>
                    <w:rPr>
                      <w:color w:val="auto"/>
                      <w:kern w:val="24"/>
                      <w:szCs w:val="18"/>
                    </w:rPr>
                    <w:t>&lt;0.0003</w:t>
                  </w:r>
                </w:p>
              </w:tc>
              <w:tc>
                <w:tcPr>
                  <w:tcW w:w="986" w:type="pct"/>
                  <w:tcBorders>
                    <w:tl2br w:val="nil"/>
                    <w:tr2bl w:val="nil"/>
                  </w:tcBorders>
                  <w:vAlign w:val="center"/>
                </w:tcPr>
                <w:p>
                  <w:pPr>
                    <w:jc w:val="center"/>
                    <w:rPr>
                      <w:color w:val="auto"/>
                      <w:kern w:val="24"/>
                      <w:szCs w:val="18"/>
                    </w:rPr>
                  </w:pPr>
                  <w:r>
                    <w:rPr>
                      <w:color w:val="auto"/>
                      <w:kern w:val="24"/>
                      <w:szCs w:val="18"/>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794" w:type="pct"/>
                  <w:vMerge w:val="continue"/>
                  <w:tcBorders>
                    <w:tl2br w:val="nil"/>
                    <w:tr2bl w:val="nil"/>
                  </w:tcBorders>
                  <w:vAlign w:val="center"/>
                </w:tcPr>
                <w:p>
                  <w:pPr>
                    <w:jc w:val="center"/>
                    <w:rPr>
                      <w:b/>
                      <w:color w:val="auto"/>
                      <w:kern w:val="24"/>
                      <w:szCs w:val="18"/>
                    </w:rPr>
                  </w:pPr>
                </w:p>
              </w:tc>
              <w:tc>
                <w:tcPr>
                  <w:tcW w:w="1247" w:type="pct"/>
                  <w:tcBorders>
                    <w:tl2br w:val="nil"/>
                    <w:tr2bl w:val="nil"/>
                  </w:tcBorders>
                  <w:vAlign w:val="center"/>
                </w:tcPr>
                <w:p>
                  <w:pPr>
                    <w:jc w:val="center"/>
                    <w:rPr>
                      <w:color w:val="auto"/>
                      <w:kern w:val="24"/>
                      <w:szCs w:val="18"/>
                    </w:rPr>
                  </w:pPr>
                  <w:r>
                    <w:rPr>
                      <w:color w:val="auto"/>
                      <w:kern w:val="24"/>
                      <w:szCs w:val="18"/>
                    </w:rPr>
                    <w:t>阴离子表面活性剂</w:t>
                  </w:r>
                </w:p>
              </w:tc>
              <w:tc>
                <w:tcPr>
                  <w:tcW w:w="985" w:type="pct"/>
                  <w:tcBorders>
                    <w:tl2br w:val="nil"/>
                    <w:tr2bl w:val="nil"/>
                  </w:tcBorders>
                  <w:vAlign w:val="center"/>
                </w:tcPr>
                <w:p>
                  <w:pPr>
                    <w:jc w:val="center"/>
                    <w:rPr>
                      <w:color w:val="auto"/>
                      <w:kern w:val="24"/>
                      <w:szCs w:val="18"/>
                    </w:rPr>
                  </w:pPr>
                  <w:r>
                    <w:rPr>
                      <w:color w:val="auto"/>
                      <w:kern w:val="24"/>
                      <w:szCs w:val="18"/>
                    </w:rPr>
                    <w:t>&lt;0.05</w:t>
                  </w:r>
                </w:p>
              </w:tc>
              <w:tc>
                <w:tcPr>
                  <w:tcW w:w="985" w:type="pct"/>
                  <w:tcBorders>
                    <w:tl2br w:val="nil"/>
                    <w:tr2bl w:val="nil"/>
                  </w:tcBorders>
                  <w:vAlign w:val="center"/>
                </w:tcPr>
                <w:p>
                  <w:pPr>
                    <w:jc w:val="center"/>
                    <w:rPr>
                      <w:color w:val="auto"/>
                      <w:kern w:val="24"/>
                      <w:szCs w:val="18"/>
                    </w:rPr>
                  </w:pPr>
                  <w:r>
                    <w:rPr>
                      <w:color w:val="auto"/>
                      <w:kern w:val="24"/>
                      <w:szCs w:val="18"/>
                    </w:rPr>
                    <w:t>&lt;0.05</w:t>
                  </w:r>
                </w:p>
              </w:tc>
              <w:tc>
                <w:tcPr>
                  <w:tcW w:w="986" w:type="pct"/>
                  <w:tcBorders>
                    <w:tl2br w:val="nil"/>
                    <w:tr2bl w:val="nil"/>
                  </w:tcBorders>
                  <w:vAlign w:val="center"/>
                </w:tcPr>
                <w:p>
                  <w:pPr>
                    <w:jc w:val="center"/>
                    <w:rPr>
                      <w:color w:val="auto"/>
                      <w:kern w:val="24"/>
                      <w:szCs w:val="18"/>
                    </w:rPr>
                  </w:pPr>
                  <w:r>
                    <w:rPr>
                      <w:color w:val="auto"/>
                      <w:kern w:val="24"/>
                      <w:szCs w:val="18"/>
                    </w:rPr>
                    <w:t>&lt;0.05</w:t>
                  </w:r>
                </w:p>
              </w:tc>
            </w:tr>
          </w:tbl>
          <w:p>
            <w:pPr>
              <w:spacing w:line="240" w:lineRule="auto"/>
              <w:jc w:val="center"/>
              <w:rPr>
                <w:color w:val="auto"/>
                <w:sz w:val="21"/>
                <w:szCs w:val="21"/>
              </w:rPr>
            </w:pPr>
            <w:r>
              <w:rPr>
                <w:b/>
                <w:bCs/>
                <w:color w:val="auto"/>
                <w:sz w:val="21"/>
                <w:szCs w:val="21"/>
              </w:rPr>
              <w:t>表</w:t>
            </w:r>
            <w:r>
              <w:rPr>
                <w:rFonts w:hint="eastAsia"/>
                <w:b/>
                <w:bCs/>
                <w:color w:val="auto"/>
                <w:sz w:val="21"/>
                <w:szCs w:val="21"/>
              </w:rPr>
              <w:t>3-5</w:t>
            </w:r>
            <w:r>
              <w:rPr>
                <w:b/>
                <w:bCs/>
                <w:color w:val="auto"/>
                <w:sz w:val="21"/>
                <w:szCs w:val="21"/>
              </w:rPr>
              <w:t xml:space="preserve"> 龙河断面水质现状监测结果（单位：mg/L，pH无量纲）</w:t>
            </w:r>
          </w:p>
          <w:tbl>
            <w:tblPr>
              <w:tblStyle w:val="3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7"/>
              <w:gridCol w:w="1747"/>
              <w:gridCol w:w="1383"/>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666" w:type="pct"/>
                  <w:tcBorders>
                    <w:tl2br w:val="nil"/>
                    <w:tr2bl w:val="nil"/>
                  </w:tcBorders>
                  <w:vAlign w:val="center"/>
                </w:tcPr>
                <w:p>
                  <w:pPr>
                    <w:jc w:val="center"/>
                    <w:rPr>
                      <w:b/>
                      <w:color w:val="auto"/>
                      <w:kern w:val="24"/>
                      <w:szCs w:val="18"/>
                    </w:rPr>
                  </w:pPr>
                  <w:r>
                    <w:rPr>
                      <w:b/>
                      <w:color w:val="auto"/>
                      <w:kern w:val="24"/>
                      <w:szCs w:val="18"/>
                    </w:rPr>
                    <w:t>断面</w:t>
                  </w:r>
                </w:p>
              </w:tc>
              <w:tc>
                <w:tcPr>
                  <w:tcW w:w="1041" w:type="pct"/>
                  <w:tcBorders>
                    <w:tl2br w:val="nil"/>
                    <w:tr2bl w:val="nil"/>
                  </w:tcBorders>
                  <w:vAlign w:val="center"/>
                </w:tcPr>
                <w:p>
                  <w:pPr>
                    <w:jc w:val="center"/>
                    <w:rPr>
                      <w:b/>
                      <w:color w:val="auto"/>
                      <w:kern w:val="24"/>
                      <w:szCs w:val="18"/>
                    </w:rPr>
                  </w:pPr>
                  <w:r>
                    <w:rPr>
                      <w:b/>
                      <w:color w:val="auto"/>
                      <w:kern w:val="24"/>
                      <w:szCs w:val="18"/>
                    </w:rPr>
                    <w:t>监测因子</w:t>
                  </w:r>
                </w:p>
              </w:tc>
              <w:tc>
                <w:tcPr>
                  <w:tcW w:w="824" w:type="pct"/>
                  <w:tcBorders>
                    <w:tl2br w:val="nil"/>
                    <w:tr2bl w:val="nil"/>
                  </w:tcBorders>
                  <w:vAlign w:val="center"/>
                </w:tcPr>
                <w:p>
                  <w:pPr>
                    <w:jc w:val="center"/>
                    <w:rPr>
                      <w:b/>
                      <w:color w:val="auto"/>
                      <w:kern w:val="24"/>
                      <w:szCs w:val="18"/>
                    </w:rPr>
                  </w:pPr>
                  <w:r>
                    <w:rPr>
                      <w:b/>
                      <w:color w:val="auto"/>
                      <w:kern w:val="24"/>
                      <w:szCs w:val="18"/>
                    </w:rPr>
                    <w:t>2020.1</w:t>
                  </w:r>
                </w:p>
              </w:tc>
              <w:tc>
                <w:tcPr>
                  <w:tcW w:w="823" w:type="pct"/>
                  <w:tcBorders>
                    <w:tl2br w:val="nil"/>
                    <w:tr2bl w:val="nil"/>
                  </w:tcBorders>
                  <w:vAlign w:val="center"/>
                </w:tcPr>
                <w:p>
                  <w:pPr>
                    <w:jc w:val="center"/>
                    <w:rPr>
                      <w:b/>
                      <w:color w:val="auto"/>
                      <w:kern w:val="24"/>
                      <w:szCs w:val="18"/>
                    </w:rPr>
                  </w:pPr>
                  <w:r>
                    <w:rPr>
                      <w:b/>
                      <w:color w:val="auto"/>
                      <w:kern w:val="24"/>
                      <w:szCs w:val="18"/>
                    </w:rPr>
                    <w:t>2020.2</w:t>
                  </w:r>
                </w:p>
              </w:tc>
              <w:tc>
                <w:tcPr>
                  <w:tcW w:w="823" w:type="pct"/>
                  <w:tcBorders>
                    <w:tl2br w:val="nil"/>
                    <w:tr2bl w:val="nil"/>
                  </w:tcBorders>
                  <w:vAlign w:val="center"/>
                </w:tcPr>
                <w:p>
                  <w:pPr>
                    <w:jc w:val="center"/>
                    <w:rPr>
                      <w:b/>
                      <w:color w:val="auto"/>
                      <w:kern w:val="24"/>
                      <w:szCs w:val="18"/>
                    </w:rPr>
                  </w:pPr>
                  <w:r>
                    <w:rPr>
                      <w:b/>
                      <w:color w:val="auto"/>
                      <w:kern w:val="24"/>
                      <w:szCs w:val="18"/>
                    </w:rPr>
                    <w:t>2020.3</w:t>
                  </w:r>
                </w:p>
              </w:tc>
              <w:tc>
                <w:tcPr>
                  <w:tcW w:w="823" w:type="pct"/>
                  <w:tcBorders>
                    <w:tl2br w:val="nil"/>
                    <w:tr2bl w:val="nil"/>
                  </w:tcBorders>
                  <w:vAlign w:val="center"/>
                </w:tcPr>
                <w:p>
                  <w:pPr>
                    <w:jc w:val="center"/>
                    <w:rPr>
                      <w:b/>
                      <w:color w:val="auto"/>
                      <w:kern w:val="24"/>
                      <w:szCs w:val="18"/>
                    </w:rPr>
                  </w:pPr>
                  <w:r>
                    <w:rPr>
                      <w:b/>
                      <w:color w:val="auto"/>
                      <w:kern w:val="24"/>
                      <w:szCs w:val="18"/>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66" w:type="pct"/>
                  <w:vMerge w:val="restart"/>
                  <w:tcBorders>
                    <w:tl2br w:val="nil"/>
                    <w:tr2bl w:val="nil"/>
                  </w:tcBorders>
                  <w:vAlign w:val="center"/>
                </w:tcPr>
                <w:p>
                  <w:pPr>
                    <w:jc w:val="center"/>
                    <w:rPr>
                      <w:color w:val="auto"/>
                      <w:kern w:val="24"/>
                      <w:szCs w:val="18"/>
                    </w:rPr>
                  </w:pPr>
                  <w:r>
                    <w:rPr>
                      <w:color w:val="auto"/>
                      <w:szCs w:val="21"/>
                    </w:rPr>
                    <w:t>龙河龙湖涵闸下</w:t>
                  </w:r>
                </w:p>
              </w:tc>
              <w:tc>
                <w:tcPr>
                  <w:tcW w:w="1041" w:type="pct"/>
                  <w:tcBorders>
                    <w:tl2br w:val="nil"/>
                    <w:tr2bl w:val="nil"/>
                  </w:tcBorders>
                  <w:vAlign w:val="center"/>
                </w:tcPr>
                <w:p>
                  <w:pPr>
                    <w:jc w:val="center"/>
                    <w:rPr>
                      <w:color w:val="auto"/>
                      <w:kern w:val="24"/>
                      <w:szCs w:val="18"/>
                    </w:rPr>
                  </w:pPr>
                  <w:r>
                    <w:rPr>
                      <w:color w:val="auto"/>
                      <w:kern w:val="24"/>
                      <w:szCs w:val="18"/>
                    </w:rPr>
                    <w:t>pH</w:t>
                  </w:r>
                </w:p>
              </w:tc>
              <w:tc>
                <w:tcPr>
                  <w:tcW w:w="824" w:type="pct"/>
                  <w:tcBorders>
                    <w:tl2br w:val="nil"/>
                    <w:tr2bl w:val="nil"/>
                  </w:tcBorders>
                  <w:vAlign w:val="center"/>
                </w:tcPr>
                <w:p>
                  <w:pPr>
                    <w:jc w:val="center"/>
                    <w:rPr>
                      <w:color w:val="auto"/>
                      <w:kern w:val="24"/>
                      <w:szCs w:val="18"/>
                    </w:rPr>
                  </w:pPr>
                  <w:r>
                    <w:rPr>
                      <w:color w:val="auto"/>
                      <w:kern w:val="24"/>
                      <w:szCs w:val="18"/>
                    </w:rPr>
                    <w:t>8.02</w:t>
                  </w:r>
                </w:p>
              </w:tc>
              <w:tc>
                <w:tcPr>
                  <w:tcW w:w="823" w:type="pct"/>
                  <w:tcBorders>
                    <w:tl2br w:val="nil"/>
                    <w:tr2bl w:val="nil"/>
                  </w:tcBorders>
                  <w:vAlign w:val="center"/>
                </w:tcPr>
                <w:p>
                  <w:pPr>
                    <w:jc w:val="center"/>
                    <w:rPr>
                      <w:color w:val="auto"/>
                      <w:kern w:val="24"/>
                      <w:szCs w:val="18"/>
                    </w:rPr>
                  </w:pPr>
                  <w:r>
                    <w:rPr>
                      <w:color w:val="auto"/>
                      <w:kern w:val="24"/>
                      <w:szCs w:val="18"/>
                    </w:rPr>
                    <w:t>8.18</w:t>
                  </w:r>
                </w:p>
              </w:tc>
              <w:tc>
                <w:tcPr>
                  <w:tcW w:w="823" w:type="pct"/>
                  <w:tcBorders>
                    <w:tl2br w:val="nil"/>
                    <w:tr2bl w:val="nil"/>
                  </w:tcBorders>
                  <w:vAlign w:val="center"/>
                </w:tcPr>
                <w:p>
                  <w:pPr>
                    <w:jc w:val="center"/>
                    <w:rPr>
                      <w:color w:val="auto"/>
                      <w:kern w:val="24"/>
                      <w:szCs w:val="18"/>
                    </w:rPr>
                  </w:pPr>
                  <w:r>
                    <w:rPr>
                      <w:color w:val="auto"/>
                      <w:kern w:val="24"/>
                      <w:szCs w:val="18"/>
                    </w:rPr>
                    <w:t>8.02</w:t>
                  </w:r>
                </w:p>
              </w:tc>
              <w:tc>
                <w:tcPr>
                  <w:tcW w:w="823" w:type="pct"/>
                  <w:tcBorders>
                    <w:tl2br w:val="nil"/>
                    <w:tr2bl w:val="nil"/>
                  </w:tcBorders>
                  <w:vAlign w:val="center"/>
                </w:tcPr>
                <w:p>
                  <w:pPr>
                    <w:jc w:val="center"/>
                    <w:rPr>
                      <w:color w:val="auto"/>
                      <w:kern w:val="24"/>
                      <w:szCs w:val="18"/>
                    </w:rPr>
                  </w:pPr>
                  <w:r>
                    <w:rPr>
                      <w:color w:val="auto"/>
                      <w:kern w:val="24"/>
                      <w:szCs w:val="18"/>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溶解氧</w:t>
                  </w:r>
                </w:p>
              </w:tc>
              <w:tc>
                <w:tcPr>
                  <w:tcW w:w="824" w:type="pct"/>
                  <w:tcBorders>
                    <w:tl2br w:val="nil"/>
                    <w:tr2bl w:val="nil"/>
                  </w:tcBorders>
                  <w:vAlign w:val="center"/>
                </w:tcPr>
                <w:p>
                  <w:pPr>
                    <w:jc w:val="center"/>
                    <w:rPr>
                      <w:color w:val="auto"/>
                      <w:kern w:val="24"/>
                      <w:szCs w:val="18"/>
                    </w:rPr>
                  </w:pPr>
                  <w:r>
                    <w:rPr>
                      <w:color w:val="auto"/>
                      <w:kern w:val="24"/>
                      <w:szCs w:val="18"/>
                    </w:rPr>
                    <w:t>8.52</w:t>
                  </w:r>
                </w:p>
              </w:tc>
              <w:tc>
                <w:tcPr>
                  <w:tcW w:w="823" w:type="pct"/>
                  <w:tcBorders>
                    <w:tl2br w:val="nil"/>
                    <w:tr2bl w:val="nil"/>
                  </w:tcBorders>
                  <w:vAlign w:val="center"/>
                </w:tcPr>
                <w:p>
                  <w:pPr>
                    <w:jc w:val="center"/>
                    <w:rPr>
                      <w:color w:val="auto"/>
                      <w:kern w:val="24"/>
                      <w:szCs w:val="18"/>
                    </w:rPr>
                  </w:pPr>
                  <w:r>
                    <w:rPr>
                      <w:color w:val="auto"/>
                      <w:kern w:val="24"/>
                      <w:szCs w:val="18"/>
                    </w:rPr>
                    <w:t>7.61</w:t>
                  </w:r>
                </w:p>
              </w:tc>
              <w:tc>
                <w:tcPr>
                  <w:tcW w:w="823" w:type="pct"/>
                  <w:tcBorders>
                    <w:tl2br w:val="nil"/>
                    <w:tr2bl w:val="nil"/>
                  </w:tcBorders>
                  <w:vAlign w:val="center"/>
                </w:tcPr>
                <w:p>
                  <w:pPr>
                    <w:jc w:val="center"/>
                    <w:rPr>
                      <w:color w:val="auto"/>
                      <w:kern w:val="24"/>
                      <w:szCs w:val="18"/>
                    </w:rPr>
                  </w:pPr>
                  <w:r>
                    <w:rPr>
                      <w:color w:val="auto"/>
                      <w:kern w:val="24"/>
                      <w:szCs w:val="18"/>
                    </w:rPr>
                    <w:t>9.86</w:t>
                  </w:r>
                </w:p>
              </w:tc>
              <w:tc>
                <w:tcPr>
                  <w:tcW w:w="823" w:type="pct"/>
                  <w:tcBorders>
                    <w:tl2br w:val="nil"/>
                    <w:tr2bl w:val="nil"/>
                  </w:tcBorders>
                  <w:vAlign w:val="center"/>
                </w:tcPr>
                <w:p>
                  <w:pPr>
                    <w:jc w:val="center"/>
                    <w:rPr>
                      <w:color w:val="auto"/>
                      <w:kern w:val="24"/>
                      <w:szCs w:val="18"/>
                    </w:rPr>
                  </w:pPr>
                  <w:r>
                    <w:rPr>
                      <w:color w:val="auto"/>
                      <w:kern w:val="24"/>
                      <w:szCs w:val="18"/>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化学需氧量</w:t>
                  </w:r>
                </w:p>
              </w:tc>
              <w:tc>
                <w:tcPr>
                  <w:tcW w:w="824" w:type="pct"/>
                  <w:tcBorders>
                    <w:tl2br w:val="nil"/>
                    <w:tr2bl w:val="nil"/>
                  </w:tcBorders>
                  <w:vAlign w:val="center"/>
                </w:tcPr>
                <w:p>
                  <w:pPr>
                    <w:jc w:val="center"/>
                    <w:rPr>
                      <w:color w:val="auto"/>
                      <w:kern w:val="24"/>
                      <w:szCs w:val="18"/>
                    </w:rPr>
                  </w:pPr>
                  <w:r>
                    <w:rPr>
                      <w:color w:val="auto"/>
                      <w:kern w:val="24"/>
                      <w:szCs w:val="18"/>
                    </w:rPr>
                    <w:t>22</w:t>
                  </w:r>
                </w:p>
              </w:tc>
              <w:tc>
                <w:tcPr>
                  <w:tcW w:w="823" w:type="pct"/>
                  <w:tcBorders>
                    <w:tl2br w:val="nil"/>
                    <w:tr2bl w:val="nil"/>
                  </w:tcBorders>
                  <w:vAlign w:val="center"/>
                </w:tcPr>
                <w:p>
                  <w:pPr>
                    <w:jc w:val="center"/>
                    <w:rPr>
                      <w:color w:val="auto"/>
                      <w:kern w:val="24"/>
                      <w:szCs w:val="18"/>
                    </w:rPr>
                  </w:pPr>
                  <w:r>
                    <w:rPr>
                      <w:color w:val="auto"/>
                      <w:kern w:val="24"/>
                      <w:szCs w:val="18"/>
                    </w:rPr>
                    <w:t>24</w:t>
                  </w:r>
                </w:p>
              </w:tc>
              <w:tc>
                <w:tcPr>
                  <w:tcW w:w="823" w:type="pct"/>
                  <w:tcBorders>
                    <w:tl2br w:val="nil"/>
                    <w:tr2bl w:val="nil"/>
                  </w:tcBorders>
                  <w:vAlign w:val="center"/>
                </w:tcPr>
                <w:p>
                  <w:pPr>
                    <w:jc w:val="center"/>
                    <w:rPr>
                      <w:color w:val="auto"/>
                      <w:kern w:val="24"/>
                      <w:szCs w:val="18"/>
                    </w:rPr>
                  </w:pPr>
                  <w:r>
                    <w:rPr>
                      <w:color w:val="auto"/>
                      <w:kern w:val="24"/>
                      <w:szCs w:val="18"/>
                    </w:rPr>
                    <w:t>22</w:t>
                  </w:r>
                </w:p>
              </w:tc>
              <w:tc>
                <w:tcPr>
                  <w:tcW w:w="823" w:type="pct"/>
                  <w:tcBorders>
                    <w:tl2br w:val="nil"/>
                    <w:tr2bl w:val="nil"/>
                  </w:tcBorders>
                  <w:vAlign w:val="center"/>
                </w:tcPr>
                <w:p>
                  <w:pPr>
                    <w:jc w:val="center"/>
                    <w:rPr>
                      <w:color w:val="auto"/>
                      <w:kern w:val="24"/>
                      <w:szCs w:val="18"/>
                    </w:rPr>
                  </w:pPr>
                  <w:r>
                    <w:rPr>
                      <w:color w:val="auto"/>
                      <w:kern w:val="24"/>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高锰酸盐指数</w:t>
                  </w:r>
                </w:p>
              </w:tc>
              <w:tc>
                <w:tcPr>
                  <w:tcW w:w="824" w:type="pct"/>
                  <w:tcBorders>
                    <w:tl2br w:val="nil"/>
                    <w:tr2bl w:val="nil"/>
                  </w:tcBorders>
                  <w:vAlign w:val="center"/>
                </w:tcPr>
                <w:p>
                  <w:pPr>
                    <w:jc w:val="center"/>
                    <w:rPr>
                      <w:color w:val="auto"/>
                      <w:kern w:val="24"/>
                      <w:szCs w:val="18"/>
                    </w:rPr>
                  </w:pPr>
                  <w:r>
                    <w:rPr>
                      <w:color w:val="auto"/>
                      <w:kern w:val="24"/>
                      <w:szCs w:val="18"/>
                    </w:rPr>
                    <w:t>6.3</w:t>
                  </w:r>
                </w:p>
              </w:tc>
              <w:tc>
                <w:tcPr>
                  <w:tcW w:w="823" w:type="pct"/>
                  <w:tcBorders>
                    <w:tl2br w:val="nil"/>
                    <w:tr2bl w:val="nil"/>
                  </w:tcBorders>
                  <w:vAlign w:val="center"/>
                </w:tcPr>
                <w:p>
                  <w:pPr>
                    <w:jc w:val="center"/>
                    <w:rPr>
                      <w:color w:val="auto"/>
                      <w:kern w:val="24"/>
                      <w:szCs w:val="18"/>
                    </w:rPr>
                  </w:pPr>
                  <w:r>
                    <w:rPr>
                      <w:color w:val="auto"/>
                      <w:kern w:val="24"/>
                      <w:szCs w:val="18"/>
                    </w:rPr>
                    <w:t>6.5</w:t>
                  </w:r>
                </w:p>
              </w:tc>
              <w:tc>
                <w:tcPr>
                  <w:tcW w:w="823" w:type="pct"/>
                  <w:tcBorders>
                    <w:tl2br w:val="nil"/>
                    <w:tr2bl w:val="nil"/>
                  </w:tcBorders>
                  <w:vAlign w:val="center"/>
                </w:tcPr>
                <w:p>
                  <w:pPr>
                    <w:jc w:val="center"/>
                    <w:rPr>
                      <w:color w:val="auto"/>
                      <w:kern w:val="24"/>
                      <w:szCs w:val="18"/>
                    </w:rPr>
                  </w:pPr>
                  <w:r>
                    <w:rPr>
                      <w:color w:val="auto"/>
                      <w:kern w:val="24"/>
                      <w:szCs w:val="18"/>
                    </w:rPr>
                    <w:t>6.4</w:t>
                  </w:r>
                </w:p>
              </w:tc>
              <w:tc>
                <w:tcPr>
                  <w:tcW w:w="823" w:type="pct"/>
                  <w:tcBorders>
                    <w:tl2br w:val="nil"/>
                    <w:tr2bl w:val="nil"/>
                  </w:tcBorders>
                  <w:vAlign w:val="center"/>
                </w:tcPr>
                <w:p>
                  <w:pPr>
                    <w:jc w:val="center"/>
                    <w:rPr>
                      <w:color w:val="auto"/>
                      <w:kern w:val="24"/>
                      <w:szCs w:val="18"/>
                    </w:rPr>
                  </w:pPr>
                  <w:r>
                    <w:rPr>
                      <w:color w:val="auto"/>
                      <w:kern w:val="24"/>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五日生化需氧量</w:t>
                  </w:r>
                </w:p>
              </w:tc>
              <w:tc>
                <w:tcPr>
                  <w:tcW w:w="824" w:type="pct"/>
                  <w:tcBorders>
                    <w:tl2br w:val="nil"/>
                    <w:tr2bl w:val="nil"/>
                  </w:tcBorders>
                  <w:vAlign w:val="center"/>
                </w:tcPr>
                <w:p>
                  <w:pPr>
                    <w:jc w:val="center"/>
                    <w:rPr>
                      <w:color w:val="auto"/>
                      <w:kern w:val="24"/>
                      <w:szCs w:val="18"/>
                    </w:rPr>
                  </w:pPr>
                  <w:r>
                    <w:rPr>
                      <w:color w:val="auto"/>
                      <w:kern w:val="24"/>
                      <w:szCs w:val="18"/>
                    </w:rPr>
                    <w:t>4.3</w:t>
                  </w:r>
                </w:p>
              </w:tc>
              <w:tc>
                <w:tcPr>
                  <w:tcW w:w="823" w:type="pct"/>
                  <w:tcBorders>
                    <w:tl2br w:val="nil"/>
                    <w:tr2bl w:val="nil"/>
                  </w:tcBorders>
                  <w:vAlign w:val="center"/>
                </w:tcPr>
                <w:p>
                  <w:pPr>
                    <w:jc w:val="center"/>
                    <w:rPr>
                      <w:color w:val="auto"/>
                      <w:kern w:val="24"/>
                      <w:szCs w:val="18"/>
                    </w:rPr>
                  </w:pPr>
                  <w:r>
                    <w:rPr>
                      <w:color w:val="auto"/>
                      <w:kern w:val="24"/>
                      <w:szCs w:val="18"/>
                    </w:rPr>
                    <w:t>2.74</w:t>
                  </w:r>
                </w:p>
              </w:tc>
              <w:tc>
                <w:tcPr>
                  <w:tcW w:w="823" w:type="pct"/>
                  <w:tcBorders>
                    <w:tl2br w:val="nil"/>
                    <w:tr2bl w:val="nil"/>
                  </w:tcBorders>
                  <w:vAlign w:val="center"/>
                </w:tcPr>
                <w:p>
                  <w:pPr>
                    <w:jc w:val="center"/>
                    <w:rPr>
                      <w:color w:val="auto"/>
                      <w:kern w:val="24"/>
                      <w:szCs w:val="18"/>
                    </w:rPr>
                  </w:pPr>
                  <w:r>
                    <w:rPr>
                      <w:color w:val="auto"/>
                      <w:kern w:val="24"/>
                      <w:szCs w:val="18"/>
                    </w:rPr>
                    <w:t>4.3</w:t>
                  </w:r>
                </w:p>
              </w:tc>
              <w:tc>
                <w:tcPr>
                  <w:tcW w:w="823" w:type="pct"/>
                  <w:tcBorders>
                    <w:tl2br w:val="nil"/>
                    <w:tr2bl w:val="nil"/>
                  </w:tcBorders>
                  <w:vAlign w:val="center"/>
                </w:tcPr>
                <w:p>
                  <w:pPr>
                    <w:jc w:val="center"/>
                    <w:rPr>
                      <w:color w:val="auto"/>
                      <w:kern w:val="24"/>
                      <w:szCs w:val="18"/>
                    </w:rPr>
                  </w:pPr>
                  <w:r>
                    <w:rPr>
                      <w:color w:val="auto"/>
                      <w:kern w:val="24"/>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氨氮</w:t>
                  </w:r>
                </w:p>
              </w:tc>
              <w:tc>
                <w:tcPr>
                  <w:tcW w:w="824" w:type="pct"/>
                  <w:tcBorders>
                    <w:tl2br w:val="nil"/>
                    <w:tr2bl w:val="nil"/>
                  </w:tcBorders>
                  <w:vAlign w:val="center"/>
                </w:tcPr>
                <w:p>
                  <w:pPr>
                    <w:jc w:val="center"/>
                    <w:rPr>
                      <w:color w:val="auto"/>
                      <w:kern w:val="24"/>
                      <w:szCs w:val="18"/>
                    </w:rPr>
                  </w:pPr>
                  <w:r>
                    <w:rPr>
                      <w:color w:val="auto"/>
                      <w:kern w:val="24"/>
                      <w:szCs w:val="18"/>
                    </w:rPr>
                    <w:t>0.15</w:t>
                  </w:r>
                </w:p>
              </w:tc>
              <w:tc>
                <w:tcPr>
                  <w:tcW w:w="823" w:type="pct"/>
                  <w:tcBorders>
                    <w:tl2br w:val="nil"/>
                    <w:tr2bl w:val="nil"/>
                  </w:tcBorders>
                  <w:vAlign w:val="center"/>
                </w:tcPr>
                <w:p>
                  <w:pPr>
                    <w:jc w:val="center"/>
                    <w:rPr>
                      <w:color w:val="auto"/>
                      <w:kern w:val="24"/>
                      <w:szCs w:val="18"/>
                    </w:rPr>
                  </w:pPr>
                  <w:r>
                    <w:rPr>
                      <w:color w:val="auto"/>
                      <w:kern w:val="24"/>
                      <w:szCs w:val="18"/>
                    </w:rPr>
                    <w:t>0.331</w:t>
                  </w:r>
                </w:p>
              </w:tc>
              <w:tc>
                <w:tcPr>
                  <w:tcW w:w="823" w:type="pct"/>
                  <w:tcBorders>
                    <w:tl2br w:val="nil"/>
                    <w:tr2bl w:val="nil"/>
                  </w:tcBorders>
                  <w:vAlign w:val="center"/>
                </w:tcPr>
                <w:p>
                  <w:pPr>
                    <w:jc w:val="center"/>
                    <w:rPr>
                      <w:color w:val="auto"/>
                      <w:kern w:val="24"/>
                      <w:szCs w:val="18"/>
                    </w:rPr>
                  </w:pPr>
                  <w:r>
                    <w:rPr>
                      <w:color w:val="auto"/>
                      <w:kern w:val="24"/>
                      <w:szCs w:val="18"/>
                    </w:rPr>
                    <w:t>0.24</w:t>
                  </w:r>
                </w:p>
              </w:tc>
              <w:tc>
                <w:tcPr>
                  <w:tcW w:w="823" w:type="pct"/>
                  <w:tcBorders>
                    <w:tl2br w:val="nil"/>
                    <w:tr2bl w:val="nil"/>
                  </w:tcBorders>
                  <w:vAlign w:val="center"/>
                </w:tcPr>
                <w:p>
                  <w:pPr>
                    <w:jc w:val="center"/>
                    <w:rPr>
                      <w:color w:val="auto"/>
                      <w:kern w:val="24"/>
                      <w:szCs w:val="18"/>
                    </w:rPr>
                  </w:pPr>
                  <w:r>
                    <w:rPr>
                      <w:color w:val="auto"/>
                      <w:kern w:val="24"/>
                      <w:szCs w:val="18"/>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总磷</w:t>
                  </w:r>
                </w:p>
              </w:tc>
              <w:tc>
                <w:tcPr>
                  <w:tcW w:w="824" w:type="pct"/>
                  <w:tcBorders>
                    <w:tl2br w:val="nil"/>
                    <w:tr2bl w:val="nil"/>
                  </w:tcBorders>
                  <w:vAlign w:val="center"/>
                </w:tcPr>
                <w:p>
                  <w:pPr>
                    <w:jc w:val="center"/>
                    <w:rPr>
                      <w:color w:val="auto"/>
                      <w:kern w:val="24"/>
                      <w:szCs w:val="18"/>
                    </w:rPr>
                  </w:pPr>
                  <w:r>
                    <w:rPr>
                      <w:color w:val="auto"/>
                      <w:kern w:val="24"/>
                      <w:szCs w:val="18"/>
                    </w:rPr>
                    <w:t>0.08</w:t>
                  </w:r>
                </w:p>
              </w:tc>
              <w:tc>
                <w:tcPr>
                  <w:tcW w:w="823" w:type="pct"/>
                  <w:tcBorders>
                    <w:tl2br w:val="nil"/>
                    <w:tr2bl w:val="nil"/>
                  </w:tcBorders>
                  <w:vAlign w:val="center"/>
                </w:tcPr>
                <w:p>
                  <w:pPr>
                    <w:jc w:val="center"/>
                    <w:rPr>
                      <w:color w:val="auto"/>
                      <w:kern w:val="24"/>
                      <w:szCs w:val="18"/>
                    </w:rPr>
                  </w:pPr>
                  <w:r>
                    <w:rPr>
                      <w:color w:val="auto"/>
                      <w:kern w:val="24"/>
                      <w:szCs w:val="18"/>
                    </w:rPr>
                    <w:t>0.13</w:t>
                  </w:r>
                </w:p>
              </w:tc>
              <w:tc>
                <w:tcPr>
                  <w:tcW w:w="823" w:type="pct"/>
                  <w:tcBorders>
                    <w:tl2br w:val="nil"/>
                    <w:tr2bl w:val="nil"/>
                  </w:tcBorders>
                  <w:vAlign w:val="center"/>
                </w:tcPr>
                <w:p>
                  <w:pPr>
                    <w:jc w:val="center"/>
                    <w:rPr>
                      <w:color w:val="auto"/>
                      <w:kern w:val="24"/>
                      <w:szCs w:val="18"/>
                    </w:rPr>
                  </w:pPr>
                  <w:r>
                    <w:rPr>
                      <w:color w:val="auto"/>
                      <w:kern w:val="24"/>
                      <w:szCs w:val="18"/>
                    </w:rPr>
                    <w:t>0.06</w:t>
                  </w:r>
                </w:p>
              </w:tc>
              <w:tc>
                <w:tcPr>
                  <w:tcW w:w="823" w:type="pct"/>
                  <w:tcBorders>
                    <w:tl2br w:val="nil"/>
                    <w:tr2bl w:val="nil"/>
                  </w:tcBorders>
                  <w:vAlign w:val="center"/>
                </w:tcPr>
                <w:p>
                  <w:pPr>
                    <w:jc w:val="center"/>
                    <w:rPr>
                      <w:color w:val="auto"/>
                      <w:kern w:val="24"/>
                      <w:szCs w:val="18"/>
                    </w:rPr>
                  </w:pPr>
                  <w:r>
                    <w:rPr>
                      <w:color w:val="auto"/>
                      <w:kern w:val="24"/>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石油类</w:t>
                  </w:r>
                </w:p>
              </w:tc>
              <w:tc>
                <w:tcPr>
                  <w:tcW w:w="824" w:type="pct"/>
                  <w:tcBorders>
                    <w:tl2br w:val="nil"/>
                    <w:tr2bl w:val="nil"/>
                  </w:tcBorders>
                  <w:vAlign w:val="center"/>
                </w:tcPr>
                <w:p>
                  <w:pPr>
                    <w:jc w:val="center"/>
                    <w:rPr>
                      <w:color w:val="auto"/>
                      <w:kern w:val="24"/>
                      <w:szCs w:val="18"/>
                    </w:rPr>
                  </w:pPr>
                  <w:r>
                    <w:rPr>
                      <w:color w:val="auto"/>
                      <w:kern w:val="24"/>
                      <w:szCs w:val="18"/>
                    </w:rPr>
                    <w:t>0.01L</w:t>
                  </w:r>
                </w:p>
              </w:tc>
              <w:tc>
                <w:tcPr>
                  <w:tcW w:w="823" w:type="pct"/>
                  <w:tcBorders>
                    <w:tl2br w:val="nil"/>
                    <w:tr2bl w:val="nil"/>
                  </w:tcBorders>
                  <w:vAlign w:val="center"/>
                </w:tcPr>
                <w:p>
                  <w:pPr>
                    <w:jc w:val="center"/>
                    <w:rPr>
                      <w:color w:val="auto"/>
                      <w:kern w:val="24"/>
                      <w:szCs w:val="18"/>
                    </w:rPr>
                  </w:pPr>
                  <w:r>
                    <w:rPr>
                      <w:color w:val="auto"/>
                      <w:kern w:val="24"/>
                      <w:szCs w:val="18"/>
                    </w:rPr>
                    <w:t>0.01L</w:t>
                  </w:r>
                </w:p>
              </w:tc>
              <w:tc>
                <w:tcPr>
                  <w:tcW w:w="823" w:type="pct"/>
                  <w:tcBorders>
                    <w:tl2br w:val="nil"/>
                    <w:tr2bl w:val="nil"/>
                  </w:tcBorders>
                  <w:vAlign w:val="center"/>
                </w:tcPr>
                <w:p>
                  <w:pPr>
                    <w:jc w:val="center"/>
                    <w:rPr>
                      <w:color w:val="auto"/>
                      <w:kern w:val="24"/>
                      <w:szCs w:val="18"/>
                    </w:rPr>
                  </w:pPr>
                  <w:r>
                    <w:rPr>
                      <w:color w:val="auto"/>
                      <w:kern w:val="24"/>
                      <w:szCs w:val="18"/>
                    </w:rPr>
                    <w:t>0.01L</w:t>
                  </w:r>
                </w:p>
              </w:tc>
              <w:tc>
                <w:tcPr>
                  <w:tcW w:w="823" w:type="pct"/>
                  <w:tcBorders>
                    <w:tl2br w:val="nil"/>
                    <w:tr2bl w:val="nil"/>
                  </w:tcBorders>
                  <w:vAlign w:val="center"/>
                </w:tcPr>
                <w:p>
                  <w:pPr>
                    <w:jc w:val="center"/>
                    <w:rPr>
                      <w:color w:val="auto"/>
                      <w:kern w:val="24"/>
                      <w:szCs w:val="18"/>
                    </w:rPr>
                  </w:pPr>
                  <w:r>
                    <w:rPr>
                      <w:color w:val="auto"/>
                      <w:kern w:val="24"/>
                      <w:szCs w:val="18"/>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挥发酚</w:t>
                  </w:r>
                </w:p>
              </w:tc>
              <w:tc>
                <w:tcPr>
                  <w:tcW w:w="824" w:type="pct"/>
                  <w:tcBorders>
                    <w:tl2br w:val="nil"/>
                    <w:tr2bl w:val="nil"/>
                  </w:tcBorders>
                  <w:vAlign w:val="center"/>
                </w:tcPr>
                <w:p>
                  <w:pPr>
                    <w:jc w:val="center"/>
                    <w:rPr>
                      <w:color w:val="auto"/>
                      <w:kern w:val="24"/>
                      <w:szCs w:val="18"/>
                    </w:rPr>
                  </w:pPr>
                  <w:r>
                    <w:rPr>
                      <w:color w:val="auto"/>
                      <w:kern w:val="24"/>
                      <w:szCs w:val="18"/>
                    </w:rPr>
                    <w:t>0.0005</w:t>
                  </w:r>
                </w:p>
              </w:tc>
              <w:tc>
                <w:tcPr>
                  <w:tcW w:w="823" w:type="pct"/>
                  <w:tcBorders>
                    <w:tl2br w:val="nil"/>
                    <w:tr2bl w:val="nil"/>
                  </w:tcBorders>
                  <w:vAlign w:val="center"/>
                </w:tcPr>
                <w:p>
                  <w:pPr>
                    <w:jc w:val="center"/>
                    <w:rPr>
                      <w:color w:val="auto"/>
                      <w:kern w:val="24"/>
                      <w:szCs w:val="18"/>
                    </w:rPr>
                  </w:pPr>
                  <w:r>
                    <w:rPr>
                      <w:color w:val="auto"/>
                      <w:kern w:val="24"/>
                      <w:szCs w:val="18"/>
                    </w:rPr>
                    <w:t>0.0003L</w:t>
                  </w:r>
                </w:p>
              </w:tc>
              <w:tc>
                <w:tcPr>
                  <w:tcW w:w="823" w:type="pct"/>
                  <w:tcBorders>
                    <w:tl2br w:val="nil"/>
                    <w:tr2bl w:val="nil"/>
                  </w:tcBorders>
                  <w:vAlign w:val="center"/>
                </w:tcPr>
                <w:p>
                  <w:pPr>
                    <w:jc w:val="center"/>
                    <w:rPr>
                      <w:color w:val="auto"/>
                      <w:kern w:val="24"/>
                      <w:szCs w:val="18"/>
                    </w:rPr>
                  </w:pPr>
                  <w:r>
                    <w:rPr>
                      <w:color w:val="auto"/>
                      <w:kern w:val="24"/>
                      <w:szCs w:val="18"/>
                    </w:rPr>
                    <w:t>0.0003L</w:t>
                  </w:r>
                </w:p>
              </w:tc>
              <w:tc>
                <w:tcPr>
                  <w:tcW w:w="823" w:type="pct"/>
                  <w:tcBorders>
                    <w:tl2br w:val="nil"/>
                    <w:tr2bl w:val="nil"/>
                  </w:tcBorders>
                  <w:vAlign w:val="center"/>
                </w:tcPr>
                <w:p>
                  <w:pPr>
                    <w:jc w:val="center"/>
                    <w:rPr>
                      <w:color w:val="auto"/>
                      <w:kern w:val="24"/>
                      <w:szCs w:val="18"/>
                    </w:rPr>
                  </w:pPr>
                  <w:r>
                    <w:rPr>
                      <w:color w:val="auto"/>
                      <w:kern w:val="24"/>
                      <w:szCs w:val="18"/>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阴离子表面活性剂</w:t>
                  </w:r>
                </w:p>
              </w:tc>
              <w:tc>
                <w:tcPr>
                  <w:tcW w:w="824" w:type="pct"/>
                  <w:tcBorders>
                    <w:tl2br w:val="nil"/>
                    <w:tr2bl w:val="nil"/>
                  </w:tcBorders>
                  <w:vAlign w:val="center"/>
                </w:tcPr>
                <w:p>
                  <w:pPr>
                    <w:jc w:val="center"/>
                    <w:rPr>
                      <w:color w:val="auto"/>
                      <w:kern w:val="24"/>
                      <w:szCs w:val="18"/>
                    </w:rPr>
                  </w:pPr>
                  <w:r>
                    <w:rPr>
                      <w:color w:val="auto"/>
                      <w:kern w:val="24"/>
                      <w:szCs w:val="18"/>
                    </w:rPr>
                    <w:t>0.08</w:t>
                  </w:r>
                </w:p>
              </w:tc>
              <w:tc>
                <w:tcPr>
                  <w:tcW w:w="823" w:type="pct"/>
                  <w:tcBorders>
                    <w:tl2br w:val="nil"/>
                    <w:tr2bl w:val="nil"/>
                  </w:tcBorders>
                  <w:vAlign w:val="center"/>
                </w:tcPr>
                <w:p>
                  <w:pPr>
                    <w:jc w:val="center"/>
                    <w:rPr>
                      <w:color w:val="auto"/>
                      <w:kern w:val="24"/>
                      <w:szCs w:val="18"/>
                    </w:rPr>
                  </w:pPr>
                  <w:r>
                    <w:rPr>
                      <w:color w:val="auto"/>
                      <w:kern w:val="24"/>
                      <w:szCs w:val="18"/>
                    </w:rPr>
                    <w:t>0.06</w:t>
                  </w:r>
                </w:p>
              </w:tc>
              <w:tc>
                <w:tcPr>
                  <w:tcW w:w="823" w:type="pct"/>
                  <w:tcBorders>
                    <w:tl2br w:val="nil"/>
                    <w:tr2bl w:val="nil"/>
                  </w:tcBorders>
                  <w:vAlign w:val="center"/>
                </w:tcPr>
                <w:p>
                  <w:pPr>
                    <w:jc w:val="center"/>
                    <w:rPr>
                      <w:color w:val="auto"/>
                      <w:kern w:val="24"/>
                      <w:szCs w:val="18"/>
                    </w:rPr>
                  </w:pPr>
                  <w:r>
                    <w:rPr>
                      <w:color w:val="auto"/>
                      <w:kern w:val="24"/>
                      <w:szCs w:val="18"/>
                    </w:rPr>
                    <w:t>0.05</w:t>
                  </w:r>
                </w:p>
              </w:tc>
              <w:tc>
                <w:tcPr>
                  <w:tcW w:w="823" w:type="pct"/>
                  <w:tcBorders>
                    <w:tl2br w:val="nil"/>
                    <w:tr2bl w:val="nil"/>
                  </w:tcBorders>
                  <w:vAlign w:val="center"/>
                </w:tcPr>
                <w:p>
                  <w:pPr>
                    <w:jc w:val="center"/>
                    <w:rPr>
                      <w:color w:val="auto"/>
                      <w:kern w:val="24"/>
                      <w:szCs w:val="18"/>
                    </w:rPr>
                  </w:pPr>
                  <w:r>
                    <w:rPr>
                      <w:color w:val="auto"/>
                      <w:kern w:val="24"/>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666" w:type="pct"/>
                  <w:vMerge w:val="continue"/>
                  <w:tcBorders>
                    <w:tl2br w:val="nil"/>
                    <w:tr2bl w:val="nil"/>
                  </w:tcBorders>
                  <w:vAlign w:val="center"/>
                </w:tcPr>
                <w:p>
                  <w:pPr>
                    <w:jc w:val="center"/>
                    <w:rPr>
                      <w:b/>
                      <w:color w:val="auto"/>
                      <w:kern w:val="24"/>
                      <w:szCs w:val="18"/>
                    </w:rPr>
                  </w:pPr>
                </w:p>
              </w:tc>
              <w:tc>
                <w:tcPr>
                  <w:tcW w:w="1041" w:type="pct"/>
                  <w:tcBorders>
                    <w:tl2br w:val="nil"/>
                    <w:tr2bl w:val="nil"/>
                  </w:tcBorders>
                  <w:vAlign w:val="center"/>
                </w:tcPr>
                <w:p>
                  <w:pPr>
                    <w:jc w:val="center"/>
                    <w:rPr>
                      <w:color w:val="auto"/>
                      <w:kern w:val="24"/>
                      <w:szCs w:val="18"/>
                    </w:rPr>
                  </w:pPr>
                  <w:r>
                    <w:rPr>
                      <w:color w:val="auto"/>
                      <w:kern w:val="24"/>
                      <w:szCs w:val="18"/>
                    </w:rPr>
                    <w:t>硫化物</w:t>
                  </w:r>
                </w:p>
              </w:tc>
              <w:tc>
                <w:tcPr>
                  <w:tcW w:w="824" w:type="pct"/>
                  <w:tcBorders>
                    <w:tl2br w:val="nil"/>
                    <w:tr2bl w:val="nil"/>
                  </w:tcBorders>
                  <w:vAlign w:val="center"/>
                </w:tcPr>
                <w:p>
                  <w:pPr>
                    <w:jc w:val="center"/>
                    <w:rPr>
                      <w:color w:val="auto"/>
                      <w:kern w:val="24"/>
                      <w:szCs w:val="18"/>
                    </w:rPr>
                  </w:pPr>
                  <w:r>
                    <w:rPr>
                      <w:color w:val="auto"/>
                      <w:kern w:val="24"/>
                      <w:szCs w:val="18"/>
                    </w:rPr>
                    <w:t>0.075</w:t>
                  </w:r>
                </w:p>
              </w:tc>
              <w:tc>
                <w:tcPr>
                  <w:tcW w:w="823" w:type="pct"/>
                  <w:tcBorders>
                    <w:tl2br w:val="nil"/>
                    <w:tr2bl w:val="nil"/>
                  </w:tcBorders>
                  <w:vAlign w:val="center"/>
                </w:tcPr>
                <w:p>
                  <w:pPr>
                    <w:jc w:val="center"/>
                    <w:rPr>
                      <w:color w:val="auto"/>
                      <w:kern w:val="24"/>
                      <w:szCs w:val="18"/>
                    </w:rPr>
                  </w:pPr>
                  <w:r>
                    <w:rPr>
                      <w:color w:val="auto"/>
                      <w:kern w:val="24"/>
                      <w:szCs w:val="18"/>
                    </w:rPr>
                    <w:t>0.005L</w:t>
                  </w:r>
                </w:p>
              </w:tc>
              <w:tc>
                <w:tcPr>
                  <w:tcW w:w="823" w:type="pct"/>
                  <w:tcBorders>
                    <w:tl2br w:val="nil"/>
                    <w:tr2bl w:val="nil"/>
                  </w:tcBorders>
                  <w:vAlign w:val="center"/>
                </w:tcPr>
                <w:p>
                  <w:pPr>
                    <w:jc w:val="center"/>
                    <w:rPr>
                      <w:color w:val="auto"/>
                      <w:kern w:val="24"/>
                      <w:szCs w:val="18"/>
                    </w:rPr>
                  </w:pPr>
                  <w:r>
                    <w:rPr>
                      <w:color w:val="auto"/>
                      <w:kern w:val="24"/>
                      <w:szCs w:val="18"/>
                    </w:rPr>
                    <w:t>0.006</w:t>
                  </w:r>
                </w:p>
              </w:tc>
              <w:tc>
                <w:tcPr>
                  <w:tcW w:w="823" w:type="pct"/>
                  <w:tcBorders>
                    <w:tl2br w:val="nil"/>
                    <w:tr2bl w:val="nil"/>
                  </w:tcBorders>
                  <w:vAlign w:val="center"/>
                </w:tcPr>
                <w:p>
                  <w:pPr>
                    <w:jc w:val="center"/>
                    <w:rPr>
                      <w:color w:val="auto"/>
                      <w:kern w:val="24"/>
                      <w:szCs w:val="18"/>
                    </w:rPr>
                  </w:pPr>
                  <w:r>
                    <w:rPr>
                      <w:color w:val="auto"/>
                      <w:kern w:val="24"/>
                      <w:szCs w:val="18"/>
                    </w:rPr>
                    <w:t>0.013</w:t>
                  </w:r>
                </w:p>
              </w:tc>
            </w:tr>
          </w:tbl>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由结果分析可知，监测期间，岱河、龙河各水质断面各监测因子均可满足《地表水环境质量标准》（GB3838-2002）中Ⅳ类标准要求。</w:t>
            </w:r>
          </w:p>
          <w:p>
            <w:pPr>
              <w:spacing w:line="360" w:lineRule="auto"/>
              <w:ind w:firstLine="482"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三</w:t>
            </w:r>
            <w:r>
              <w:rPr>
                <w:rFonts w:hint="eastAsia" w:asciiTheme="majorEastAsia" w:hAnsiTheme="majorEastAsia" w:eastAsiaTheme="majorEastAsia" w:cstheme="majorEastAsia"/>
                <w:b/>
                <w:bCs/>
                <w:color w:val="auto"/>
                <w:sz w:val="24"/>
                <w:szCs w:val="24"/>
              </w:rPr>
              <w:t>、声环境质量现状</w:t>
            </w:r>
          </w:p>
          <w:p>
            <w:pPr>
              <w:snapToGrid w:val="0"/>
              <w:spacing w:line="360" w:lineRule="auto"/>
              <w:ind w:firstLine="480" w:firstLineChars="200"/>
              <w:rPr>
                <w:rFonts w:hint="default" w:ascii="Times New Roman" w:hAnsi="Times New Roman" w:cs="Times New Roman" w:eastAsiaTheme="majorEastAsia"/>
                <w:color w:val="auto"/>
                <w:sz w:val="24"/>
                <w:szCs w:val="24"/>
              </w:rPr>
            </w:pPr>
            <w:r>
              <w:rPr>
                <w:rFonts w:hint="default" w:ascii="Times New Roman" w:hAnsi="Times New Roman" w:cs="Times New Roman" w:eastAsiaTheme="majorEastAsia"/>
                <w:color w:val="auto"/>
                <w:sz w:val="24"/>
                <w:szCs w:val="24"/>
              </w:rPr>
              <w:t>建设项目所在地为安徽淮北杜集经济开发区，执行《声环境质量标准》（GB3096-2008）3类标准。厂界外周边50m范围内不存在声环境保护目标，无需开展现状监测。</w:t>
            </w:r>
          </w:p>
          <w:p>
            <w:pPr>
              <w:autoSpaceDE w:val="0"/>
              <w:autoSpaceDN w:val="0"/>
              <w:adjustRightInd w:val="0"/>
              <w:snapToGrid w:val="0"/>
              <w:spacing w:line="360" w:lineRule="auto"/>
              <w:ind w:firstLine="482" w:firstLineChars="200"/>
              <w:rPr>
                <w:b/>
                <w:bCs/>
                <w:color w:val="auto"/>
                <w:sz w:val="24"/>
              </w:rPr>
            </w:pPr>
            <w:r>
              <w:rPr>
                <w:rFonts w:hint="eastAsia"/>
                <w:b/>
                <w:bCs/>
                <w:color w:val="auto"/>
                <w:sz w:val="24"/>
              </w:rPr>
              <w:t>四、地下水水环境质量</w:t>
            </w:r>
          </w:p>
          <w:p>
            <w:pPr>
              <w:pStyle w:val="14"/>
              <w:spacing w:line="360" w:lineRule="auto"/>
              <w:ind w:firstLine="480" w:firstLineChars="200"/>
              <w:rPr>
                <w:color w:val="auto"/>
                <w:sz w:val="24"/>
                <w:szCs w:val="24"/>
                <w:lang w:bidi="en-US"/>
              </w:rPr>
            </w:pPr>
            <w:r>
              <w:rPr>
                <w:rFonts w:hint="eastAsia"/>
                <w:color w:val="auto"/>
                <w:sz w:val="24"/>
                <w:szCs w:val="24"/>
                <w:lang w:bidi="en-US"/>
              </w:rPr>
              <w:t>2021年淮北市城市集中饮用水源地（地下水）监测指标均达到《地下水质量标准》GB/T14848-2017中Ⅲ类标准，2021年淮北市饮用水源地（地下水）取水总量为1284万吨，饮用水源地水质达标率为100%。</w:t>
            </w:r>
          </w:p>
          <w:p>
            <w:pPr>
              <w:autoSpaceDE w:val="0"/>
              <w:autoSpaceDN w:val="0"/>
              <w:adjustRightInd w:val="0"/>
              <w:snapToGrid w:val="0"/>
              <w:spacing w:line="360" w:lineRule="auto"/>
              <w:ind w:firstLine="482" w:firstLineChars="200"/>
              <w:rPr>
                <w:b/>
                <w:bCs/>
                <w:color w:val="auto"/>
                <w:sz w:val="24"/>
              </w:rPr>
            </w:pPr>
            <w:r>
              <w:rPr>
                <w:rFonts w:hint="eastAsia"/>
                <w:b/>
                <w:bCs/>
                <w:color w:val="auto"/>
                <w:sz w:val="24"/>
              </w:rPr>
              <w:t>五、辐射环境质量</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2021年淮北市主城区环境γ辐射空气吸收剂量率保持在背景值水平，无异常升高值。</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淮北市饮用水的总α放射性、总β放射性水平低于《生活饮用水卫生标准》（GB5749-2006）中总α≤0.5Bq/L， 总β≤1.0 Bq/L标准要求，水体总放射性</w:t>
            </w:r>
            <w:bookmarkStart w:id="1" w:name="OLE_LINK4"/>
            <w:r>
              <w:rPr>
                <w:rFonts w:hint="default" w:ascii="Times New Roman" w:hAnsi="Times New Roman" w:eastAsia="宋体" w:cs="Times New Roman"/>
                <w:bCs/>
                <w:color w:val="auto"/>
                <w:sz w:val="24"/>
                <w:szCs w:val="24"/>
              </w:rPr>
              <w:t>处于正常本底范围</w:t>
            </w:r>
            <w:bookmarkEnd w:id="1"/>
            <w:r>
              <w:rPr>
                <w:rFonts w:hint="default" w:ascii="Times New Roman" w:hAnsi="Times New Roman" w:eastAsia="宋体" w:cs="Times New Roman"/>
                <w:bCs/>
                <w:color w:val="auto"/>
                <w:sz w:val="24"/>
                <w:szCs w:val="24"/>
              </w:rPr>
              <w:t>，无异常升高值。</w:t>
            </w:r>
          </w:p>
          <w:p>
            <w:pPr>
              <w:snapToGrid w:val="0"/>
              <w:spacing w:line="360" w:lineRule="auto"/>
              <w:ind w:firstLine="420" w:firstLineChars="20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2" w:hRule="atLeast"/>
          <w:jc w:val="center"/>
        </w:trPr>
        <w:tc>
          <w:tcPr>
            <w:tcW w:w="521" w:type="dxa"/>
            <w:vAlign w:val="center"/>
          </w:tcPr>
          <w:p>
            <w:pPr>
              <w:adjustRightInd w:val="0"/>
              <w:snapToGrid w:val="0"/>
              <w:rPr>
                <w:rFonts w:ascii="宋体" w:hAnsi="宋体" w:cs="宋体"/>
                <w:color w:val="auto"/>
                <w:kern w:val="0"/>
                <w:szCs w:val="21"/>
              </w:rPr>
            </w:pPr>
            <w:r>
              <w:rPr>
                <w:rFonts w:hint="eastAsia" w:ascii="宋体" w:hAnsi="宋体" w:cs="宋体"/>
                <w:color w:val="auto"/>
                <w:kern w:val="0"/>
                <w:szCs w:val="21"/>
              </w:rPr>
              <w:t xml:space="preserve"> 环境</w:t>
            </w:r>
          </w:p>
          <w:p>
            <w:pPr>
              <w:adjustRightInd w:val="0"/>
              <w:snapToGrid w:val="0"/>
              <w:rPr>
                <w:rFonts w:ascii="宋体" w:hAnsi="宋体" w:cs="宋体"/>
                <w:color w:val="auto"/>
                <w:kern w:val="0"/>
                <w:szCs w:val="21"/>
              </w:rPr>
            </w:pPr>
            <w:r>
              <w:rPr>
                <w:rFonts w:hint="eastAsia" w:ascii="宋体" w:hAnsi="宋体" w:cs="宋体"/>
                <w:color w:val="auto"/>
                <w:kern w:val="0"/>
                <w:szCs w:val="21"/>
              </w:rPr>
              <w:t>保护</w:t>
            </w:r>
          </w:p>
          <w:p>
            <w:pPr>
              <w:adjustRightInd w:val="0"/>
              <w:snapToGrid w:val="0"/>
              <w:rPr>
                <w:rFonts w:ascii="宋体" w:hAnsi="宋体" w:cs="宋体"/>
                <w:color w:val="auto"/>
                <w:kern w:val="0"/>
                <w:szCs w:val="21"/>
              </w:rPr>
            </w:pPr>
            <w:r>
              <w:rPr>
                <w:rFonts w:hint="eastAsia" w:ascii="宋体" w:hAnsi="宋体" w:cs="宋体"/>
                <w:color w:val="auto"/>
                <w:kern w:val="0"/>
                <w:szCs w:val="21"/>
              </w:rPr>
              <w:t>目标</w:t>
            </w:r>
          </w:p>
        </w:tc>
        <w:tc>
          <w:tcPr>
            <w:tcW w:w="8469" w:type="dxa"/>
          </w:tcPr>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本项目位于安徽省淮北杜集经济开发区，根据现场勘查，评价范围内无自然保护区、风景旅游点和文物古迹等需要特殊保护的环境敏感对象</w:t>
            </w:r>
            <w:r>
              <w:rPr>
                <w:rFonts w:hint="default" w:ascii="Times New Roman" w:hAnsi="Times New Roman" w:cs="Times New Roman"/>
                <w:color w:val="auto"/>
                <w:sz w:val="24"/>
                <w:szCs w:val="24"/>
                <w:lang w:eastAsia="zh-CN"/>
              </w:rPr>
              <w:t>。敏感点分布图</w:t>
            </w:r>
            <w:r>
              <w:rPr>
                <w:rFonts w:hint="default" w:ascii="Times New Roman" w:hAnsi="Times New Roman" w:cs="Times New Roman"/>
                <w:color w:val="auto"/>
                <w:sz w:val="24"/>
                <w:szCs w:val="24"/>
                <w:lang w:val="en-US" w:eastAsia="zh-CN"/>
              </w:rPr>
              <w:t>详见</w:t>
            </w:r>
            <w:r>
              <w:rPr>
                <w:rFonts w:hint="default" w:ascii="Times New Roman" w:hAnsi="Times New Roman" w:cs="Times New Roman"/>
                <w:color w:val="auto"/>
                <w:sz w:val="24"/>
                <w:szCs w:val="24"/>
                <w:lang w:eastAsia="zh-CN"/>
              </w:rPr>
              <w:t>附图7</w:t>
            </w:r>
            <w:r>
              <w:rPr>
                <w:rFonts w:hint="default" w:ascii="Times New Roman" w:hAnsi="Times New Roman" w:cs="Times New Roman"/>
                <w:color w:val="auto"/>
                <w:sz w:val="24"/>
                <w:szCs w:val="24"/>
              </w:rPr>
              <w:t>。总体上不因本项目的实施而改变区域环境现有功能，具体环境保护目标如下：</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（1）保护项目所在地区域环境空气质量达到《环境空气质量标准》（GB3095-2012）二级标准及修改单。</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（2）保护岱河、龙河地表水体质量达到《地表水环境质量标准》（GB3838-2002）</w:t>
            </w:r>
            <w:r>
              <w:rPr>
                <w:rFonts w:hint="default" w:ascii="Times New Roman" w:hAnsi="Times New Roman" w:cs="Times New Roman"/>
                <w:color w:val="auto"/>
                <w:kern w:val="0"/>
                <w:sz w:val="24"/>
                <w:szCs w:val="24"/>
              </w:rPr>
              <w:t>中</w:t>
            </w:r>
            <w:r>
              <w:rPr>
                <w:rFonts w:hint="default" w:ascii="Times New Roman" w:hAnsi="Times New Roman" w:cs="Times New Roman"/>
                <w:color w:val="auto"/>
                <w:sz w:val="24"/>
                <w:szCs w:val="24"/>
              </w:rPr>
              <w:t>Ⅳ</w:t>
            </w:r>
            <w:r>
              <w:rPr>
                <w:rFonts w:hint="default" w:ascii="Times New Roman" w:hAnsi="Times New Roman" w:cs="Times New Roman"/>
                <w:color w:val="auto"/>
                <w:kern w:val="0"/>
                <w:sz w:val="24"/>
                <w:szCs w:val="24"/>
              </w:rPr>
              <w:t>类水质标准要求</w:t>
            </w:r>
            <w:r>
              <w:rPr>
                <w:rFonts w:hint="default" w:ascii="Times New Roman" w:hAnsi="Times New Roman" w:cs="Times New Roman"/>
                <w:color w:val="auto"/>
                <w:sz w:val="24"/>
                <w:szCs w:val="24"/>
              </w:rPr>
              <w:t>。</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（3）保护项目区声环境达到《声环境质量标准》（GB3096-2008）中3类标准要求。</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（4）保护区域地下会达到《地下水质量标准》（GB/T1484-2017）表1中的Ⅲ类标准要求。</w:t>
            </w:r>
          </w:p>
          <w:p>
            <w:pPr>
              <w:spacing w:line="240" w:lineRule="auto"/>
              <w:jc w:val="center"/>
              <w:rPr>
                <w:b/>
                <w:bCs/>
                <w:color w:val="auto"/>
                <w:szCs w:val="21"/>
              </w:rPr>
            </w:pPr>
            <w:r>
              <w:rPr>
                <w:rFonts w:hint="eastAsia" w:hAnsi="宋体" w:cs="宋体"/>
                <w:b/>
                <w:bCs/>
                <w:color w:val="auto"/>
                <w:szCs w:val="21"/>
                <w:lang w:bidi="en-US"/>
              </w:rPr>
              <w:t>表3-6   环境保护目标一览表</w:t>
            </w:r>
          </w:p>
          <w:tbl>
            <w:tblPr>
              <w:tblStyle w:val="34"/>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230"/>
              <w:gridCol w:w="1509"/>
              <w:gridCol w:w="183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49" w:type="dxa"/>
                  <w:tcBorders>
                    <w:tl2br w:val="nil"/>
                    <w:tr2bl w:val="nil"/>
                  </w:tcBorders>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环境要素</w:t>
                  </w:r>
                </w:p>
              </w:tc>
              <w:tc>
                <w:tcPr>
                  <w:tcW w:w="1230" w:type="dxa"/>
                  <w:tcBorders>
                    <w:tl2br w:val="nil"/>
                    <w:tr2bl w:val="nil"/>
                  </w:tcBorders>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保护目标</w:t>
                  </w:r>
                </w:p>
              </w:tc>
              <w:tc>
                <w:tcPr>
                  <w:tcW w:w="1509" w:type="dxa"/>
                  <w:tcBorders>
                    <w:tl2br w:val="nil"/>
                    <w:tr2bl w:val="nil"/>
                  </w:tcBorders>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方位及与厂界最近距离</w:t>
                  </w:r>
                </w:p>
              </w:tc>
              <w:tc>
                <w:tcPr>
                  <w:tcW w:w="1834" w:type="dxa"/>
                  <w:tcBorders>
                    <w:tl2br w:val="nil"/>
                    <w:tr2bl w:val="nil"/>
                  </w:tcBorders>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规模</w:t>
                  </w:r>
                </w:p>
              </w:tc>
              <w:tc>
                <w:tcPr>
                  <w:tcW w:w="2256" w:type="dxa"/>
                  <w:tcBorders>
                    <w:tl2br w:val="nil"/>
                    <w:tr2bl w:val="nil"/>
                  </w:tcBorders>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49" w:type="dxa"/>
                  <w:vMerge w:val="restart"/>
                  <w:tcBorders>
                    <w:tl2br w:val="nil"/>
                    <w:tr2bl w:val="nil"/>
                  </w:tcBorders>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大气环境（厂界外500m范围内）</w:t>
                  </w:r>
                </w:p>
              </w:tc>
              <w:tc>
                <w:tcPr>
                  <w:tcW w:w="1230" w:type="dxa"/>
                  <w:tcBorders>
                    <w:tl2br w:val="nil"/>
                    <w:tr2bl w:val="nil"/>
                  </w:tcBorders>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罗里小学</w:t>
                  </w:r>
                </w:p>
              </w:tc>
              <w:tc>
                <w:tcPr>
                  <w:tcW w:w="150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 xml:space="preserve">W </w:t>
                  </w:r>
                  <w:r>
                    <w:rPr>
                      <w:rFonts w:hint="default" w:ascii="Times New Roman" w:hAnsi="Times New Roman" w:cs="Times New Roman"/>
                      <w:color w:val="auto"/>
                      <w:szCs w:val="21"/>
                    </w:rPr>
                    <w:t>约</w:t>
                  </w:r>
                  <w:r>
                    <w:rPr>
                      <w:rFonts w:hint="default" w:ascii="Times New Roman" w:hAnsi="Times New Roman" w:cs="Times New Roman"/>
                      <w:color w:val="auto"/>
                      <w:szCs w:val="21"/>
                      <w:lang w:val="en-US" w:eastAsia="zh-CN"/>
                    </w:rPr>
                    <w:t>32</w:t>
                  </w:r>
                  <w:r>
                    <w:rPr>
                      <w:rFonts w:hint="default" w:ascii="Times New Roman" w:hAnsi="Times New Roman" w:cs="Times New Roman"/>
                      <w:color w:val="auto"/>
                      <w:szCs w:val="21"/>
                    </w:rPr>
                    <w:t>0 m</w:t>
                  </w:r>
                </w:p>
              </w:tc>
              <w:tc>
                <w:tcPr>
                  <w:tcW w:w="1834"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师生共300人</w:t>
                  </w:r>
                </w:p>
              </w:tc>
              <w:tc>
                <w:tcPr>
                  <w:tcW w:w="2256" w:type="dxa"/>
                  <w:vMerge w:val="restart"/>
                  <w:tcBorders>
                    <w:tl2br w:val="nil"/>
                    <w:tr2bl w:val="nil"/>
                  </w:tcBorders>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《环境空气质量标准》（GB3095-2012）中的二级标准及修改单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349" w:type="dxa"/>
                  <w:vMerge w:val="continue"/>
                  <w:tcBorders>
                    <w:tl2br w:val="nil"/>
                    <w:tr2bl w:val="nil"/>
                  </w:tcBorders>
                  <w:vAlign w:val="center"/>
                </w:tcPr>
                <w:p>
                  <w:pPr>
                    <w:spacing w:line="240" w:lineRule="auto"/>
                    <w:jc w:val="center"/>
                    <w:rPr>
                      <w:rFonts w:hint="default" w:ascii="Times New Roman" w:hAnsi="Times New Roman" w:cs="Times New Roman"/>
                      <w:bCs/>
                      <w:color w:val="auto"/>
                      <w:szCs w:val="21"/>
                    </w:rPr>
                  </w:pPr>
                </w:p>
              </w:tc>
              <w:tc>
                <w:tcPr>
                  <w:tcW w:w="1230" w:type="dxa"/>
                  <w:tcBorders>
                    <w:tl2br w:val="nil"/>
                    <w:tr2bl w:val="nil"/>
                  </w:tcBorders>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罗里村</w:t>
                  </w:r>
                </w:p>
              </w:tc>
              <w:tc>
                <w:tcPr>
                  <w:tcW w:w="150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 xml:space="preserve">W </w:t>
                  </w:r>
                  <w:r>
                    <w:rPr>
                      <w:rFonts w:hint="default" w:ascii="Times New Roman" w:hAnsi="Times New Roman" w:cs="Times New Roman"/>
                      <w:color w:val="auto"/>
                      <w:szCs w:val="21"/>
                    </w:rPr>
                    <w:t>约</w:t>
                  </w:r>
                  <w:r>
                    <w:rPr>
                      <w:rFonts w:hint="default" w:ascii="Times New Roman" w:hAnsi="Times New Roman" w:cs="Times New Roman"/>
                      <w:color w:val="auto"/>
                      <w:szCs w:val="21"/>
                      <w:lang w:val="en-US" w:eastAsia="zh-CN"/>
                    </w:rPr>
                    <w:t>32</w:t>
                  </w:r>
                  <w:r>
                    <w:rPr>
                      <w:rFonts w:hint="default" w:ascii="Times New Roman" w:hAnsi="Times New Roman" w:cs="Times New Roman"/>
                      <w:color w:val="auto"/>
                      <w:szCs w:val="21"/>
                    </w:rPr>
                    <w:t>0 m</w:t>
                  </w:r>
                </w:p>
              </w:tc>
              <w:tc>
                <w:tcPr>
                  <w:tcW w:w="1834"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约80户、</w:t>
                  </w:r>
                  <w:r>
                    <w:rPr>
                      <w:rFonts w:hint="eastAsia" w:cs="Times New Roman"/>
                      <w:color w:val="auto"/>
                      <w:szCs w:val="21"/>
                      <w:lang w:val="en-US" w:eastAsia="zh-CN"/>
                    </w:rPr>
                    <w:t>240</w:t>
                  </w:r>
                  <w:r>
                    <w:rPr>
                      <w:rFonts w:hint="default" w:ascii="Times New Roman" w:hAnsi="Times New Roman" w:cs="Times New Roman"/>
                      <w:color w:val="auto"/>
                      <w:szCs w:val="21"/>
                    </w:rPr>
                    <w:t>人</w:t>
                  </w:r>
                </w:p>
              </w:tc>
              <w:tc>
                <w:tcPr>
                  <w:tcW w:w="2256" w:type="dxa"/>
                  <w:vMerge w:val="continue"/>
                  <w:tcBorders>
                    <w:tl2br w:val="nil"/>
                    <w:tr2bl w:val="nil"/>
                  </w:tcBorders>
                  <w:vAlign w:val="center"/>
                </w:tcPr>
                <w:p>
                  <w:pPr>
                    <w:spacing w:line="240" w:lineRule="auto"/>
                    <w:jc w:val="center"/>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9" w:type="dxa"/>
                  <w:vMerge w:val="continue"/>
                  <w:tcBorders>
                    <w:tl2br w:val="nil"/>
                    <w:tr2bl w:val="nil"/>
                  </w:tcBorders>
                  <w:vAlign w:val="center"/>
                </w:tcPr>
                <w:p>
                  <w:pPr>
                    <w:spacing w:line="240" w:lineRule="auto"/>
                    <w:jc w:val="center"/>
                    <w:rPr>
                      <w:rFonts w:hint="default" w:ascii="Times New Roman" w:hAnsi="Times New Roman" w:cs="Times New Roman"/>
                      <w:bCs/>
                      <w:color w:val="auto"/>
                      <w:szCs w:val="21"/>
                    </w:rPr>
                  </w:pPr>
                </w:p>
              </w:tc>
              <w:tc>
                <w:tcPr>
                  <w:tcW w:w="1230" w:type="dxa"/>
                  <w:tcBorders>
                    <w:tl2br w:val="nil"/>
                    <w:tr2bl w:val="nil"/>
                  </w:tcBorders>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段庄村</w:t>
                  </w:r>
                </w:p>
              </w:tc>
              <w:tc>
                <w:tcPr>
                  <w:tcW w:w="150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ES</w:t>
                  </w:r>
                  <w:r>
                    <w:rPr>
                      <w:rFonts w:hint="default" w:ascii="Times New Roman" w:hAnsi="Times New Roman" w:cs="Times New Roman"/>
                      <w:color w:val="auto"/>
                      <w:szCs w:val="21"/>
                    </w:rPr>
                    <w:t>约</w:t>
                  </w:r>
                  <w:r>
                    <w:rPr>
                      <w:rFonts w:hint="default" w:ascii="Times New Roman" w:hAnsi="Times New Roman" w:cs="Times New Roman"/>
                      <w:color w:val="auto"/>
                      <w:szCs w:val="21"/>
                      <w:lang w:val="en-US" w:eastAsia="zh-CN"/>
                    </w:rPr>
                    <w:t>300</w:t>
                  </w:r>
                  <w:r>
                    <w:rPr>
                      <w:rFonts w:hint="default" w:ascii="Times New Roman" w:hAnsi="Times New Roman" w:cs="Times New Roman"/>
                      <w:color w:val="auto"/>
                      <w:szCs w:val="21"/>
                    </w:rPr>
                    <w:t xml:space="preserve"> m</w:t>
                  </w:r>
                </w:p>
              </w:tc>
              <w:tc>
                <w:tcPr>
                  <w:tcW w:w="1834"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约</w:t>
                  </w:r>
                  <w:r>
                    <w:rPr>
                      <w:rFonts w:hint="eastAsia" w:cs="Times New Roman"/>
                      <w:color w:val="auto"/>
                      <w:szCs w:val="21"/>
                      <w:lang w:val="en-US" w:eastAsia="zh-CN"/>
                    </w:rPr>
                    <w:t>90</w:t>
                  </w:r>
                  <w:r>
                    <w:rPr>
                      <w:rFonts w:hint="default" w:ascii="Times New Roman" w:hAnsi="Times New Roman" w:cs="Times New Roman"/>
                      <w:color w:val="auto"/>
                      <w:szCs w:val="21"/>
                    </w:rPr>
                    <w:t>户、</w:t>
                  </w:r>
                  <w:r>
                    <w:rPr>
                      <w:rFonts w:hint="eastAsia" w:cs="Times New Roman"/>
                      <w:color w:val="auto"/>
                      <w:szCs w:val="21"/>
                      <w:lang w:val="en-US" w:eastAsia="zh-CN"/>
                    </w:rPr>
                    <w:t>27</w:t>
                  </w:r>
                  <w:r>
                    <w:rPr>
                      <w:rFonts w:hint="default" w:ascii="Times New Roman" w:hAnsi="Times New Roman" w:cs="Times New Roman"/>
                      <w:color w:val="auto"/>
                      <w:szCs w:val="21"/>
                    </w:rPr>
                    <w:t>0人</w:t>
                  </w:r>
                </w:p>
              </w:tc>
              <w:tc>
                <w:tcPr>
                  <w:tcW w:w="2256" w:type="dxa"/>
                  <w:vMerge w:val="continue"/>
                  <w:tcBorders>
                    <w:tl2br w:val="nil"/>
                    <w:tr2bl w:val="nil"/>
                  </w:tcBorders>
                  <w:vAlign w:val="center"/>
                </w:tcPr>
                <w:p>
                  <w:pPr>
                    <w:spacing w:line="240" w:lineRule="auto"/>
                    <w:jc w:val="center"/>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34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4573" w:type="dxa"/>
                  <w:gridSpan w:val="3"/>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厂界外50m范围内无</w:t>
                  </w:r>
                  <w:r>
                    <w:rPr>
                      <w:rFonts w:hint="default" w:ascii="Times New Roman" w:hAnsi="Times New Roman" w:cs="Times New Roman"/>
                      <w:color w:val="auto"/>
                      <w:szCs w:val="21"/>
                    </w:rPr>
                    <w:t>声</w:t>
                  </w:r>
                  <w:r>
                    <w:rPr>
                      <w:rFonts w:hint="default" w:ascii="Times New Roman" w:hAnsi="Times New Roman" w:cs="Times New Roman"/>
                      <w:bCs/>
                      <w:color w:val="auto"/>
                      <w:szCs w:val="21"/>
                    </w:rPr>
                    <w:t>环境保护目标</w:t>
                  </w:r>
                </w:p>
              </w:tc>
              <w:tc>
                <w:tcPr>
                  <w:tcW w:w="2256"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《声环境质量标准》（GB3096-2008）中的3类标准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49" w:type="dxa"/>
                  <w:vMerge w:val="restart"/>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1230" w:type="dxa"/>
                  <w:tcBorders>
                    <w:bottom w:val="single" w:color="000000" w:sz="4" w:space="0"/>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岱河</w:t>
                  </w:r>
                </w:p>
              </w:tc>
              <w:tc>
                <w:tcPr>
                  <w:tcW w:w="1509" w:type="dxa"/>
                  <w:tcBorders>
                    <w:bottom w:val="single" w:color="000000" w:sz="4" w:space="0"/>
                    <w:tl2br w:val="nil"/>
                    <w:tr2bl w:val="nil"/>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NE</w:t>
                  </w:r>
                  <w:r>
                    <w:rPr>
                      <w:rFonts w:hint="default" w:ascii="Times New Roman" w:hAnsi="Times New Roman" w:cs="Times New Roman"/>
                      <w:color w:val="auto"/>
                      <w:szCs w:val="21"/>
                    </w:rPr>
                    <w:t>约</w:t>
                  </w:r>
                  <w:r>
                    <w:rPr>
                      <w:rFonts w:hint="eastAsia" w:ascii="Times New Roman" w:hAnsi="Times New Roman" w:cs="Times New Roman"/>
                      <w:color w:val="auto"/>
                      <w:szCs w:val="21"/>
                      <w:lang w:val="en-US" w:eastAsia="zh-CN"/>
                    </w:rPr>
                    <w:t>44</w:t>
                  </w:r>
                  <w:r>
                    <w:rPr>
                      <w:rFonts w:hint="default" w:ascii="Times New Roman" w:hAnsi="Times New Roman" w:cs="Times New Roman"/>
                      <w:color w:val="auto"/>
                      <w:szCs w:val="21"/>
                    </w:rPr>
                    <w:t>0 m</w:t>
                  </w:r>
                </w:p>
              </w:tc>
              <w:tc>
                <w:tcPr>
                  <w:tcW w:w="1834" w:type="dxa"/>
                  <w:tcBorders>
                    <w:bottom w:val="single" w:color="000000" w:sz="4" w:space="0"/>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小型河流</w:t>
                  </w:r>
                </w:p>
              </w:tc>
              <w:tc>
                <w:tcPr>
                  <w:tcW w:w="2256" w:type="dxa"/>
                  <w:vMerge w:val="restart"/>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《地表水环境质量标准》(GB3838-2002)中的</w:t>
                  </w:r>
                  <w:r>
                    <w:rPr>
                      <w:rFonts w:hint="default" w:ascii="Times New Roman" w:hAnsi="Times New Roman" w:cs="Times New Roman"/>
                      <w:bCs/>
                      <w:color w:val="auto"/>
                      <w:szCs w:val="21"/>
                    </w:rPr>
                    <w:t>Ⅳ</w:t>
                  </w:r>
                  <w:r>
                    <w:rPr>
                      <w:rFonts w:hint="default" w:ascii="Times New Roman" w:hAnsi="Times New Roman" w:cs="Times New Roman"/>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49" w:type="dxa"/>
                  <w:vMerge w:val="continue"/>
                  <w:tcBorders>
                    <w:tl2br w:val="nil"/>
                    <w:tr2bl w:val="nil"/>
                  </w:tcBorders>
                  <w:vAlign w:val="center"/>
                </w:tcPr>
                <w:p>
                  <w:pPr>
                    <w:spacing w:line="240" w:lineRule="auto"/>
                    <w:jc w:val="center"/>
                    <w:rPr>
                      <w:rFonts w:hint="default" w:ascii="Times New Roman" w:hAnsi="Times New Roman" w:cs="Times New Roman"/>
                      <w:color w:val="auto"/>
                      <w:szCs w:val="21"/>
                    </w:rPr>
                  </w:pPr>
                </w:p>
              </w:tc>
              <w:tc>
                <w:tcPr>
                  <w:tcW w:w="1230" w:type="dxa"/>
                  <w:tcBorders>
                    <w:top w:val="single" w:color="000000" w:sz="4" w:space="0"/>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龙河</w:t>
                  </w:r>
                </w:p>
              </w:tc>
              <w:tc>
                <w:tcPr>
                  <w:tcW w:w="1509" w:type="dxa"/>
                  <w:tcBorders>
                    <w:top w:val="single" w:color="000000" w:sz="4" w:space="0"/>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东约8</w:t>
                  </w:r>
                  <w:r>
                    <w:rPr>
                      <w:rFonts w:hint="eastAsia" w:ascii="Times New Roman" w:hAnsi="Times New Roman" w:cs="Times New Roman"/>
                      <w:color w:val="auto"/>
                      <w:szCs w:val="21"/>
                      <w:lang w:val="en-US" w:eastAsia="zh-CN"/>
                    </w:rPr>
                    <w:t>20</w:t>
                  </w:r>
                  <w:r>
                    <w:rPr>
                      <w:rFonts w:hint="default" w:ascii="Times New Roman" w:hAnsi="Times New Roman" w:cs="Times New Roman"/>
                      <w:color w:val="auto"/>
                      <w:szCs w:val="21"/>
                    </w:rPr>
                    <w:t>0 m</w:t>
                  </w:r>
                </w:p>
              </w:tc>
              <w:tc>
                <w:tcPr>
                  <w:tcW w:w="1834" w:type="dxa"/>
                  <w:tcBorders>
                    <w:top w:val="single" w:color="000000" w:sz="4" w:space="0"/>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小型河流</w:t>
                  </w:r>
                </w:p>
              </w:tc>
              <w:tc>
                <w:tcPr>
                  <w:tcW w:w="2256" w:type="dxa"/>
                  <w:vMerge w:val="continue"/>
                  <w:tcBorders>
                    <w:tl2br w:val="nil"/>
                    <w:tr2bl w:val="nil"/>
                  </w:tcBorders>
                  <w:vAlign w:val="center"/>
                </w:tcPr>
                <w:p>
                  <w:pPr>
                    <w:spacing w:line="24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34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地下水环境</w:t>
                  </w:r>
                </w:p>
              </w:tc>
              <w:tc>
                <w:tcPr>
                  <w:tcW w:w="4573" w:type="dxa"/>
                  <w:gridSpan w:val="3"/>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厂区及下游水体</w:t>
                  </w:r>
                </w:p>
              </w:tc>
              <w:tc>
                <w:tcPr>
                  <w:tcW w:w="2256"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（GB/T14848-2017）Ⅲ类标准</w:t>
                  </w:r>
                </w:p>
              </w:tc>
            </w:tr>
          </w:tbl>
          <w:p>
            <w:pPr>
              <w:spacing w:line="360" w:lineRule="auto"/>
              <w:ind w:firstLine="480" w:firstLineChars="200"/>
              <w:rPr>
                <w:rFonts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1" w:type="dxa"/>
            <w:tcMar>
              <w:left w:w="28" w:type="dxa"/>
              <w:right w:w="28" w:type="dxa"/>
            </w:tcMar>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污染</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物排</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放控</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制标</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469"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rPr>
              <w:t xml:space="preserve">  </w:t>
            </w:r>
            <w:r>
              <w:rPr>
                <w:rFonts w:hint="eastAsia" w:ascii="宋体" w:hAnsi="宋体" w:cs="宋体"/>
                <w:b/>
                <w:bCs/>
                <w:color w:val="auto"/>
                <w:szCs w:val="21"/>
              </w:rPr>
              <w:t xml:space="preserve"> </w:t>
            </w:r>
            <w:r>
              <w:rPr>
                <w:rFonts w:hint="eastAsia" w:ascii="宋体" w:hAnsi="宋体" w:cs="宋体"/>
                <w:b/>
                <w:bCs/>
                <w:color w:val="auto"/>
                <w:sz w:val="24"/>
                <w:szCs w:val="24"/>
              </w:rPr>
              <w:t xml:space="preserve"> 1、废水排放标准 </w:t>
            </w:r>
          </w:p>
          <w:p>
            <w:pPr>
              <w:spacing w:line="360" w:lineRule="auto"/>
              <w:ind w:left="94" w:leftChars="45" w:firstLine="480" w:firstLineChars="200"/>
              <w:rPr>
                <w:rFonts w:hAnsi="宋体" w:cs="宋体"/>
                <w:b/>
                <w:bCs/>
                <w:color w:val="auto"/>
                <w:sz w:val="24"/>
                <w:szCs w:val="24"/>
                <w:lang w:bidi="en-US"/>
              </w:rPr>
            </w:pPr>
            <w:r>
              <w:rPr>
                <w:rFonts w:hint="eastAsia" w:ascii="Times New Roman" w:hAnsi="Times New Roman" w:eastAsia="宋体" w:cs="Times New Roman"/>
                <w:color w:val="auto"/>
                <w:sz w:val="24"/>
                <w:szCs w:val="24"/>
              </w:rPr>
              <w:t>本项目运营期无生产性废水外排，生活污水进入杜集经济开发区污水管网执行《污水综合排放标准》（GB8978-1996）表4中三级标准及龙湖污水处理厂接管标准。</w:t>
            </w:r>
            <w:r>
              <w:rPr>
                <w:rFonts w:hint="eastAsia" w:ascii="宋体" w:hAnsi="宋体" w:cs="宋体"/>
                <w:color w:val="auto"/>
                <w:sz w:val="24"/>
                <w:szCs w:val="24"/>
              </w:rPr>
              <w:t>具体标准见下表。</w:t>
            </w:r>
          </w:p>
          <w:p>
            <w:pPr>
              <w:adjustRightInd w:val="0"/>
              <w:snapToGrid w:val="0"/>
              <w:spacing w:line="240" w:lineRule="auto"/>
              <w:jc w:val="center"/>
              <w:rPr>
                <w:rFonts w:hAnsi="宋体" w:cs="宋体"/>
                <w:b/>
                <w:bCs/>
                <w:color w:val="auto"/>
                <w:sz w:val="21"/>
                <w:szCs w:val="21"/>
                <w:lang w:bidi="en-US"/>
              </w:rPr>
            </w:pPr>
            <w:r>
              <w:rPr>
                <w:rFonts w:hint="eastAsia" w:hAnsi="宋体" w:cs="宋体"/>
                <w:b/>
                <w:bCs/>
                <w:color w:val="auto"/>
                <w:sz w:val="21"/>
                <w:szCs w:val="21"/>
                <w:lang w:bidi="en-US"/>
              </w:rPr>
              <w:t>表3-7  污水排放标准 单位：mg/L，pH无量纲</w:t>
            </w:r>
          </w:p>
          <w:tbl>
            <w:tblPr>
              <w:tblStyle w:val="35"/>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84"/>
              <w:gridCol w:w="1783"/>
              <w:gridCol w:w="152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龙湖污水处理厂接管标准</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（GB8978-1996）表4中三级标准</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本项目执行龙湖污水处理厂接管标准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484"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悬浮物（SS）</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五日生化需氧量（BOD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化学需氧量（COD）</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总磷（TP）</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1"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484" w:type="dxa"/>
                  <w:tcBorders>
                    <w:tl2br w:val="nil"/>
                    <w:tr2bl w:val="nil"/>
                  </w:tcBorders>
                  <w:vAlign w:val="center"/>
                </w:tcPr>
                <w:p>
                  <w:pPr>
                    <w:pStyle w:val="2"/>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总氮（TN）</w:t>
                  </w:r>
                </w:p>
              </w:tc>
              <w:tc>
                <w:tcPr>
                  <w:tcW w:w="1783"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522"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95" w:type="dxa"/>
                  <w:tcBorders>
                    <w:tl2br w:val="nil"/>
                    <w:tr2bl w:val="nil"/>
                  </w:tcBorders>
                  <w:vAlign w:val="center"/>
                </w:tcPr>
                <w:p>
                  <w:pPr>
                    <w:pStyle w:val="2"/>
                    <w:tabs>
                      <w:tab w:val="left" w:pos="840"/>
                      <w:tab w:val="center" w:pos="1553"/>
                    </w:tabs>
                    <w:spacing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r>
          </w:tbl>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2、大气污染物排放标准</w:t>
            </w:r>
          </w:p>
          <w:p>
            <w:pPr>
              <w:spacing w:line="360" w:lineRule="auto"/>
              <w:ind w:left="94" w:leftChars="45"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排放的非甲烷总烃和颗粒物执行《大气污染物综合排放标准》（GB16297-1996）表2中相关限值；厂区内挥发性有机物无组织排放执行《挥发性有机物无组织控制排放标准》（GB37822-2019）附录A中“表A.1中限值-特别排放限值”。</w:t>
            </w:r>
          </w:p>
          <w:p>
            <w:pPr>
              <w:adjustRightInd w:val="0"/>
              <w:snapToGrid w:val="0"/>
              <w:spacing w:line="240" w:lineRule="auto"/>
              <w:jc w:val="center"/>
              <w:rPr>
                <w:rFonts w:hint="default" w:ascii="Times New Roman" w:hAnsi="Times New Roman" w:cs="Times New Roman"/>
                <w:b/>
                <w:bCs/>
                <w:color w:val="auto"/>
                <w:sz w:val="24"/>
                <w:szCs w:val="24"/>
                <w:lang w:bidi="en-US"/>
              </w:rPr>
            </w:pPr>
            <w:r>
              <w:rPr>
                <w:rFonts w:hint="default" w:ascii="Times New Roman" w:hAnsi="Times New Roman" w:cs="Times New Roman"/>
                <w:b/>
                <w:bCs/>
                <w:color w:val="auto"/>
                <w:sz w:val="24"/>
                <w:szCs w:val="24"/>
                <w:lang w:bidi="en-US"/>
              </w:rPr>
              <w:t>表3-</w:t>
            </w:r>
            <w:r>
              <w:rPr>
                <w:rFonts w:hint="eastAsia" w:cs="Times New Roman"/>
                <w:b/>
                <w:bCs/>
                <w:color w:val="auto"/>
                <w:sz w:val="24"/>
                <w:szCs w:val="24"/>
                <w:lang w:val="en-US" w:eastAsia="zh-CN" w:bidi="en-US"/>
              </w:rPr>
              <w:t>8</w:t>
            </w:r>
            <w:r>
              <w:rPr>
                <w:rFonts w:hint="default" w:ascii="Times New Roman" w:hAnsi="Times New Roman" w:cs="Times New Roman"/>
                <w:b/>
                <w:bCs/>
                <w:color w:val="auto"/>
                <w:sz w:val="24"/>
                <w:szCs w:val="24"/>
                <w:lang w:bidi="en-US"/>
              </w:rPr>
              <w:t xml:space="preserve">  大气污染物项目排放限值</w:t>
            </w:r>
          </w:p>
          <w:tbl>
            <w:tblPr>
              <w:tblStyle w:val="34"/>
              <w:tblW w:w="8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57"/>
              <w:gridCol w:w="1670"/>
              <w:gridCol w:w="151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281" w:type="dxa"/>
                  <w:gridSpan w:val="2"/>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167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最高允许排放浓度（mg/Nm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512"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w:t>
                  </w:r>
                </w:p>
              </w:tc>
              <w:tc>
                <w:tcPr>
                  <w:tcW w:w="259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4"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1357" w:type="dxa"/>
                  <w:vAlign w:val="center"/>
                </w:tcPr>
                <w:p>
                  <w:pPr>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其他颗粒物</w:t>
                  </w:r>
                </w:p>
              </w:tc>
              <w:tc>
                <w:tcPr>
                  <w:tcW w:w="167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w:t>
                  </w:r>
                </w:p>
              </w:tc>
              <w:tc>
                <w:tcPr>
                  <w:tcW w:w="1512"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不低于15m</w:t>
                  </w:r>
                </w:p>
              </w:tc>
              <w:tc>
                <w:tcPr>
                  <w:tcW w:w="259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281" w:type="dxa"/>
                  <w:gridSpan w:val="2"/>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167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w:t>
                  </w:r>
                </w:p>
              </w:tc>
              <w:tc>
                <w:tcPr>
                  <w:tcW w:w="1512"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不低于15m</w:t>
                  </w:r>
                </w:p>
              </w:tc>
              <w:tc>
                <w:tcPr>
                  <w:tcW w:w="259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bl>
          <w:p>
            <w:pPr>
              <w:pStyle w:val="2"/>
              <w:rPr>
                <w:rFonts w:hint="default" w:ascii="Times New Roman" w:hAnsi="Times New Roman" w:cs="Times New Roman"/>
                <w:color w:val="auto"/>
              </w:rPr>
            </w:pPr>
          </w:p>
          <w:p>
            <w:pPr>
              <w:adjustRightInd w:val="0"/>
              <w:snapToGrid w:val="0"/>
              <w:jc w:val="center"/>
              <w:rPr>
                <w:rFonts w:hint="default" w:ascii="Times New Roman" w:hAnsi="Times New Roman" w:cs="Times New Roman"/>
                <w:b/>
                <w:bCs/>
                <w:color w:val="auto"/>
                <w:sz w:val="24"/>
                <w:szCs w:val="24"/>
                <w:lang w:bidi="en-US"/>
              </w:rPr>
            </w:pPr>
            <w:r>
              <w:rPr>
                <w:rFonts w:hint="default" w:ascii="Times New Roman" w:hAnsi="Times New Roman" w:cs="Times New Roman"/>
                <w:b/>
                <w:bCs/>
                <w:color w:val="auto"/>
                <w:sz w:val="24"/>
                <w:szCs w:val="24"/>
                <w:lang w:bidi="en-US"/>
              </w:rPr>
              <w:t>表3-</w:t>
            </w:r>
            <w:r>
              <w:rPr>
                <w:rFonts w:hint="eastAsia" w:cs="Times New Roman"/>
                <w:b/>
                <w:bCs/>
                <w:color w:val="auto"/>
                <w:sz w:val="24"/>
                <w:szCs w:val="24"/>
                <w:lang w:val="en-US" w:eastAsia="zh-CN" w:bidi="en-US"/>
              </w:rPr>
              <w:t>9</w:t>
            </w:r>
            <w:r>
              <w:rPr>
                <w:rFonts w:hint="default" w:ascii="Times New Roman" w:hAnsi="Times New Roman" w:cs="Times New Roman"/>
                <w:b/>
                <w:bCs/>
                <w:color w:val="auto"/>
                <w:sz w:val="24"/>
                <w:szCs w:val="24"/>
                <w:lang w:bidi="en-US"/>
              </w:rPr>
              <w:t xml:space="preserve">  厂界大气污染物监控点浓度限值  单位：mg/m</w:t>
            </w:r>
            <w:r>
              <w:rPr>
                <w:rFonts w:hint="default" w:ascii="Times New Roman" w:hAnsi="Times New Roman" w:cs="Times New Roman"/>
                <w:b/>
                <w:bCs/>
                <w:color w:val="auto"/>
                <w:sz w:val="24"/>
                <w:szCs w:val="24"/>
                <w:vertAlign w:val="superscript"/>
                <w:lang w:bidi="en-US"/>
              </w:rPr>
              <w:t>3</w:t>
            </w:r>
          </w:p>
          <w:tbl>
            <w:tblPr>
              <w:tblStyle w:val="35"/>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57"/>
              <w:gridCol w:w="2664"/>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73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121" w:type="dxa"/>
                  <w:gridSpan w:val="2"/>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3202"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无组织排放浓度监控限值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73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57"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2664"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其他颗粒物</w:t>
                  </w:r>
                </w:p>
              </w:tc>
              <w:tc>
                <w:tcPr>
                  <w:tcW w:w="3202"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121" w:type="dxa"/>
                  <w:gridSpan w:val="2"/>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3202"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r>
          </w:tbl>
          <w:p>
            <w:pPr>
              <w:adjustRightInd w:val="0"/>
              <w:snapToGrid w:val="0"/>
              <w:jc w:val="center"/>
              <w:rPr>
                <w:rFonts w:hint="default" w:ascii="Times New Roman" w:hAnsi="Times New Roman" w:cs="Times New Roman"/>
                <w:b/>
                <w:bCs/>
                <w:color w:val="auto"/>
              </w:rPr>
            </w:pPr>
          </w:p>
          <w:p>
            <w:pPr>
              <w:adjustRightInd w:val="0"/>
              <w:snapToGrid w:val="0"/>
              <w:jc w:val="center"/>
              <w:rPr>
                <w:rFonts w:hint="default" w:ascii="Times New Roman" w:hAnsi="Times New Roman" w:cs="Times New Roman"/>
                <w:b/>
                <w:bCs/>
                <w:color w:val="auto"/>
                <w:sz w:val="24"/>
                <w:szCs w:val="24"/>
                <w:lang w:bidi="en-US"/>
              </w:rPr>
            </w:pPr>
            <w:r>
              <w:rPr>
                <w:rFonts w:hint="default" w:ascii="Times New Roman" w:hAnsi="Times New Roman" w:cs="Times New Roman"/>
                <w:b/>
                <w:bCs/>
                <w:color w:val="auto"/>
                <w:sz w:val="24"/>
                <w:szCs w:val="24"/>
              </w:rPr>
              <w:t>表3-</w:t>
            </w:r>
            <w:r>
              <w:rPr>
                <w:rFonts w:hint="eastAsia" w:cs="Times New Roman"/>
                <w:b/>
                <w:bCs/>
                <w:color w:val="auto"/>
                <w:sz w:val="24"/>
                <w:szCs w:val="24"/>
                <w:lang w:val="en-US" w:eastAsia="zh-CN"/>
              </w:rPr>
              <w:t>10</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bidi="en-US"/>
              </w:rPr>
              <w:t>厂区内VOCs无组织</w:t>
            </w:r>
            <w:r>
              <w:rPr>
                <w:rFonts w:hint="default" w:ascii="Times New Roman" w:hAnsi="Times New Roman" w:cs="Times New Roman"/>
                <w:b/>
                <w:bCs/>
                <w:color w:val="auto"/>
                <w:sz w:val="24"/>
                <w:szCs w:val="24"/>
              </w:rPr>
              <w:t>排放</w:t>
            </w:r>
            <w:r>
              <w:rPr>
                <w:rFonts w:hint="default" w:ascii="Times New Roman" w:hAnsi="Times New Roman" w:cs="Times New Roman"/>
                <w:b/>
                <w:bCs/>
                <w:color w:val="auto"/>
                <w:sz w:val="24"/>
                <w:szCs w:val="24"/>
                <w:lang w:bidi="en-US"/>
              </w:rPr>
              <w:t>限值</w:t>
            </w:r>
            <w:r>
              <w:rPr>
                <w:rFonts w:hint="default" w:ascii="Times New Roman" w:hAnsi="Times New Roman" w:cs="Times New Roman"/>
                <w:b/>
                <w:bCs/>
                <w:color w:val="auto"/>
                <w:sz w:val="24"/>
                <w:szCs w:val="24"/>
              </w:rPr>
              <w:t xml:space="preserve">  单位：</w:t>
            </w:r>
            <w:r>
              <w:rPr>
                <w:rFonts w:hint="default" w:ascii="Times New Roman" w:hAnsi="Times New Roman" w:cs="Times New Roman"/>
                <w:b/>
                <w:bCs/>
                <w:color w:val="auto"/>
                <w:sz w:val="24"/>
                <w:szCs w:val="24"/>
                <w:lang w:bidi="en-US"/>
              </w:rPr>
              <w:t>mg/m</w:t>
            </w:r>
            <w:r>
              <w:rPr>
                <w:rFonts w:hint="default" w:ascii="Times New Roman" w:hAnsi="Times New Roman" w:cs="Times New Roman"/>
                <w:b/>
                <w:bCs/>
                <w:color w:val="auto"/>
                <w:sz w:val="24"/>
                <w:szCs w:val="24"/>
                <w:vertAlign w:val="superscript"/>
                <w:lang w:bidi="en-US"/>
              </w:rPr>
              <w:t>3</w:t>
            </w:r>
          </w:p>
          <w:tbl>
            <w:tblPr>
              <w:tblStyle w:val="35"/>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100"/>
              <w:gridCol w:w="1100"/>
              <w:gridCol w:w="28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16"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10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排放限值</w:t>
                  </w:r>
                </w:p>
              </w:tc>
              <w:tc>
                <w:tcPr>
                  <w:tcW w:w="1100" w:type="dxa"/>
                  <w:shd w:val="clear" w:color="auto" w:fill="D7D7D7" w:themeFill="background1" w:themeFillShade="D8"/>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特别排放限值</w:t>
                  </w:r>
                </w:p>
              </w:tc>
              <w:tc>
                <w:tcPr>
                  <w:tcW w:w="285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限值含义</w:t>
                  </w:r>
                </w:p>
              </w:tc>
              <w:tc>
                <w:tcPr>
                  <w:tcW w:w="189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16" w:type="dxa"/>
                  <w:vMerge w:val="restar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110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100" w:type="dxa"/>
                  <w:shd w:val="clear" w:color="auto" w:fill="D7D7D7" w:themeFill="background1" w:themeFillShade="D8"/>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85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监控点处1 h平均浓度值</w:t>
                  </w:r>
                </w:p>
              </w:tc>
              <w:tc>
                <w:tcPr>
                  <w:tcW w:w="1890" w:type="dxa"/>
                  <w:vMerge w:val="restar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16" w:type="dxa"/>
                  <w:vMerge w:val="continue"/>
                  <w:vAlign w:val="center"/>
                </w:tcPr>
                <w:p>
                  <w:pPr>
                    <w:pStyle w:val="49"/>
                    <w:rPr>
                      <w:rFonts w:hint="default" w:ascii="Times New Roman" w:hAnsi="Times New Roman" w:cs="Times New Roman"/>
                      <w:color w:val="auto"/>
                      <w:szCs w:val="21"/>
                    </w:rPr>
                  </w:pPr>
                </w:p>
              </w:tc>
              <w:tc>
                <w:tcPr>
                  <w:tcW w:w="110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1100" w:type="dxa"/>
                  <w:shd w:val="clear" w:color="auto" w:fill="D7D7D7" w:themeFill="background1" w:themeFillShade="D8"/>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850" w:type="dxa"/>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监控点处任意一次浓度值</w:t>
                  </w:r>
                </w:p>
              </w:tc>
              <w:tc>
                <w:tcPr>
                  <w:tcW w:w="1890" w:type="dxa"/>
                  <w:vMerge w:val="continue"/>
                  <w:vAlign w:val="center"/>
                </w:tcPr>
                <w:p>
                  <w:pPr>
                    <w:pStyle w:val="49"/>
                    <w:rPr>
                      <w:rFonts w:hint="default" w:ascii="Times New Roman" w:hAnsi="Times New Roman" w:cs="Times New Roman"/>
                      <w:color w:val="auto"/>
                      <w:szCs w:val="21"/>
                    </w:rPr>
                  </w:pPr>
                </w:p>
              </w:tc>
            </w:tr>
          </w:tbl>
          <w:p>
            <w:pPr>
              <w:pStyle w:val="5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rPr>
              <w:t xml:space="preserve">   </w:t>
            </w:r>
            <w:r>
              <w:rPr>
                <w:rFonts w:hint="default" w:ascii="Times New Roman" w:hAnsi="Times New Roman" w:eastAsia="宋体" w:cs="Times New Roman"/>
                <w:b/>
                <w:bCs/>
                <w:color w:val="auto"/>
                <w:sz w:val="24"/>
                <w:szCs w:val="24"/>
              </w:rPr>
              <w:t xml:space="preserve"> 3、噪声排放标准</w:t>
            </w:r>
          </w:p>
          <w:p>
            <w:pPr>
              <w:spacing w:line="360" w:lineRule="auto"/>
              <w:ind w:left="94" w:leftChars="45"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项目施工期噪声执行《建筑施工场界环境噪声排放标准》（GB12523-2011）中标准限值要求；项目运营期噪声执行《工业企业厂界环境噪声排放标准》（GB12348-2008）中3类标准。</w:t>
            </w:r>
          </w:p>
          <w:p>
            <w:pPr>
              <w:adjustRightInd w:val="0"/>
              <w:snapToGrid w:val="0"/>
              <w:spacing w:line="240" w:lineRule="auto"/>
              <w:jc w:val="center"/>
              <w:rPr>
                <w:rFonts w:hint="eastAsia" w:hAnsi="宋体" w:cs="宋体"/>
                <w:b/>
                <w:bCs/>
                <w:color w:val="auto"/>
                <w:sz w:val="24"/>
                <w:szCs w:val="24"/>
                <w:lang w:bidi="en-US"/>
              </w:rPr>
            </w:pPr>
          </w:p>
          <w:p>
            <w:pPr>
              <w:adjustRightInd w:val="0"/>
              <w:snapToGrid w:val="0"/>
              <w:spacing w:line="240" w:lineRule="auto"/>
              <w:jc w:val="center"/>
              <w:rPr>
                <w:rFonts w:hint="default" w:ascii="Times New Roman" w:hAnsi="Times New Roman" w:cs="Times New Roman"/>
                <w:b/>
                <w:bCs/>
                <w:color w:val="auto"/>
                <w:sz w:val="24"/>
                <w:lang w:bidi="en-US"/>
              </w:rPr>
            </w:pPr>
            <w:r>
              <w:rPr>
                <w:rFonts w:hint="eastAsia" w:hAnsi="宋体" w:cs="宋体"/>
                <w:b/>
                <w:bCs/>
                <w:color w:val="auto"/>
                <w:sz w:val="24"/>
                <w:szCs w:val="24"/>
                <w:lang w:bidi="en-US"/>
              </w:rPr>
              <w:t>表3-</w:t>
            </w:r>
            <w:r>
              <w:rPr>
                <w:rFonts w:hint="default" w:ascii="Times New Roman" w:hAnsi="Times New Roman" w:cs="Times New Roman"/>
                <w:b/>
                <w:bCs/>
                <w:color w:val="auto"/>
                <w:sz w:val="24"/>
                <w:szCs w:val="24"/>
                <w:lang w:bidi="en-US"/>
              </w:rPr>
              <w:t>1</w:t>
            </w:r>
            <w:r>
              <w:rPr>
                <w:rFonts w:hint="eastAsia" w:cs="Times New Roman"/>
                <w:b/>
                <w:bCs/>
                <w:color w:val="auto"/>
                <w:sz w:val="24"/>
                <w:szCs w:val="24"/>
                <w:lang w:val="en-US" w:eastAsia="zh-CN" w:bidi="en-US"/>
              </w:rPr>
              <w:t>1</w:t>
            </w:r>
            <w:r>
              <w:rPr>
                <w:rFonts w:hint="default" w:ascii="Times New Roman" w:hAnsi="Times New Roman" w:cs="Times New Roman"/>
                <w:b/>
                <w:bCs/>
                <w:color w:val="auto"/>
                <w:sz w:val="24"/>
                <w:szCs w:val="24"/>
                <w:lang w:bidi="en-US"/>
              </w:rPr>
              <w:t xml:space="preserve">  建筑施工场界噪声排放限值 单位：dB（A）</w:t>
            </w:r>
          </w:p>
          <w:tbl>
            <w:tblPr>
              <w:tblStyle w:val="34"/>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510"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昼间</w:t>
                  </w:r>
                </w:p>
              </w:tc>
              <w:tc>
                <w:tcPr>
                  <w:tcW w:w="382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10"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3829" w:type="dxa"/>
                  <w:tcBorders>
                    <w:tl2br w:val="nil"/>
                    <w:tr2bl w:val="nil"/>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p>
              </w:tc>
            </w:tr>
          </w:tbl>
          <w:p>
            <w:pPr>
              <w:adjustRightInd w:val="0"/>
              <w:snapToGrid w:val="0"/>
              <w:spacing w:line="240" w:lineRule="auto"/>
              <w:jc w:val="center"/>
              <w:rPr>
                <w:rFonts w:hint="default" w:ascii="Times New Roman" w:hAnsi="Times New Roman" w:cs="Times New Roman"/>
                <w:b/>
                <w:bCs/>
                <w:color w:val="auto"/>
                <w:sz w:val="24"/>
                <w:szCs w:val="24"/>
                <w:lang w:bidi="en-US"/>
              </w:rPr>
            </w:pPr>
          </w:p>
          <w:p>
            <w:pPr>
              <w:adjustRightInd w:val="0"/>
              <w:snapToGrid w:val="0"/>
              <w:spacing w:line="240" w:lineRule="auto"/>
              <w:jc w:val="center"/>
              <w:rPr>
                <w:rFonts w:hint="default" w:ascii="Times New Roman" w:hAnsi="Times New Roman" w:cs="Times New Roman"/>
                <w:color w:val="auto"/>
              </w:rPr>
            </w:pPr>
            <w:r>
              <w:rPr>
                <w:rFonts w:hint="default" w:ascii="Times New Roman" w:hAnsi="Times New Roman" w:cs="Times New Roman"/>
                <w:b/>
                <w:bCs/>
                <w:color w:val="auto"/>
                <w:sz w:val="24"/>
                <w:szCs w:val="24"/>
                <w:lang w:bidi="en-US"/>
              </w:rPr>
              <w:t>表3-1</w:t>
            </w:r>
            <w:r>
              <w:rPr>
                <w:rFonts w:hint="eastAsia" w:cs="Times New Roman"/>
                <w:b/>
                <w:bCs/>
                <w:color w:val="auto"/>
                <w:sz w:val="24"/>
                <w:szCs w:val="24"/>
                <w:lang w:val="en-US" w:eastAsia="zh-CN" w:bidi="en-US"/>
              </w:rPr>
              <w:t>2</w:t>
            </w:r>
            <w:r>
              <w:rPr>
                <w:rFonts w:hint="default" w:ascii="Times New Roman" w:hAnsi="Times New Roman" w:cs="Times New Roman"/>
                <w:b/>
                <w:bCs/>
                <w:color w:val="auto"/>
                <w:sz w:val="24"/>
                <w:szCs w:val="24"/>
                <w:lang w:bidi="en-US"/>
              </w:rPr>
              <w:t xml:space="preserve">  工业企业厂界环境噪声排放限值 单位：dB（A）</w:t>
            </w:r>
          </w:p>
          <w:tbl>
            <w:tblPr>
              <w:tblStyle w:val="34"/>
              <w:tblW w:w="7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214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3278" w:type="dxa"/>
                  <w:tcBorders>
                    <w:tl2br w:val="nil"/>
                    <w:tr2bl w:val="nil"/>
                  </w:tcBorders>
                  <w:vAlign w:val="center"/>
                </w:tcPr>
                <w:p>
                  <w:pPr>
                    <w:spacing w:line="24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声环境功能区类别</w:t>
                  </w:r>
                </w:p>
              </w:tc>
              <w:tc>
                <w:tcPr>
                  <w:tcW w:w="2147" w:type="dxa"/>
                  <w:tcBorders>
                    <w:tl2br w:val="nil"/>
                    <w:tr2bl w:val="nil"/>
                  </w:tcBorders>
                  <w:vAlign w:val="center"/>
                </w:tcPr>
                <w:p>
                  <w:pPr>
                    <w:spacing w:line="24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昼间</w:t>
                  </w:r>
                </w:p>
              </w:tc>
              <w:tc>
                <w:tcPr>
                  <w:tcW w:w="2073" w:type="dxa"/>
                  <w:tcBorders>
                    <w:tl2br w:val="nil"/>
                    <w:tr2bl w:val="nil"/>
                  </w:tcBorders>
                  <w:vAlign w:val="center"/>
                </w:tcPr>
                <w:p>
                  <w:pPr>
                    <w:spacing w:line="24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278" w:type="dxa"/>
                  <w:tcBorders>
                    <w:tl2br w:val="nil"/>
                    <w:tr2bl w:val="nil"/>
                  </w:tcBorders>
                  <w:vAlign w:val="center"/>
                </w:tcPr>
                <w:p>
                  <w:pPr>
                    <w:spacing w:line="24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rPr>
                    <w:t>3</w:t>
                  </w:r>
                  <w:r>
                    <w:rPr>
                      <w:rFonts w:hint="default" w:ascii="Times New Roman" w:hAnsi="Times New Roman" w:cs="Times New Roman"/>
                      <w:color w:val="auto"/>
                      <w:szCs w:val="21"/>
                      <w:lang w:val="zh-CN"/>
                    </w:rPr>
                    <w:t>类</w:t>
                  </w:r>
                </w:p>
              </w:tc>
              <w:tc>
                <w:tcPr>
                  <w:tcW w:w="2147" w:type="dxa"/>
                  <w:tcBorders>
                    <w:tl2br w:val="nil"/>
                    <w:tr2bl w:val="nil"/>
                  </w:tcBorders>
                  <w:vAlign w:val="center"/>
                </w:tcPr>
                <w:p>
                  <w:pPr>
                    <w:spacing w:line="24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6</w:t>
                  </w:r>
                  <w:r>
                    <w:rPr>
                      <w:rFonts w:hint="default" w:ascii="Times New Roman" w:hAnsi="Times New Roman" w:cs="Times New Roman"/>
                      <w:color w:val="auto"/>
                      <w:szCs w:val="21"/>
                    </w:rPr>
                    <w:t>5</w:t>
                  </w:r>
                </w:p>
              </w:tc>
              <w:tc>
                <w:tcPr>
                  <w:tcW w:w="2073" w:type="dxa"/>
                  <w:tcBorders>
                    <w:tl2br w:val="nil"/>
                    <w:tr2bl w:val="nil"/>
                  </w:tcBorders>
                  <w:vAlign w:val="center"/>
                </w:tcPr>
                <w:p>
                  <w:pPr>
                    <w:spacing w:line="24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w:t>
                  </w:r>
                  <w:r>
                    <w:rPr>
                      <w:rFonts w:hint="default" w:ascii="Times New Roman" w:hAnsi="Times New Roman" w:cs="Times New Roman"/>
                      <w:color w:val="auto"/>
                      <w:szCs w:val="21"/>
                    </w:rPr>
                    <w:t>5</w:t>
                  </w:r>
                </w:p>
              </w:tc>
            </w:tr>
          </w:tbl>
          <w:p>
            <w:pPr>
              <w:spacing w:line="360" w:lineRule="auto"/>
              <w:rPr>
                <w:rFonts w:ascii="宋体" w:hAnsi="宋体" w:cs="宋体"/>
                <w:color w:val="auto"/>
                <w:sz w:val="24"/>
                <w:szCs w:val="24"/>
              </w:rPr>
            </w:pPr>
            <w:r>
              <w:rPr>
                <w:rFonts w:hint="eastAsia" w:ascii="宋体" w:hAnsi="宋体" w:cs="宋体"/>
                <w:color w:val="auto"/>
                <w:sz w:val="24"/>
              </w:rPr>
              <w:t xml:space="preserve"> </w:t>
            </w:r>
            <w:r>
              <w:rPr>
                <w:rFonts w:hint="eastAsia" w:ascii="宋体" w:hAnsi="宋体" w:cs="宋体"/>
                <w:b/>
                <w:bCs/>
                <w:color w:val="auto"/>
                <w:sz w:val="24"/>
                <w:szCs w:val="24"/>
              </w:rPr>
              <w:t>4、固废控制标准</w:t>
            </w:r>
          </w:p>
          <w:p>
            <w:pPr>
              <w:adjustRightInd w:val="0"/>
              <w:snapToGrid w:val="0"/>
              <w:spacing w:line="360" w:lineRule="auto"/>
              <w:ind w:firstLine="480" w:firstLineChars="200"/>
              <w:jc w:val="left"/>
              <w:rPr>
                <w:rFonts w:ascii="宋体" w:hAnsi="宋体" w:cs="宋体"/>
                <w:color w:val="auto"/>
                <w:kern w:val="0"/>
                <w:szCs w:val="21"/>
              </w:rPr>
            </w:pPr>
            <w:r>
              <w:rPr>
                <w:rFonts w:hint="eastAsia" w:ascii="Times New Roman" w:hAnsi="Times New Roman" w:eastAsia="宋体" w:cs="Times New Roman"/>
                <w:color w:val="auto"/>
                <w:sz w:val="24"/>
                <w:szCs w:val="24"/>
              </w:rPr>
              <w:t>一般工业固体废物参照执行《一般工业固体废物贮存和填埋污染控制标准》（GB18599-2020）；危险废物按《危险废物贮存污染控制标准》（GB18597-2001）及其2013年修改单要求执行。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521"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控制</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469" w:type="dxa"/>
            <w:vAlign w:val="center"/>
          </w:tcPr>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污染物排放总量控制建议指标：</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（1）废气</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本项目运营期挥发性有机物（VOCs）、颗粒物经各自治理措施处理排放量分别</w:t>
            </w:r>
            <w:r>
              <w:rPr>
                <w:rFonts w:hint="default" w:ascii="Times New Roman" w:hAnsi="Times New Roman" w:cs="Times New Roman"/>
                <w:bCs/>
                <w:color w:val="auto"/>
                <w:sz w:val="24"/>
                <w:szCs w:val="24"/>
              </w:rPr>
              <w:t>为</w:t>
            </w:r>
            <w:r>
              <w:rPr>
                <w:rFonts w:hint="eastAsia" w:cs="Times New Roman"/>
                <w:bCs/>
                <w:color w:val="auto"/>
                <w:sz w:val="24"/>
                <w:szCs w:val="24"/>
                <w:lang w:eastAsia="zh-CN"/>
              </w:rPr>
              <w:t>0.248</w:t>
            </w:r>
            <w:r>
              <w:rPr>
                <w:rFonts w:hint="default" w:ascii="Times New Roman" w:hAnsi="Times New Roman" w:cs="Times New Roman"/>
                <w:bCs/>
                <w:color w:val="auto"/>
                <w:sz w:val="24"/>
                <w:szCs w:val="24"/>
              </w:rPr>
              <w:t>t/a和</w:t>
            </w:r>
            <w:r>
              <w:rPr>
                <w:rFonts w:hint="eastAsia" w:cs="Times New Roman"/>
                <w:bCs/>
                <w:color w:val="auto"/>
                <w:sz w:val="24"/>
                <w:szCs w:val="24"/>
                <w:lang w:val="en-US" w:eastAsia="zh-CN"/>
              </w:rPr>
              <w:t>2.015</w:t>
            </w:r>
            <w:r>
              <w:rPr>
                <w:rFonts w:hint="default" w:ascii="Times New Roman" w:hAnsi="Times New Roman" w:cs="Times New Roman"/>
                <w:bCs/>
                <w:color w:val="auto"/>
                <w:sz w:val="24"/>
                <w:szCs w:val="24"/>
              </w:rPr>
              <w:t>t/a。</w:t>
            </w:r>
            <w:r>
              <w:rPr>
                <w:rFonts w:hint="default" w:ascii="Times New Roman" w:hAnsi="Times New Roman" w:cs="Times New Roman"/>
                <w:color w:val="auto"/>
                <w:sz w:val="24"/>
                <w:szCs w:val="24"/>
              </w:rPr>
              <w:t>总量向淮北市生态环境局进行申请核定。</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（2）废水</w:t>
            </w:r>
          </w:p>
          <w:p>
            <w:pPr>
              <w:adjustRightInd w:val="0"/>
              <w:snapToGrid w:val="0"/>
              <w:spacing w:line="360" w:lineRule="auto"/>
              <w:ind w:firstLine="480" w:firstLineChars="200"/>
              <w:jc w:val="left"/>
              <w:rPr>
                <w:rFonts w:ascii="宋体" w:hAnsi="宋体" w:cs="宋体"/>
                <w:color w:val="auto"/>
                <w:sz w:val="24"/>
              </w:rPr>
            </w:pPr>
            <w:r>
              <w:rPr>
                <w:rFonts w:hint="default" w:ascii="Times New Roman" w:hAnsi="Times New Roman" w:cs="Times New Roman"/>
                <w:color w:val="auto"/>
                <w:sz w:val="24"/>
                <w:szCs w:val="24"/>
              </w:rPr>
              <w:t>本项目COD、NH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-N总量控制指标统一纳入龙湖污水处理厂总量，无需另行申请总量指标。</w:t>
            </w:r>
          </w:p>
        </w:tc>
      </w:tr>
    </w:tbl>
    <w:p>
      <w:pPr>
        <w:rPr>
          <w:color w:val="auto"/>
        </w:rPr>
      </w:pPr>
      <w:r>
        <w:rPr>
          <w:color w:val="auto"/>
        </w:rPr>
        <w:br w:type="page"/>
      </w:r>
    </w:p>
    <w:p>
      <w:pPr>
        <w:pStyle w:val="31"/>
        <w:numPr>
          <w:ilvl w:val="0"/>
          <w:numId w:val="2"/>
        </w:numPr>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主要环境影响和保护措施</w:t>
      </w:r>
    </w:p>
    <w:tbl>
      <w:tblPr>
        <w:tblStyle w:val="3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477" w:type="dxa"/>
            <w:vAlign w:val="center"/>
          </w:tcPr>
          <w:p>
            <w:pPr>
              <w:pStyle w:val="31"/>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施工</w:t>
            </w:r>
          </w:p>
          <w:p>
            <w:pPr>
              <w:pStyle w:val="31"/>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期环</w:t>
            </w:r>
          </w:p>
          <w:p>
            <w:pPr>
              <w:pStyle w:val="31"/>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境保</w:t>
            </w:r>
          </w:p>
          <w:p>
            <w:pPr>
              <w:pStyle w:val="31"/>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护措</w:t>
            </w:r>
          </w:p>
          <w:p>
            <w:pPr>
              <w:adjustRightInd w:val="0"/>
              <w:snapToGrid w:val="0"/>
              <w:jc w:val="center"/>
              <w:rPr>
                <w:rFonts w:ascii="宋体" w:hAnsi="宋体" w:cs="宋体"/>
                <w:color w:val="auto"/>
                <w:kern w:val="0"/>
                <w:szCs w:val="21"/>
              </w:rPr>
            </w:pPr>
            <w:r>
              <w:rPr>
                <w:rFonts w:hint="eastAsia" w:cs="宋体"/>
                <w:color w:val="auto"/>
                <w:szCs w:val="21"/>
              </w:rPr>
              <w:t>施</w:t>
            </w:r>
          </w:p>
        </w:tc>
        <w:tc>
          <w:tcPr>
            <w:tcW w:w="8513" w:type="dxa"/>
            <w:vAlign w:val="center"/>
          </w:tcPr>
          <w:p>
            <w:pPr>
              <w:widowControl/>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本项目施工期主要是新建厂房、办公用房及配套设施等，对环境影响较小。</w:t>
            </w:r>
          </w:p>
          <w:p>
            <w:pPr>
              <w:numPr>
                <w:ilvl w:val="0"/>
                <w:numId w:val="3"/>
              </w:num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施工期扬尘防治措施</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项目施工阶段的大气污染源主要来自施工过程中的风力扬尘、土石方和建筑材料车辆运输所产生的道路扬尘和作业扬尘。</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针对施工期环境空气污染防治制定如下措施：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在施工场所四周设置围挡，围挡高度应在2.5m以上。</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施工场地应定时洒水，以防止浮沉颗粒，在大风日还应适当增加洒水量及洒水次数。</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施工场地内运输通道应及时清扫、冲洗，以减少汽车运输扬尘；运输车辆进入施工场地应限速行驶，以减少产尘量；并对施工现场外围也应该加强管理，采取各种措施，防止在运输途中发生材料洒漏等现象。</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4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④</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避免起尘材料的露天堆放，多尘物料应加盖篷布或库内堆放。</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5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⑤</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建筑材料运输过程中应注意加盖防尘布进行防风抑尘。</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6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⑥</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遇到四级或四级以上大风天气，应停止土方作业，并在作业处覆盖防尘网。</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加强扬尘综合治理。严格施工扬尘监管。建筑施工工地要做到工地周边围挡、物料堆放覆盖、土方开挖湿法作业、路面硬化、出入车辆清洗、渣土车辆密闭运输“六个百分之百”。</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只要合理规划、科学管理，切实按照规定执行，施工活动不会明显影响场地周围的环境空气质量，而且随着施工活动的结束，这些污染也将消失。</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2、施工期废水防治措施</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该项目施工期的废水主要产生于建筑工人的生活污水。</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施工人员产生的生活污水经化粪池预处理后</w:t>
            </w:r>
            <w:r>
              <w:rPr>
                <w:rFonts w:hint="eastAsia" w:cs="Times New Roman"/>
                <w:color w:val="auto"/>
                <w:sz w:val="24"/>
                <w:szCs w:val="24"/>
                <w:lang w:val="en-US" w:eastAsia="zh-CN"/>
              </w:rPr>
              <w:t>用于</w:t>
            </w:r>
            <w:r>
              <w:rPr>
                <w:rFonts w:hint="default" w:ascii="Times New Roman" w:hAnsi="Times New Roman" w:cs="Times New Roman"/>
                <w:color w:val="auto"/>
                <w:sz w:val="24"/>
                <w:szCs w:val="24"/>
              </w:rPr>
              <w:t>建筑施工，建筑施工废水经沉淀澄清后回用。</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3、施工期噪声防治措施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采取以下措施对施工噪声进行防治：</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（1）因施工期噪声不可避免，而对局部施工单位采取隔声降噪措施又不现实，建设单位必须对施工时段作统筹安排，尽量将高噪声作业安排在昼间非敏感时段，同时尽量控制多高噪源同时进行。</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（2）应从规范施工秩序着手，高噪声设备应安排在白天（除中午12：00～14：00）使用，夜间禁止使用高噪声设备（22：00～6：00）。</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（3）尽量引进低噪声设备，并对产生噪声的施工设备加强维护和维修工作，以减少机械故障噪声的产生。</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4、施工期固废防治措施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本项目施工期固体废物主要包括建筑垃圾、施工人员的生活垃圾、开挖和回填的土方。</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施工过程产生的建筑垃圾成份主要是一些建筑废模板、建筑材料下脚料、包装袋、废旧设备以及碎砂石、砖、混凝土等。施工过程中（包括装修阶段）产生的建筑垃圾按照淮北市相关规定，外运处理。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本项目施工人员按20人计，按每人每天排放生活垃圾按0.5kg计算，则生活垃圾每天产生量为10kg，施工期为</w:t>
            </w:r>
            <w:r>
              <w:rPr>
                <w:rFonts w:hint="eastAsia" w:cs="Times New Roman"/>
                <w:color w:val="auto"/>
                <w:sz w:val="24"/>
                <w:szCs w:val="24"/>
                <w:lang w:val="en-US" w:eastAsia="zh-CN"/>
              </w:rPr>
              <w:t>18</w:t>
            </w:r>
            <w:r>
              <w:rPr>
                <w:rFonts w:hint="default" w:ascii="Times New Roman" w:hAnsi="Times New Roman" w:cs="Times New Roman"/>
                <w:color w:val="auto"/>
                <w:sz w:val="24"/>
                <w:szCs w:val="24"/>
              </w:rPr>
              <w:t>个月，整个施工期产生的生活垃圾量约</w:t>
            </w:r>
            <w:r>
              <w:rPr>
                <w:rFonts w:hint="eastAsia" w:cs="Times New Roman"/>
                <w:color w:val="auto"/>
                <w:sz w:val="24"/>
                <w:szCs w:val="24"/>
                <w:lang w:val="en-US" w:eastAsia="zh-CN"/>
              </w:rPr>
              <w:t>5.4</w:t>
            </w:r>
            <w:r>
              <w:rPr>
                <w:rFonts w:hint="default" w:ascii="Times New Roman" w:hAnsi="Times New Roman" w:cs="Times New Roman"/>
                <w:color w:val="auto"/>
                <w:sz w:val="24"/>
                <w:szCs w:val="24"/>
              </w:rPr>
              <w:t>t。生活垃圾集中后，由环卫部门统一处理。</w:t>
            </w:r>
          </w:p>
          <w:p>
            <w:pPr>
              <w:pStyle w:val="14"/>
              <w:spacing w:line="360" w:lineRule="auto"/>
              <w:ind w:firstLine="480" w:firstLineChars="200"/>
              <w:rPr>
                <w:color w:val="auto"/>
              </w:rPr>
            </w:pPr>
            <w:r>
              <w:rPr>
                <w:rFonts w:hint="default" w:ascii="Times New Roman" w:hAnsi="Times New Roman" w:cs="Times New Roman"/>
                <w:color w:val="auto"/>
                <w:kern w:val="2"/>
                <w:sz w:val="24"/>
                <w:szCs w:val="24"/>
              </w:rPr>
              <w:t>本项目建设挖、填方主要产生于基础工程阶段，基本可实现土石方平衡。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477"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pPr>
              <w:pStyle w:val="31"/>
              <w:adjustRightInd w:val="0"/>
              <w:snapToGrid w:val="0"/>
              <w:spacing w:before="0" w:beforeAutospacing="0" w:after="0" w:afterAutospacing="0"/>
              <w:jc w:val="center"/>
              <w:rPr>
                <w:rFonts w:cs="宋体"/>
                <w:color w:val="auto"/>
                <w:kern w:val="2"/>
                <w:sz w:val="21"/>
                <w:szCs w:val="21"/>
              </w:rPr>
            </w:pPr>
            <w:r>
              <w:rPr>
                <w:rFonts w:hint="eastAsia" w:cs="宋体"/>
                <w:bCs/>
                <w:color w:val="auto"/>
                <w:szCs w:val="21"/>
              </w:rPr>
              <w:t>措施</w:t>
            </w:r>
          </w:p>
        </w:tc>
        <w:tc>
          <w:tcPr>
            <w:tcW w:w="8513" w:type="dxa"/>
            <w:vAlign w:val="center"/>
          </w:tcPr>
          <w:p>
            <w:pPr>
              <w:numPr>
                <w:ilvl w:val="0"/>
                <w:numId w:val="4"/>
              </w:numPr>
              <w:spacing w:line="360" w:lineRule="auto"/>
              <w:ind w:firstLine="482" w:firstLineChars="200"/>
              <w:rPr>
                <w:b/>
                <w:bCs/>
                <w:color w:val="auto"/>
                <w:sz w:val="24"/>
                <w:szCs w:val="24"/>
              </w:rPr>
            </w:pPr>
            <w:r>
              <w:rPr>
                <w:rFonts w:hint="eastAsia"/>
                <w:b/>
                <w:bCs/>
                <w:color w:val="auto"/>
                <w:sz w:val="24"/>
                <w:szCs w:val="24"/>
              </w:rPr>
              <w:t>废气</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1.1废气源强</w:t>
            </w:r>
          </w:p>
          <w:p>
            <w:pPr>
              <w:spacing w:line="360" w:lineRule="auto"/>
              <w:ind w:firstLine="480" w:firstLineChars="200"/>
              <w:rPr>
                <w:color w:val="auto"/>
                <w:sz w:val="24"/>
                <w:szCs w:val="24"/>
              </w:rPr>
            </w:pPr>
            <w:r>
              <w:rPr>
                <w:rFonts w:hint="eastAsia" w:ascii="宋体" w:hAnsi="宋体" w:cs="宋体"/>
                <w:color w:val="auto"/>
                <w:sz w:val="24"/>
                <w:szCs w:val="24"/>
              </w:rPr>
              <w:t>项目废气主要为</w:t>
            </w:r>
            <w:r>
              <w:rPr>
                <w:rFonts w:hint="eastAsia"/>
                <w:color w:val="auto"/>
                <w:sz w:val="24"/>
                <w:szCs w:val="24"/>
              </w:rPr>
              <w:t>切割</w:t>
            </w:r>
            <w:r>
              <w:rPr>
                <w:rFonts w:hint="eastAsia" w:ascii="宋体" w:hAnsi="宋体" w:cs="宋体"/>
                <w:color w:val="auto"/>
                <w:sz w:val="24"/>
                <w:szCs w:val="24"/>
              </w:rPr>
              <w:t>下料粉尘、焊接烟尘及喷漆废气。</w:t>
            </w:r>
          </w:p>
          <w:p>
            <w:pPr>
              <w:spacing w:line="360" w:lineRule="auto"/>
              <w:ind w:firstLine="480" w:firstLineChars="200"/>
              <w:rPr>
                <w:color w:val="auto"/>
                <w:sz w:val="24"/>
                <w:szCs w:val="24"/>
                <w:lang w:val="zh-CN"/>
              </w:rPr>
            </w:pPr>
            <w:r>
              <w:rPr>
                <w:rFonts w:hint="eastAsia"/>
                <w:color w:val="auto"/>
                <w:sz w:val="24"/>
                <w:szCs w:val="24"/>
              </w:rPr>
              <w:t>（1）切割</w:t>
            </w:r>
            <w:r>
              <w:rPr>
                <w:rFonts w:hint="eastAsia"/>
                <w:color w:val="auto"/>
                <w:sz w:val="24"/>
                <w:szCs w:val="24"/>
                <w:lang w:val="zh-CN"/>
              </w:rPr>
              <w:t>下料废气</w:t>
            </w:r>
          </w:p>
          <w:p>
            <w:pPr>
              <w:widowControl/>
              <w:spacing w:line="360" w:lineRule="auto"/>
              <w:ind w:firstLine="480" w:firstLineChars="200"/>
              <w:jc w:val="left"/>
              <w:rPr>
                <w:color w:val="auto"/>
                <w:sz w:val="24"/>
                <w:szCs w:val="24"/>
              </w:rPr>
            </w:pPr>
            <w:r>
              <w:rPr>
                <w:rFonts w:hint="eastAsia"/>
                <w:color w:val="auto"/>
                <w:sz w:val="24"/>
                <w:szCs w:val="24"/>
              </w:rPr>
              <w:t>本项目有</w:t>
            </w:r>
            <w:r>
              <w:rPr>
                <w:rFonts w:hint="eastAsia"/>
                <w:color w:val="auto"/>
                <w:sz w:val="24"/>
                <w:szCs w:val="24"/>
                <w:lang w:val="en-US" w:eastAsia="zh-CN"/>
              </w:rPr>
              <w:t>50</w:t>
            </w:r>
            <w:r>
              <w:rPr>
                <w:rFonts w:hint="eastAsia"/>
                <w:color w:val="auto"/>
                <w:sz w:val="24"/>
                <w:szCs w:val="24"/>
              </w:rPr>
              <w:t>00t/a的</w:t>
            </w:r>
            <w:r>
              <w:rPr>
                <w:rFonts w:hint="eastAsia"/>
                <w:color w:val="auto"/>
                <w:sz w:val="24"/>
                <w:szCs w:val="24"/>
                <w:lang w:val="en-US" w:eastAsia="zh-CN"/>
              </w:rPr>
              <w:t>钢板</w:t>
            </w:r>
            <w:r>
              <w:rPr>
                <w:rFonts w:hint="eastAsia"/>
                <w:color w:val="auto"/>
                <w:sz w:val="24"/>
                <w:szCs w:val="24"/>
              </w:rPr>
              <w:t>需采用氧气、乙炔进行切割，根据《排放源统计调查产排污核算方法和系数手册》中《机械行业系数手册》，氧/可燃气切割颗粒物的产生系数为1.5kg/t-原料，则本项目年产生颗粒物量为</w:t>
            </w:r>
            <w:r>
              <w:rPr>
                <w:rFonts w:hint="eastAsia"/>
                <w:color w:val="auto"/>
                <w:sz w:val="24"/>
                <w:szCs w:val="24"/>
                <w:lang w:val="en-US" w:eastAsia="zh-CN"/>
              </w:rPr>
              <w:t>7.5</w:t>
            </w:r>
            <w:r>
              <w:rPr>
                <w:rFonts w:hint="eastAsia"/>
                <w:color w:val="auto"/>
                <w:sz w:val="24"/>
                <w:szCs w:val="24"/>
              </w:rPr>
              <w:t>t/a。</w:t>
            </w:r>
          </w:p>
          <w:p>
            <w:pPr>
              <w:spacing w:line="360" w:lineRule="auto"/>
              <w:ind w:firstLine="480" w:firstLineChars="200"/>
              <w:rPr>
                <w:rFonts w:hint="eastAsia"/>
                <w:color w:val="auto"/>
                <w:sz w:val="24"/>
                <w:szCs w:val="24"/>
              </w:rPr>
            </w:pPr>
            <w:r>
              <w:rPr>
                <w:rFonts w:hint="eastAsia"/>
                <w:color w:val="auto"/>
                <w:sz w:val="24"/>
                <w:szCs w:val="24"/>
              </w:rPr>
              <w:t>本项目有</w:t>
            </w:r>
            <w:r>
              <w:rPr>
                <w:rFonts w:hint="eastAsia"/>
                <w:color w:val="auto"/>
                <w:sz w:val="24"/>
                <w:szCs w:val="24"/>
                <w:lang w:val="en-US" w:eastAsia="zh-CN"/>
              </w:rPr>
              <w:t>5</w:t>
            </w:r>
            <w:r>
              <w:rPr>
                <w:rFonts w:hint="eastAsia"/>
                <w:color w:val="auto"/>
                <w:sz w:val="24"/>
                <w:szCs w:val="24"/>
              </w:rPr>
              <w:t>000t/a的</w:t>
            </w:r>
            <w:r>
              <w:rPr>
                <w:rFonts w:hint="eastAsia"/>
                <w:color w:val="auto"/>
                <w:sz w:val="24"/>
                <w:szCs w:val="24"/>
                <w:lang w:val="en-US" w:eastAsia="zh-CN"/>
              </w:rPr>
              <w:t>钢管和型钢等</w:t>
            </w:r>
            <w:r>
              <w:rPr>
                <w:rFonts w:hint="eastAsia"/>
                <w:color w:val="auto"/>
                <w:sz w:val="24"/>
                <w:szCs w:val="24"/>
              </w:rPr>
              <w:t>钢材采用等离子切割，等离子切割颗粒物的产生系数为1.10kg/t-原料，则颗粒物产生量为</w:t>
            </w:r>
            <w:r>
              <w:rPr>
                <w:rFonts w:hint="eastAsia"/>
                <w:color w:val="auto"/>
                <w:sz w:val="24"/>
                <w:szCs w:val="24"/>
                <w:lang w:val="en-US" w:eastAsia="zh-CN"/>
              </w:rPr>
              <w:t>5.5</w:t>
            </w:r>
            <w:r>
              <w:rPr>
                <w:rFonts w:hint="eastAsia"/>
                <w:color w:val="auto"/>
                <w:sz w:val="24"/>
                <w:szCs w:val="24"/>
              </w:rPr>
              <w:t>t/a。</w:t>
            </w:r>
          </w:p>
          <w:p>
            <w:pPr>
              <w:spacing w:line="360" w:lineRule="auto"/>
              <w:ind w:firstLine="480" w:firstLineChars="200"/>
              <w:rPr>
                <w:rFonts w:hint="eastAsia"/>
                <w:color w:val="auto"/>
                <w:sz w:val="24"/>
                <w:szCs w:val="24"/>
              </w:rPr>
            </w:pPr>
            <w:r>
              <w:rPr>
                <w:rFonts w:hint="eastAsia"/>
                <w:color w:val="auto"/>
                <w:sz w:val="24"/>
                <w:szCs w:val="24"/>
              </w:rPr>
              <w:t>项目拟采取在切割机</w:t>
            </w:r>
            <w:r>
              <w:rPr>
                <w:rFonts w:hint="eastAsia"/>
                <w:color w:val="auto"/>
                <w:sz w:val="24"/>
                <w:szCs w:val="24"/>
                <w:lang w:val="en-US" w:eastAsia="zh-CN"/>
              </w:rPr>
              <w:t>侧边及下方</w:t>
            </w:r>
            <w:r>
              <w:rPr>
                <w:rFonts w:hint="eastAsia"/>
                <w:color w:val="auto"/>
                <w:sz w:val="24"/>
                <w:szCs w:val="24"/>
              </w:rPr>
              <w:t>安装集气系统，收集效率为90%，收集之后经布袋除尘器处理经不低于15m高排气筒（DA001）有组织排放，处理效率按95%计，风机风量为3000m</w:t>
            </w:r>
            <w:r>
              <w:rPr>
                <w:rFonts w:hint="eastAsia"/>
                <w:color w:val="auto"/>
                <w:sz w:val="24"/>
                <w:szCs w:val="24"/>
                <w:vertAlign w:val="superscript"/>
              </w:rPr>
              <w:t>3</w:t>
            </w:r>
            <w:r>
              <w:rPr>
                <w:rFonts w:hint="eastAsia"/>
                <w:color w:val="auto"/>
                <w:sz w:val="24"/>
                <w:szCs w:val="24"/>
              </w:rPr>
              <w:t>/h，年生产2400h</w:t>
            </w:r>
            <w:r>
              <w:rPr>
                <w:rFonts w:hint="eastAsia"/>
                <w:color w:val="auto"/>
                <w:sz w:val="24"/>
                <w:szCs w:val="24"/>
                <w:lang w:eastAsia="zh-CN"/>
              </w:rPr>
              <w:t>。</w:t>
            </w:r>
            <w:r>
              <w:rPr>
                <w:rFonts w:hint="eastAsia"/>
                <w:color w:val="auto"/>
                <w:sz w:val="24"/>
                <w:szCs w:val="24"/>
              </w:rPr>
              <w:t>有组织废气产生量为</w:t>
            </w:r>
            <w:r>
              <w:rPr>
                <w:rFonts w:hint="eastAsia"/>
                <w:color w:val="auto"/>
                <w:sz w:val="24"/>
                <w:szCs w:val="24"/>
                <w:lang w:val="en-US" w:eastAsia="zh-CN"/>
              </w:rPr>
              <w:t>13</w:t>
            </w:r>
            <w:r>
              <w:rPr>
                <w:rFonts w:hint="eastAsia"/>
                <w:color w:val="auto"/>
                <w:sz w:val="24"/>
                <w:szCs w:val="24"/>
              </w:rPr>
              <w:t>t/a</w:t>
            </w:r>
            <w:r>
              <w:rPr>
                <w:rFonts w:hint="eastAsia"/>
                <w:color w:val="auto"/>
                <w:sz w:val="24"/>
                <w:szCs w:val="24"/>
                <w:lang w:eastAsia="zh-CN"/>
              </w:rPr>
              <w:t>，</w:t>
            </w:r>
            <w:r>
              <w:rPr>
                <w:rFonts w:hint="eastAsia"/>
                <w:color w:val="auto"/>
                <w:sz w:val="24"/>
                <w:szCs w:val="24"/>
                <w:lang w:val="en-US" w:eastAsia="zh-CN"/>
              </w:rPr>
              <w:t>集气系统收集量为11.7</w:t>
            </w:r>
            <w:r>
              <w:rPr>
                <w:rFonts w:hint="eastAsia"/>
                <w:color w:val="auto"/>
                <w:sz w:val="24"/>
                <w:szCs w:val="24"/>
              </w:rPr>
              <w:t>t/a</w:t>
            </w:r>
            <w:r>
              <w:rPr>
                <w:rFonts w:hint="eastAsia"/>
                <w:color w:val="auto"/>
                <w:sz w:val="24"/>
                <w:szCs w:val="24"/>
                <w:lang w:val="en-US" w:eastAsia="zh-CN"/>
              </w:rPr>
              <w:t>，</w:t>
            </w:r>
            <w:r>
              <w:rPr>
                <w:rFonts w:hint="eastAsia"/>
                <w:color w:val="auto"/>
                <w:sz w:val="24"/>
                <w:szCs w:val="24"/>
              </w:rPr>
              <w:t>有组织废气排放量为</w:t>
            </w:r>
            <w:r>
              <w:rPr>
                <w:rFonts w:hint="eastAsia"/>
                <w:color w:val="auto"/>
                <w:sz w:val="24"/>
                <w:szCs w:val="24"/>
                <w:lang w:val="en-US" w:eastAsia="zh-CN"/>
              </w:rPr>
              <w:t>0.585</w:t>
            </w:r>
            <w:r>
              <w:rPr>
                <w:rFonts w:hint="eastAsia"/>
                <w:color w:val="auto"/>
                <w:sz w:val="24"/>
                <w:szCs w:val="24"/>
              </w:rPr>
              <w:t>t/a，排放速率为0</w:t>
            </w:r>
            <w:r>
              <w:rPr>
                <w:rFonts w:hint="eastAsia"/>
                <w:color w:val="auto"/>
                <w:sz w:val="24"/>
                <w:szCs w:val="24"/>
                <w:lang w:val="en-US" w:eastAsia="zh-CN"/>
              </w:rPr>
              <w:t>.244</w:t>
            </w:r>
            <w:r>
              <w:rPr>
                <w:rFonts w:hint="eastAsia"/>
                <w:color w:val="auto"/>
                <w:sz w:val="24"/>
                <w:szCs w:val="24"/>
              </w:rPr>
              <w:t>kg/h，排放浓度为</w:t>
            </w:r>
            <w:r>
              <w:rPr>
                <w:rFonts w:hint="eastAsia"/>
                <w:color w:val="auto"/>
                <w:sz w:val="24"/>
                <w:szCs w:val="24"/>
                <w:lang w:val="en-US" w:eastAsia="zh-CN"/>
              </w:rPr>
              <w:t>81.25</w:t>
            </w:r>
            <w:r>
              <w:rPr>
                <w:rFonts w:hint="eastAsia"/>
                <w:color w:val="auto"/>
                <w:sz w:val="24"/>
                <w:szCs w:val="24"/>
              </w:rPr>
              <w:t>mg/m</w:t>
            </w:r>
            <w:r>
              <w:rPr>
                <w:rFonts w:hint="eastAsia"/>
                <w:color w:val="auto"/>
                <w:sz w:val="24"/>
                <w:szCs w:val="24"/>
                <w:vertAlign w:val="superscript"/>
              </w:rPr>
              <w:t>3</w:t>
            </w:r>
            <w:r>
              <w:rPr>
                <w:rFonts w:hint="eastAsia"/>
                <w:color w:val="auto"/>
                <w:sz w:val="24"/>
                <w:szCs w:val="24"/>
              </w:rPr>
              <w:t>。可以满足《大气污染物综合排放标准》</w:t>
            </w:r>
            <w:r>
              <w:rPr>
                <w:color w:val="auto"/>
                <w:sz w:val="24"/>
                <w:szCs w:val="24"/>
              </w:rPr>
              <w:t>（</w:t>
            </w:r>
            <w:r>
              <w:rPr>
                <w:rFonts w:hint="eastAsia"/>
                <w:color w:val="auto"/>
                <w:sz w:val="24"/>
                <w:szCs w:val="24"/>
              </w:rPr>
              <w:t>GB16297-1996</w:t>
            </w:r>
            <w:r>
              <w:rPr>
                <w:color w:val="auto"/>
                <w:sz w:val="24"/>
                <w:szCs w:val="24"/>
              </w:rPr>
              <w:t>）</w:t>
            </w:r>
            <w:r>
              <w:rPr>
                <w:rFonts w:hint="eastAsia"/>
                <w:color w:val="auto"/>
                <w:sz w:val="24"/>
                <w:szCs w:val="24"/>
              </w:rPr>
              <w:t>有组织废气排放要求（排放速率3.5kg/h；排放浓度，120mg/m</w:t>
            </w:r>
            <w:r>
              <w:rPr>
                <w:rFonts w:hint="eastAsia"/>
                <w:color w:val="auto"/>
                <w:sz w:val="24"/>
                <w:szCs w:val="24"/>
                <w:vertAlign w:val="superscript"/>
              </w:rPr>
              <w:t>3</w:t>
            </w:r>
            <w:r>
              <w:rPr>
                <w:rFonts w:hint="eastAsia"/>
                <w:color w:val="auto"/>
                <w:sz w:val="24"/>
                <w:szCs w:val="24"/>
              </w:rPr>
              <w:t>）；无组织废气产生量为</w:t>
            </w:r>
            <w:r>
              <w:rPr>
                <w:rFonts w:hint="eastAsia"/>
                <w:color w:val="auto"/>
                <w:sz w:val="24"/>
                <w:szCs w:val="24"/>
                <w:lang w:val="en-US" w:eastAsia="zh-CN"/>
              </w:rPr>
              <w:t>1.3</w:t>
            </w:r>
            <w:r>
              <w:rPr>
                <w:rFonts w:hint="eastAsia"/>
                <w:color w:val="auto"/>
                <w:sz w:val="24"/>
                <w:szCs w:val="24"/>
              </w:rPr>
              <w:t>t/a，产生速率为0.</w:t>
            </w:r>
            <w:r>
              <w:rPr>
                <w:rFonts w:hint="eastAsia"/>
                <w:color w:val="auto"/>
                <w:sz w:val="24"/>
                <w:szCs w:val="24"/>
                <w:lang w:val="en-US" w:eastAsia="zh-CN"/>
              </w:rPr>
              <w:t>542</w:t>
            </w:r>
            <w:r>
              <w:rPr>
                <w:rFonts w:hint="eastAsia"/>
                <w:color w:val="auto"/>
                <w:sz w:val="24"/>
                <w:szCs w:val="24"/>
              </w:rPr>
              <w:t>kg/h，生产时厂房密闭，可削减50%，则无组织废气排放量为</w:t>
            </w:r>
            <w:r>
              <w:rPr>
                <w:rFonts w:hint="eastAsia"/>
                <w:color w:val="auto"/>
                <w:sz w:val="24"/>
                <w:szCs w:val="24"/>
                <w:lang w:val="en-US" w:eastAsia="zh-CN"/>
              </w:rPr>
              <w:t>0.65</w:t>
            </w:r>
            <w:r>
              <w:rPr>
                <w:rFonts w:hint="eastAsia"/>
                <w:color w:val="auto"/>
                <w:sz w:val="24"/>
                <w:szCs w:val="24"/>
              </w:rPr>
              <w:t>t/a，无组织废气排放速率为0.</w:t>
            </w:r>
            <w:r>
              <w:rPr>
                <w:rFonts w:hint="eastAsia"/>
                <w:color w:val="auto"/>
                <w:sz w:val="24"/>
                <w:szCs w:val="24"/>
                <w:lang w:val="en-US" w:eastAsia="zh-CN"/>
              </w:rPr>
              <w:t>271</w:t>
            </w:r>
            <w:r>
              <w:rPr>
                <w:rFonts w:hint="eastAsia"/>
                <w:color w:val="auto"/>
                <w:sz w:val="24"/>
                <w:szCs w:val="24"/>
              </w:rPr>
              <w:t>kg/h。</w:t>
            </w:r>
          </w:p>
          <w:p>
            <w:pPr>
              <w:spacing w:line="360" w:lineRule="auto"/>
              <w:ind w:firstLine="480" w:firstLineChars="200"/>
              <w:rPr>
                <w:color w:val="auto"/>
                <w:sz w:val="24"/>
                <w:szCs w:val="24"/>
              </w:rPr>
            </w:pPr>
            <w:r>
              <w:rPr>
                <w:color w:val="auto"/>
                <w:sz w:val="24"/>
                <w:szCs w:val="24"/>
              </w:rPr>
              <w:t>查阅《环境工程手册 废气卷》可知，</w:t>
            </w:r>
            <w:r>
              <w:rPr>
                <w:rFonts w:hint="eastAsia"/>
                <w:color w:val="auto"/>
                <w:sz w:val="24"/>
                <w:szCs w:val="24"/>
              </w:rPr>
              <w:t>边角料</w:t>
            </w:r>
            <w:r>
              <w:rPr>
                <w:color w:val="auto"/>
                <w:sz w:val="24"/>
                <w:szCs w:val="24"/>
              </w:rPr>
              <w:t>的产生量约为原料耗量的</w:t>
            </w:r>
            <w:r>
              <w:rPr>
                <w:rFonts w:hint="eastAsia"/>
                <w:color w:val="auto"/>
                <w:sz w:val="24"/>
                <w:szCs w:val="24"/>
              </w:rPr>
              <w:t>1</w:t>
            </w:r>
            <w:r>
              <w:rPr>
                <w:color w:val="auto"/>
                <w:sz w:val="24"/>
                <w:szCs w:val="24"/>
              </w:rPr>
              <w:t>%，本项目</w:t>
            </w:r>
            <w:r>
              <w:rPr>
                <w:rFonts w:hint="eastAsia"/>
                <w:color w:val="auto"/>
                <w:sz w:val="24"/>
                <w:szCs w:val="24"/>
              </w:rPr>
              <w:t>切割边角料</w:t>
            </w:r>
            <w:r>
              <w:rPr>
                <w:color w:val="auto"/>
                <w:sz w:val="24"/>
                <w:szCs w:val="24"/>
              </w:rPr>
              <w:t>的产生量约</w:t>
            </w:r>
            <w:r>
              <w:rPr>
                <w:rFonts w:hint="eastAsia"/>
                <w:color w:val="auto"/>
                <w:sz w:val="24"/>
                <w:szCs w:val="24"/>
                <w:lang w:val="en-US" w:eastAsia="zh-CN"/>
              </w:rPr>
              <w:t>100</w:t>
            </w:r>
            <w:r>
              <w:rPr>
                <w:color w:val="auto"/>
                <w:sz w:val="24"/>
                <w:szCs w:val="24"/>
              </w:rPr>
              <w:t>t/a</w:t>
            </w:r>
            <w:r>
              <w:rPr>
                <w:rFonts w:hint="eastAsia"/>
                <w:color w:val="auto"/>
                <w:sz w:val="24"/>
                <w:szCs w:val="24"/>
              </w:rPr>
              <w:t>，</w:t>
            </w:r>
            <w:r>
              <w:rPr>
                <w:rFonts w:hint="eastAsia"/>
                <w:color w:val="auto"/>
                <w:sz w:val="24"/>
                <w:szCs w:val="24"/>
                <w:lang w:val="en-US" w:eastAsia="zh-CN"/>
              </w:rPr>
              <w:t>下料</w:t>
            </w:r>
            <w:r>
              <w:rPr>
                <w:color w:val="auto"/>
                <w:sz w:val="24"/>
                <w:szCs w:val="24"/>
              </w:rPr>
              <w:t>车间打扫收集到的粉尘</w:t>
            </w:r>
            <w:r>
              <w:rPr>
                <w:rFonts w:hint="eastAsia"/>
                <w:color w:val="auto"/>
                <w:sz w:val="24"/>
                <w:szCs w:val="24"/>
              </w:rPr>
              <w:t>合计</w:t>
            </w:r>
            <w:r>
              <w:rPr>
                <w:rFonts w:hint="eastAsia"/>
                <w:color w:val="auto"/>
                <w:sz w:val="24"/>
                <w:szCs w:val="24"/>
                <w:lang w:val="en-US" w:eastAsia="zh-CN"/>
              </w:rPr>
              <w:t>0.65</w:t>
            </w:r>
            <w:r>
              <w:rPr>
                <w:color w:val="auto"/>
                <w:sz w:val="24"/>
                <w:szCs w:val="24"/>
              </w:rPr>
              <w:t>t/a</w:t>
            </w:r>
            <w:r>
              <w:rPr>
                <w:rFonts w:hint="eastAsia"/>
                <w:color w:val="auto"/>
                <w:sz w:val="24"/>
                <w:szCs w:val="24"/>
                <w:lang w:eastAsia="zh-CN"/>
              </w:rPr>
              <w:t>，</w:t>
            </w:r>
            <w:r>
              <w:rPr>
                <w:rFonts w:hint="eastAsia"/>
                <w:color w:val="auto"/>
                <w:sz w:val="24"/>
                <w:szCs w:val="24"/>
                <w:lang w:val="en-US" w:eastAsia="zh-CN"/>
              </w:rPr>
              <w:t>除尘器收集到的金属粉尘</w:t>
            </w:r>
            <w:r>
              <w:rPr>
                <w:color w:val="auto"/>
                <w:sz w:val="24"/>
                <w:szCs w:val="24"/>
              </w:rPr>
              <w:t>约</w:t>
            </w:r>
            <w:r>
              <w:rPr>
                <w:rFonts w:hint="eastAsia"/>
                <w:color w:val="auto"/>
                <w:sz w:val="24"/>
                <w:szCs w:val="24"/>
                <w:lang w:val="en-US" w:eastAsia="zh-CN"/>
              </w:rPr>
              <w:t>11.115</w:t>
            </w:r>
            <w:r>
              <w:rPr>
                <w:color w:val="auto"/>
                <w:sz w:val="24"/>
                <w:szCs w:val="24"/>
              </w:rPr>
              <w:t>t/a</w:t>
            </w:r>
            <w:r>
              <w:rPr>
                <w:rFonts w:hint="eastAsia"/>
                <w:color w:val="auto"/>
                <w:sz w:val="24"/>
                <w:szCs w:val="24"/>
                <w:lang w:val="en-US" w:eastAsia="zh-CN"/>
              </w:rPr>
              <w:t>，无组织排放量为0.65</w:t>
            </w:r>
            <w:r>
              <w:rPr>
                <w:rFonts w:hint="eastAsia"/>
                <w:color w:val="auto"/>
                <w:sz w:val="24"/>
                <w:szCs w:val="24"/>
              </w:rPr>
              <w:t>t/a。</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（2）焊接烟尘</w:t>
            </w:r>
          </w:p>
          <w:p>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焊接烟尘是由金属及非金属物质在过热条件下产生的蒸气经氧化和冷凝而形成的，焊接过程中会形成由气体和固体微粒组成的焊接烟气，查阅《排放源统计调查产排污核算方法和系数手册》中《机械行业系数手册》，焊条产尘系数取20.2千克/吨原料、实芯焊丝产尘系数取9.19千克/吨原料。焊条年用量为50t/a，年焊接时间1800h，则项目焊条焊接烟尘产生量为1.01t/a；焊丝年用量为30t/a，年焊接时间1800h，则项目焊接烟尘产生量为0.2</w:t>
            </w:r>
            <w:r>
              <w:rPr>
                <w:rFonts w:hint="default" w:ascii="Times New Roman" w:hAnsi="Times New Roman" w:cs="Times New Roman"/>
                <w:color w:val="auto"/>
                <w:sz w:val="24"/>
                <w:szCs w:val="24"/>
                <w:lang w:val="en-US" w:eastAsia="zh-CN"/>
              </w:rPr>
              <w:t>78</w:t>
            </w:r>
            <w:r>
              <w:rPr>
                <w:rFonts w:hint="default" w:ascii="Times New Roman" w:hAnsi="Times New Roman" w:cs="Times New Roman"/>
                <w:color w:val="auto"/>
                <w:sz w:val="24"/>
                <w:szCs w:val="24"/>
              </w:rPr>
              <w:t>t/a。焊条与焊丝合计焊接烟尘产生量为1.2</w:t>
            </w:r>
            <w:r>
              <w:rPr>
                <w:rFonts w:hint="default" w:ascii="Times New Roman" w:hAnsi="Times New Roman" w:cs="Times New Roman"/>
                <w:color w:val="auto"/>
                <w:sz w:val="24"/>
                <w:szCs w:val="24"/>
                <w:lang w:val="en-US" w:eastAsia="zh-CN"/>
              </w:rPr>
              <w:t>88</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w:t>
            </w:r>
          </w:p>
          <w:p>
            <w:pPr>
              <w:pStyle w:val="63"/>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各焊接工位上方安装集气系统、焊接工段上方设置集气主管道，集气系统通过支管连通主管，主管终端连通布袋除尘器，布袋除尘器通过管道连通不低于15m高排气筒（DA002）。焊接烟尘通过集气系统收集后进入布袋除尘器进行处理，风机风量</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000m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/h，烟尘收集效率90%，烟尘收集量</w:t>
            </w:r>
            <w:r>
              <w:rPr>
                <w:rFonts w:hint="eastAsia" w:ascii="Times New Roman" w:hAnsi="Times New Roman" w:cs="Times New Roman"/>
                <w:color w:val="auto"/>
                <w:sz w:val="24"/>
                <w:szCs w:val="24"/>
                <w:lang w:val="en-US" w:eastAsia="zh-CN"/>
              </w:rPr>
              <w:t>1.159</w:t>
            </w:r>
            <w:r>
              <w:rPr>
                <w:rFonts w:hint="default" w:ascii="Times New Roman" w:hAnsi="Times New Roman" w:cs="Times New Roman"/>
                <w:color w:val="auto"/>
                <w:sz w:val="24"/>
                <w:szCs w:val="24"/>
              </w:rPr>
              <w:t>t/a，布袋除尘器处理效率按95%计，排放量0.058t/a，布袋除尘器内焊接烟尘收集量为</w:t>
            </w:r>
            <w:r>
              <w:rPr>
                <w:rFonts w:hint="eastAsia" w:ascii="Times New Roman" w:hAnsi="Times New Roman" w:cs="Times New Roman"/>
                <w:color w:val="auto"/>
                <w:sz w:val="24"/>
                <w:szCs w:val="24"/>
                <w:lang w:val="en-US" w:eastAsia="zh-CN"/>
              </w:rPr>
              <w:t>1.101</w:t>
            </w:r>
            <w:r>
              <w:rPr>
                <w:rFonts w:hint="default" w:ascii="Times New Roman" w:hAnsi="Times New Roman" w:cs="Times New Roman"/>
                <w:color w:val="auto"/>
                <w:sz w:val="24"/>
                <w:szCs w:val="24"/>
              </w:rPr>
              <w:t>t/a。则未被收集的烟尘无组织排放量为0.1</w:t>
            </w:r>
            <w:r>
              <w:rPr>
                <w:rFonts w:hint="eastAsia" w:ascii="Times New Roman" w:hAnsi="Times New Roman" w:cs="Times New Roman"/>
                <w:color w:val="auto"/>
                <w:sz w:val="24"/>
                <w:szCs w:val="24"/>
                <w:lang w:val="en-US" w:eastAsia="zh-CN"/>
              </w:rPr>
              <w:t>29</w:t>
            </w:r>
            <w:r>
              <w:rPr>
                <w:rFonts w:hint="default" w:ascii="Times New Roman" w:hAnsi="Times New Roman" w:cs="Times New Roman"/>
                <w:color w:val="auto"/>
                <w:sz w:val="24"/>
                <w:szCs w:val="24"/>
              </w:rPr>
              <w:t>t/a。</w:t>
            </w:r>
          </w:p>
          <w:p>
            <w:pPr>
              <w:pStyle w:val="63"/>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粉尘</w:t>
            </w:r>
          </w:p>
          <w:p>
            <w:pPr>
              <w:pStyle w:val="63"/>
              <w:ind w:firstLine="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除锈过程中会产生粉尘，该粉尘粒径较小，难以沉降。根据《排放源统计调查产排污核算方法和系数手册》中《机械行业系数手册》，</w:t>
            </w:r>
            <w:r>
              <w:rPr>
                <w:rFonts w:hint="eastAsia" w:ascii="Times New Roman" w:hAnsi="Times New Roman" w:cs="Times New Roman"/>
                <w:color w:val="auto"/>
                <w:sz w:val="24"/>
                <w:szCs w:val="24"/>
                <w:lang w:val="en-US" w:eastAsia="zh-CN"/>
              </w:rPr>
              <w:t>抛丸</w:t>
            </w:r>
            <w:r>
              <w:rPr>
                <w:rFonts w:hint="default" w:ascii="Times New Roman" w:hAnsi="Times New Roman" w:cs="Times New Roman"/>
                <w:color w:val="auto"/>
                <w:sz w:val="24"/>
                <w:szCs w:val="24"/>
              </w:rPr>
              <w:t>产尘系数取2.19千克/吨原料计算，本项目除锈过程中处理的钢材量</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原料的90%</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约为</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000t/a，则本项目</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粉尘产生量为</w:t>
            </w:r>
            <w:r>
              <w:rPr>
                <w:rFonts w:hint="default" w:ascii="Times New Roman" w:hAnsi="Times New Roman" w:cs="Times New Roman"/>
                <w:color w:val="auto"/>
                <w:sz w:val="24"/>
                <w:szCs w:val="24"/>
                <w:lang w:val="en-US" w:eastAsia="zh-CN"/>
              </w:rPr>
              <w:t>19.71</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产生的粉尘主要成分是氧化皮，</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工序年工作时间为1200小时，该工段引风机风量为</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000m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设置封闭的</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房，通过管道、风机将封闭的</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房的</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废气连通布袋除尘器，布袋除尘器管道连接不低于15m排气筒（</w:t>
            </w:r>
            <w:r>
              <w:rPr>
                <w:rFonts w:hint="default" w:ascii="Times New Roman" w:hAnsi="Times New Roman" w:cs="Times New Roman"/>
                <w:color w:val="auto"/>
                <w:sz w:val="24"/>
                <w:szCs w:val="24"/>
                <w:lang w:eastAsia="zh-CN"/>
              </w:rPr>
              <w:t>DA001</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粉尘通过封闭的</w:t>
            </w:r>
            <w:r>
              <w:rPr>
                <w:rFonts w:hint="eastAsia" w:ascii="Times New Roman" w:hAnsi="Times New Roman" w:cs="Times New Roman"/>
                <w:color w:val="auto"/>
                <w:sz w:val="24"/>
                <w:szCs w:val="24"/>
                <w:lang w:eastAsia="zh-CN"/>
              </w:rPr>
              <w:t>抛丸</w:t>
            </w:r>
            <w:r>
              <w:rPr>
                <w:rFonts w:hint="default" w:ascii="Times New Roman" w:hAnsi="Times New Roman" w:cs="Times New Roman"/>
                <w:color w:val="auto"/>
                <w:sz w:val="24"/>
                <w:szCs w:val="24"/>
              </w:rPr>
              <w:t>房（收集效率按98%计），经布袋除尘器（除尘效率按95%）处理后由不低于15m排气筒（</w:t>
            </w:r>
            <w:r>
              <w:rPr>
                <w:rFonts w:hint="default" w:ascii="Times New Roman" w:hAnsi="Times New Roman" w:cs="Times New Roman"/>
                <w:color w:val="auto"/>
                <w:sz w:val="24"/>
                <w:szCs w:val="24"/>
                <w:lang w:eastAsia="zh-CN"/>
              </w:rPr>
              <w:t>DA001</w:t>
            </w:r>
            <w:r>
              <w:rPr>
                <w:rFonts w:hint="default" w:ascii="Times New Roman" w:hAnsi="Times New Roman" w:cs="Times New Roman"/>
                <w:color w:val="auto"/>
                <w:sz w:val="24"/>
                <w:szCs w:val="24"/>
              </w:rPr>
              <w:t>）排放。</w:t>
            </w:r>
          </w:p>
          <w:p>
            <w:pPr>
              <w:pStyle w:val="63"/>
              <w:ind w:firstLine="42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满足《大气污染物综合排放标准》（GB16297-1996）中表2的要求。布袋除尘器内粉尘收集量为</w:t>
            </w:r>
            <w:r>
              <w:rPr>
                <w:rFonts w:hint="default" w:ascii="Times New Roman" w:hAnsi="Times New Roman" w:cs="Times New Roman"/>
                <w:color w:val="auto"/>
                <w:sz w:val="24"/>
                <w:szCs w:val="24"/>
                <w:lang w:val="en-US" w:eastAsia="zh-CN"/>
              </w:rPr>
              <w:t>18.350</w:t>
            </w:r>
            <w:r>
              <w:rPr>
                <w:rFonts w:hint="default" w:ascii="Times New Roman" w:hAnsi="Times New Roman" w:cs="Times New Roman"/>
                <w:color w:val="auto"/>
                <w:sz w:val="24"/>
                <w:szCs w:val="24"/>
              </w:rPr>
              <w:t>t/a。</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粉尘</w:t>
            </w:r>
            <w:r>
              <w:rPr>
                <w:rFonts w:hint="default" w:ascii="Times New Roman" w:hAnsi="Times New Roman" w:cs="Times New Roman"/>
                <w:color w:val="auto"/>
                <w:sz w:val="24"/>
                <w:szCs w:val="24"/>
                <w:lang w:val="en-US" w:eastAsia="zh-CN"/>
              </w:rPr>
              <w:t>有组织</w:t>
            </w:r>
            <w:r>
              <w:rPr>
                <w:rFonts w:hint="default" w:ascii="Times New Roman" w:hAnsi="Times New Roman" w:cs="Times New Roman"/>
                <w:color w:val="auto"/>
                <w:sz w:val="24"/>
                <w:szCs w:val="24"/>
              </w:rPr>
              <w:t>排放量为0.</w:t>
            </w:r>
            <w:r>
              <w:rPr>
                <w:rFonts w:hint="default" w:ascii="Times New Roman" w:hAnsi="Times New Roman" w:cs="Times New Roman"/>
                <w:color w:val="auto"/>
                <w:sz w:val="24"/>
                <w:szCs w:val="24"/>
                <w:lang w:val="en-US" w:eastAsia="zh-CN"/>
              </w:rPr>
              <w:t>966</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未被收集的粉尘</w:t>
            </w:r>
            <w:r>
              <w:rPr>
                <w:rFonts w:hint="default" w:ascii="Times New Roman" w:hAnsi="Times New Roman" w:cs="Times New Roman"/>
                <w:color w:val="auto"/>
                <w:sz w:val="24"/>
                <w:szCs w:val="24"/>
                <w:lang w:val="en-US" w:eastAsia="zh-CN"/>
              </w:rPr>
              <w:t>无组织</w:t>
            </w:r>
            <w:r>
              <w:rPr>
                <w:rFonts w:hint="default" w:ascii="Times New Roman" w:hAnsi="Times New Roman" w:cs="Times New Roman"/>
                <w:color w:val="auto"/>
                <w:sz w:val="24"/>
                <w:szCs w:val="24"/>
              </w:rPr>
              <w:t>排放量为0.</w:t>
            </w:r>
            <w:r>
              <w:rPr>
                <w:rFonts w:hint="default" w:ascii="Times New Roman" w:hAnsi="Times New Roman" w:cs="Times New Roman"/>
                <w:color w:val="auto"/>
                <w:sz w:val="24"/>
                <w:szCs w:val="24"/>
                <w:lang w:val="en-US" w:eastAsia="zh-CN"/>
              </w:rPr>
              <w:t>394</w:t>
            </w:r>
            <w:r>
              <w:rPr>
                <w:rFonts w:hint="default" w:ascii="Times New Roman" w:hAnsi="Times New Roman" w:cs="Times New Roman"/>
                <w:color w:val="auto"/>
                <w:sz w:val="24"/>
                <w:szCs w:val="24"/>
              </w:rPr>
              <w:t>t/a。</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（4）喷漆、晾干废气</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本项目喷漆废气主要成分为漆雾、非甲烷总烃。</w:t>
            </w:r>
            <w:r>
              <w:rPr>
                <w:rFonts w:hint="default" w:ascii="Times New Roman" w:hAnsi="Times New Roman" w:cs="Times New Roman"/>
                <w:color w:val="auto"/>
                <w:sz w:val="24"/>
                <w:szCs w:val="24"/>
              </w:rPr>
              <w:t>根据《涂装工艺与设备》（化学工业出版社），喷涂距离在15-20cm之间时，涂着效率约为65%～75%，本次评价取70%，即固体分中有69%涂着于工件表面、1%形成漆渣，其余30%形成漆雾，漆雾只在喷漆工序产生；有机溶剂有5%在</w:t>
            </w:r>
            <w:r>
              <w:rPr>
                <w:rFonts w:hint="default" w:ascii="Times New Roman" w:hAnsi="Times New Roman" w:cs="Times New Roman"/>
                <w:color w:val="auto"/>
                <w:sz w:val="24"/>
                <w:szCs w:val="24"/>
                <w:lang w:eastAsia="zh-CN"/>
              </w:rPr>
              <w:t>调漆</w:t>
            </w:r>
            <w:r>
              <w:rPr>
                <w:rFonts w:hint="default" w:ascii="Times New Roman" w:hAnsi="Times New Roman" w:cs="Times New Roman"/>
                <w:color w:val="auto"/>
                <w:sz w:val="24"/>
                <w:szCs w:val="24"/>
              </w:rPr>
              <w:t>工段挥发，30%在喷漆工段挥发，65%在晾干过程中挥发。</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根据建设单位提供资料，喷漆房喷漆、晾干年工作1800h。喷漆房废气处理工艺采用过滤棉+二级活性炭（活性炭纤维+活性炭颗粒）吸附工艺处理。本项目设1个全密闭喷漆房并保持微负压，配置一台风量为</w:t>
            </w:r>
            <w:r>
              <w:rPr>
                <w:rFonts w:hint="eastAsia" w:cs="Times New Roman"/>
                <w:color w:val="auto"/>
                <w:sz w:val="24"/>
                <w:szCs w:val="24"/>
                <w:lang w:val="en-US" w:eastAsia="zh-CN"/>
              </w:rPr>
              <w:t>10000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/h的风机，废气经引风机、管道收集，管道连通过滤棉+二级活性炭（活性炭纤维+活性炭颗粒）吸附工艺处理系统，废气处理系统管道连通不低于15m高排气筒（</w:t>
            </w:r>
            <w:r>
              <w:rPr>
                <w:rFonts w:hint="eastAsia" w:ascii="Times New Roman" w:hAnsi="Times New Roman" w:cs="Times New Roman"/>
                <w:color w:val="auto"/>
                <w:sz w:val="24"/>
                <w:szCs w:val="24"/>
                <w:lang w:eastAsia="zh-CN"/>
              </w:rPr>
              <w:t>DA002</w:t>
            </w:r>
            <w:r>
              <w:rPr>
                <w:rFonts w:hint="default" w:ascii="Times New Roman" w:hAnsi="Times New Roman" w:cs="Times New Roman"/>
                <w:color w:val="auto"/>
                <w:sz w:val="24"/>
                <w:szCs w:val="24"/>
              </w:rPr>
              <w:t>）排放。喷漆、晾干在密闭的喷漆房内进行，漆雾和有机废气的收集效率收集效率按95%计，过滤棉对漆雾处理效率按90%计，二级活性炭（活性炭纤维+活性炭颗粒）吸附对挥发性有机物的处理效率按90%计。本项目水性漆挥发份按全部挥发计算。</w:t>
            </w:r>
            <w:r>
              <w:rPr>
                <w:rFonts w:hint="eastAsia" w:cs="Times New Roman"/>
                <w:color w:val="auto"/>
                <w:sz w:val="24"/>
                <w:szCs w:val="24"/>
                <w:lang w:val="en-US" w:eastAsia="zh-CN"/>
              </w:rPr>
              <w:t xml:space="preserve">  </w:t>
            </w:r>
          </w:p>
          <w:p>
            <w:pPr>
              <w:spacing w:line="360" w:lineRule="auto"/>
              <w:ind w:firstLine="480" w:firstLineChars="20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rPr>
              <w:t>根据建设单位提供资料，</w:t>
            </w:r>
            <w:r>
              <w:rPr>
                <w:rFonts w:hint="default" w:ascii="Times New Roman" w:hAnsi="Times New Roman" w:cs="Times New Roman"/>
                <w:color w:val="auto"/>
                <w:sz w:val="24"/>
                <w:szCs w:val="24"/>
                <w:u w:val="none"/>
              </w:rPr>
              <w:t>本项目年使用水性环氧富锌底漆</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水性醇酸面漆</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醇酸防锈漆</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醇酸调和漆</w:t>
            </w:r>
            <w:r>
              <w:rPr>
                <w:rFonts w:hint="eastAsia" w:cs="Times New Roman"/>
                <w:color w:val="auto"/>
                <w:sz w:val="24"/>
                <w:szCs w:val="24"/>
                <w:u w:val="none"/>
                <w:lang w:eastAsia="zh-CN"/>
              </w:rPr>
              <w:t>、</w:t>
            </w:r>
            <w:r>
              <w:rPr>
                <w:rFonts w:hint="default" w:ascii="Times New Roman" w:hAnsi="Times New Roman" w:cs="Times New Roman"/>
                <w:color w:val="auto"/>
                <w:sz w:val="24"/>
                <w:szCs w:val="24"/>
                <w:u w:val="none"/>
              </w:rPr>
              <w:t>醇酸稀释剂</w:t>
            </w:r>
            <w:r>
              <w:rPr>
                <w:rFonts w:hint="eastAsia" w:cs="Times New Roman"/>
                <w:color w:val="auto"/>
                <w:sz w:val="24"/>
                <w:szCs w:val="24"/>
                <w:u w:val="none"/>
                <w:lang w:val="en-US" w:eastAsia="zh-CN"/>
              </w:rPr>
              <w:t>等涂料</w:t>
            </w:r>
            <w:r>
              <w:rPr>
                <w:rFonts w:hint="default" w:ascii="Times New Roman" w:hAnsi="Times New Roman" w:cs="Times New Roman"/>
                <w:color w:val="auto"/>
                <w:sz w:val="24"/>
                <w:szCs w:val="24"/>
                <w:u w:val="none"/>
              </w:rPr>
              <w:t>合计</w:t>
            </w:r>
            <w:r>
              <w:rPr>
                <w:rFonts w:hint="eastAsia" w:cs="Times New Roman"/>
                <w:color w:val="auto"/>
                <w:sz w:val="24"/>
                <w:szCs w:val="24"/>
                <w:u w:val="none"/>
                <w:lang w:val="en-US" w:eastAsia="zh-CN"/>
              </w:rPr>
              <w:t>24.793t，涂料</w:t>
            </w:r>
            <w:r>
              <w:rPr>
                <w:rFonts w:hint="default" w:ascii="Times New Roman" w:hAnsi="Times New Roman" w:cs="Times New Roman"/>
                <w:color w:val="auto"/>
                <w:sz w:val="24"/>
                <w:szCs w:val="24"/>
                <w:u w:val="none"/>
              </w:rPr>
              <w:t>含有挥发性有机化合物</w:t>
            </w:r>
            <w:r>
              <w:rPr>
                <w:rFonts w:hint="eastAsia" w:cs="Times New Roman"/>
                <w:color w:val="auto"/>
                <w:sz w:val="24"/>
                <w:szCs w:val="24"/>
                <w:u w:val="none"/>
                <w:lang w:val="en-US" w:eastAsia="zh-CN"/>
              </w:rPr>
              <w:t>约为2.612</w:t>
            </w:r>
            <w:r>
              <w:rPr>
                <w:rFonts w:hint="default" w:ascii="Times New Roman" w:hAnsi="Times New Roman" w:cs="Times New Roman"/>
                <w:color w:val="auto"/>
                <w:sz w:val="24"/>
                <w:szCs w:val="24"/>
                <w:u w:val="none"/>
              </w:rPr>
              <w:t>t。</w:t>
            </w:r>
          </w:p>
          <w:p>
            <w:pPr>
              <w:spacing w:line="360" w:lineRule="auto"/>
              <w:ind w:firstLine="480" w:firstLineChars="20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喷漆、晾干年工作1800h，风机风量</w:t>
            </w:r>
            <w:r>
              <w:rPr>
                <w:rFonts w:hint="eastAsia" w:cs="Times New Roman"/>
                <w:color w:val="auto"/>
                <w:sz w:val="24"/>
                <w:szCs w:val="24"/>
                <w:u w:val="none"/>
                <w:lang w:eastAsia="zh-CN"/>
              </w:rPr>
              <w:t>10000</w:t>
            </w:r>
            <w:r>
              <w:rPr>
                <w:rFonts w:hint="default" w:ascii="Times New Roman" w:hAnsi="Times New Roman" w:cs="Times New Roman"/>
                <w:color w:val="auto"/>
                <w:sz w:val="24"/>
                <w:szCs w:val="24"/>
                <w:u w:val="none"/>
              </w:rPr>
              <w:t>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/h，漆雾、非甲烷总烃产生量分别为</w:t>
            </w:r>
            <w:r>
              <w:rPr>
                <w:rFonts w:hint="eastAsia" w:cs="Times New Roman"/>
                <w:color w:val="auto"/>
                <w:sz w:val="24"/>
                <w:szCs w:val="24"/>
                <w:u w:val="none"/>
                <w:lang w:val="en-US" w:eastAsia="zh-CN"/>
              </w:rPr>
              <w:t>4.269</w:t>
            </w:r>
            <w:r>
              <w:rPr>
                <w:rFonts w:hint="default" w:ascii="Times New Roman" w:hAnsi="Times New Roman" w:cs="Times New Roman"/>
                <w:color w:val="auto"/>
                <w:sz w:val="24"/>
                <w:szCs w:val="24"/>
                <w:u w:val="none"/>
              </w:rPr>
              <w:t>t/a、</w:t>
            </w:r>
            <w:r>
              <w:rPr>
                <w:rFonts w:hint="eastAsia" w:cs="Times New Roman"/>
                <w:color w:val="auto"/>
                <w:sz w:val="24"/>
                <w:szCs w:val="24"/>
                <w:u w:val="none"/>
                <w:lang w:val="en-US" w:eastAsia="zh-CN"/>
              </w:rPr>
              <w:t>2.612</w:t>
            </w:r>
            <w:r>
              <w:rPr>
                <w:rFonts w:hint="default" w:ascii="Times New Roman" w:hAnsi="Times New Roman" w:cs="Times New Roman"/>
                <w:color w:val="auto"/>
                <w:sz w:val="24"/>
                <w:szCs w:val="24"/>
                <w:u w:val="none"/>
              </w:rPr>
              <w:t>t/a，进入“过滤棉+二级活性炭（活性炭纤维+活性炭颗粒）吸附”装置处理后漆雾、非甲烷总烃排放量分别为</w:t>
            </w:r>
            <w:r>
              <w:rPr>
                <w:rFonts w:hint="eastAsia" w:cs="Times New Roman"/>
                <w:color w:val="auto"/>
                <w:sz w:val="24"/>
                <w:szCs w:val="24"/>
                <w:u w:val="none"/>
                <w:lang w:val="en-US" w:eastAsia="zh-CN"/>
              </w:rPr>
              <w:t>0.406</w:t>
            </w:r>
            <w:r>
              <w:rPr>
                <w:rFonts w:hint="default" w:ascii="Times New Roman" w:hAnsi="Times New Roman" w:cs="Times New Roman"/>
                <w:color w:val="auto"/>
                <w:sz w:val="24"/>
                <w:szCs w:val="24"/>
                <w:u w:val="none"/>
              </w:rPr>
              <w:t>t/a、</w:t>
            </w:r>
            <w:r>
              <w:rPr>
                <w:rFonts w:hint="eastAsia" w:cs="Times New Roman"/>
                <w:color w:val="auto"/>
                <w:sz w:val="24"/>
                <w:szCs w:val="24"/>
                <w:u w:val="none"/>
                <w:lang w:val="en-US" w:eastAsia="zh-CN"/>
              </w:rPr>
              <w:t>0.248</w:t>
            </w:r>
            <w:r>
              <w:rPr>
                <w:rFonts w:hint="default" w:ascii="Times New Roman" w:hAnsi="Times New Roman" w:cs="Times New Roman"/>
                <w:color w:val="auto"/>
                <w:sz w:val="24"/>
                <w:szCs w:val="24"/>
                <w:u w:val="none"/>
              </w:rPr>
              <w:t>t/a，通过不低于不低于15m高排气筒（</w:t>
            </w:r>
            <w:r>
              <w:rPr>
                <w:rFonts w:hint="eastAsia" w:ascii="Times New Roman" w:hAnsi="Times New Roman" w:cs="Times New Roman"/>
                <w:color w:val="auto"/>
                <w:sz w:val="24"/>
                <w:szCs w:val="24"/>
                <w:u w:val="none"/>
                <w:lang w:eastAsia="zh-CN"/>
              </w:rPr>
              <w:t>DA002</w:t>
            </w:r>
            <w:r>
              <w:rPr>
                <w:rFonts w:hint="default" w:ascii="Times New Roman" w:hAnsi="Times New Roman" w:cs="Times New Roman"/>
                <w:color w:val="auto"/>
                <w:sz w:val="24"/>
                <w:szCs w:val="24"/>
                <w:u w:val="none"/>
              </w:rPr>
              <w:t>）排放。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漆雾、非甲烷总烃无组织排放量分别为</w:t>
            </w:r>
            <w:r>
              <w:rPr>
                <w:rFonts w:hint="eastAsia" w:cs="Times New Roman"/>
                <w:color w:val="auto"/>
                <w:sz w:val="24"/>
                <w:szCs w:val="24"/>
                <w:shd w:val="clear"/>
                <w:lang w:val="en-US" w:eastAsia="zh-CN"/>
              </w:rPr>
              <w:t>0.213</w:t>
            </w:r>
            <w:r>
              <w:rPr>
                <w:rFonts w:hint="default" w:ascii="Times New Roman" w:hAnsi="Times New Roman" w:cs="Times New Roman"/>
                <w:color w:val="auto"/>
                <w:sz w:val="24"/>
                <w:szCs w:val="24"/>
                <w:shd w:val="clear"/>
              </w:rPr>
              <w:t>t/a、</w:t>
            </w:r>
            <w:r>
              <w:rPr>
                <w:rFonts w:hint="eastAsia" w:cs="Times New Roman"/>
                <w:color w:val="auto"/>
                <w:sz w:val="24"/>
                <w:szCs w:val="24"/>
                <w:shd w:val="clear"/>
                <w:lang w:val="en-US" w:eastAsia="zh-CN"/>
              </w:rPr>
              <w:t>0.131</w:t>
            </w:r>
            <w:r>
              <w:rPr>
                <w:rFonts w:hint="default" w:ascii="Times New Roman" w:hAnsi="Times New Roman" w:cs="Times New Roman"/>
                <w:color w:val="auto"/>
                <w:sz w:val="24"/>
                <w:szCs w:val="24"/>
                <w:shd w:val="clear"/>
              </w:rPr>
              <w:t>t/a。</w:t>
            </w:r>
          </w:p>
          <w:p>
            <w:pPr>
              <w:autoSpaceDE w:val="0"/>
              <w:autoSpaceDN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项目漆料成分含量及漆料平衡表见下。</w:t>
            </w:r>
            <w:bookmarkStart w:id="2" w:name="OLE_LINK88"/>
          </w:p>
          <w:p>
            <w:pPr>
              <w:pStyle w:val="14"/>
              <w:spacing w:line="240" w:lineRule="auto"/>
              <w:jc w:val="center"/>
              <w:rPr>
                <w:rFonts w:hAnsi="宋体" w:cs="宋体"/>
                <w:b/>
                <w:bCs/>
                <w:color w:val="auto"/>
                <w:sz w:val="24"/>
                <w:lang w:bidi="en-US"/>
              </w:rPr>
            </w:pPr>
            <w:r>
              <w:rPr>
                <w:rFonts w:hint="eastAsia" w:hAnsi="宋体" w:cs="宋体"/>
                <w:b/>
                <w:bCs/>
                <w:color w:val="auto"/>
                <w:sz w:val="24"/>
                <w:szCs w:val="24"/>
                <w:lang w:bidi="en-US"/>
              </w:rPr>
              <w:t>表4-1  项目漆料成分含量表</w:t>
            </w:r>
          </w:p>
          <w:tbl>
            <w:tblPr>
              <w:tblStyle w:val="35"/>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132"/>
              <w:gridCol w:w="1219"/>
              <w:gridCol w:w="1417"/>
              <w:gridCol w:w="123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674"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i w:val="0"/>
                      <w:iCs w:val="0"/>
                      <w:color w:val="auto"/>
                      <w:kern w:val="0"/>
                      <w:sz w:val="21"/>
                      <w:szCs w:val="21"/>
                      <w:u w:val="none"/>
                      <w:lang w:val="en-US" w:eastAsia="en-US" w:bidi="ar"/>
                    </w:rPr>
                    <w:t>序号</w:t>
                  </w: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i w:val="0"/>
                      <w:iCs w:val="0"/>
                      <w:color w:val="auto"/>
                      <w:kern w:val="0"/>
                      <w:sz w:val="21"/>
                      <w:szCs w:val="21"/>
                      <w:u w:val="none"/>
                      <w:lang w:val="en-US" w:eastAsia="en-US" w:bidi="ar"/>
                    </w:rPr>
                    <w:t>漆料名称</w:t>
                  </w:r>
                </w:p>
              </w:tc>
              <w:tc>
                <w:tcPr>
                  <w:tcW w:w="1219"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i w:val="0"/>
                      <w:iCs w:val="0"/>
                      <w:color w:val="auto"/>
                      <w:kern w:val="0"/>
                      <w:sz w:val="21"/>
                      <w:szCs w:val="21"/>
                      <w:u w:val="none"/>
                      <w:lang w:val="en-US" w:eastAsia="en-US" w:bidi="ar"/>
                    </w:rPr>
                    <w:t>漆料用量，t/a</w:t>
                  </w:r>
                </w:p>
              </w:tc>
              <w:tc>
                <w:tcPr>
                  <w:tcW w:w="1417"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i w:val="0"/>
                      <w:iCs w:val="0"/>
                      <w:color w:val="auto"/>
                      <w:kern w:val="0"/>
                      <w:sz w:val="21"/>
                      <w:szCs w:val="21"/>
                      <w:u w:val="none"/>
                      <w:lang w:val="en-US" w:eastAsia="en-US" w:bidi="ar"/>
                    </w:rPr>
                    <w:t>固体分含量，t/a</w:t>
                  </w:r>
                </w:p>
              </w:tc>
              <w:tc>
                <w:tcPr>
                  <w:tcW w:w="1233"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i w:val="0"/>
                      <w:iCs w:val="0"/>
                      <w:color w:val="auto"/>
                      <w:kern w:val="0"/>
                      <w:sz w:val="21"/>
                      <w:szCs w:val="21"/>
                      <w:u w:val="none"/>
                      <w:lang w:val="en-US" w:eastAsia="en-US" w:bidi="ar"/>
                    </w:rPr>
                    <w:t>水分含量，t/a</w:t>
                  </w:r>
                </w:p>
              </w:tc>
              <w:tc>
                <w:tcPr>
                  <w:tcW w:w="1623"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i w:val="0"/>
                      <w:iCs w:val="0"/>
                      <w:color w:val="auto"/>
                      <w:kern w:val="0"/>
                      <w:sz w:val="21"/>
                      <w:szCs w:val="21"/>
                      <w:u w:val="none"/>
                      <w:lang w:val="en-US" w:eastAsia="en-US" w:bidi="ar"/>
                    </w:rPr>
                    <w:t>挥发性有机物含量，t/a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i w:val="0"/>
                      <w:iCs w:val="0"/>
                      <w:color w:val="auto"/>
                      <w:kern w:val="0"/>
                      <w:sz w:val="21"/>
                      <w:szCs w:val="21"/>
                      <w:u w:val="none"/>
                      <w:lang w:val="en-US" w:eastAsia="en-US" w:bidi="ar"/>
                    </w:rPr>
                    <w:t>水性环氧富锌底漆</w:t>
                  </w:r>
                </w:p>
              </w:tc>
              <w:tc>
                <w:tcPr>
                  <w:tcW w:w="12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10.881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5.441</w:t>
                  </w:r>
                </w:p>
              </w:tc>
              <w:tc>
                <w:tcPr>
                  <w:tcW w:w="123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5.44</w:t>
                  </w:r>
                </w:p>
              </w:tc>
              <w:tc>
                <w:tcPr>
                  <w:tcW w:w="162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i w:val="0"/>
                      <w:iCs w:val="0"/>
                      <w:color w:val="auto"/>
                      <w:kern w:val="0"/>
                      <w:sz w:val="21"/>
                      <w:szCs w:val="21"/>
                      <w:u w:val="none"/>
                      <w:lang w:val="en-US" w:eastAsia="en-US" w:bidi="ar"/>
                    </w:rPr>
                    <w:t>水性醇酸面漆</w:t>
                  </w:r>
                </w:p>
              </w:tc>
              <w:tc>
                <w:tcPr>
                  <w:tcW w:w="12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8.37</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5.441</w:t>
                  </w:r>
                </w:p>
              </w:tc>
              <w:tc>
                <w:tcPr>
                  <w:tcW w:w="123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2.511</w:t>
                  </w:r>
                </w:p>
              </w:tc>
              <w:tc>
                <w:tcPr>
                  <w:tcW w:w="162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i w:val="0"/>
                      <w:iCs w:val="0"/>
                      <w:color w:val="auto"/>
                      <w:kern w:val="0"/>
                      <w:sz w:val="21"/>
                      <w:szCs w:val="21"/>
                      <w:u w:val="none"/>
                      <w:lang w:val="en-US" w:eastAsia="en-US" w:bidi="ar"/>
                    </w:rPr>
                    <w:t>醇酸防锈漆</w:t>
                  </w:r>
                </w:p>
              </w:tc>
              <w:tc>
                <w:tcPr>
                  <w:tcW w:w="12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2.391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1.674</w:t>
                  </w:r>
                </w:p>
              </w:tc>
              <w:tc>
                <w:tcPr>
                  <w:tcW w:w="123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2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i w:val="0"/>
                      <w:iCs w:val="0"/>
                      <w:color w:val="auto"/>
                      <w:kern w:val="0"/>
                      <w:sz w:val="21"/>
                      <w:szCs w:val="21"/>
                      <w:u w:val="none"/>
                      <w:lang w:val="en-US" w:eastAsia="en-US" w:bidi="ar"/>
                    </w:rPr>
                    <w:t>醇酸调和漆</w:t>
                  </w:r>
                </w:p>
              </w:tc>
              <w:tc>
                <w:tcPr>
                  <w:tcW w:w="12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2.647</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1.674</w:t>
                  </w:r>
                </w:p>
              </w:tc>
              <w:tc>
                <w:tcPr>
                  <w:tcW w:w="123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2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i w:val="0"/>
                      <w:iCs w:val="0"/>
                      <w:color w:val="auto"/>
                      <w:kern w:val="0"/>
                      <w:sz w:val="21"/>
                      <w:szCs w:val="21"/>
                      <w:u w:val="none"/>
                      <w:lang w:val="en-US" w:eastAsia="en-US" w:bidi="ar"/>
                    </w:rPr>
                    <w:t>醇酸稀释剂</w:t>
                  </w:r>
                </w:p>
              </w:tc>
              <w:tc>
                <w:tcPr>
                  <w:tcW w:w="12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0.504</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3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2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4" w:type="dxa"/>
                  <w:vAlign w:val="center"/>
                </w:tcPr>
                <w:p>
                  <w:pPr>
                    <w:spacing w:line="240" w:lineRule="auto"/>
                    <w:jc w:val="center"/>
                    <w:rPr>
                      <w:rFonts w:hint="default" w:ascii="Times New Roman" w:hAnsi="Times New Roman" w:eastAsia="宋体" w:cs="Times New Roman"/>
                      <w:color w:val="auto"/>
                      <w:sz w:val="21"/>
                      <w:szCs w:val="21"/>
                    </w:rPr>
                  </w:pPr>
                </w:p>
              </w:tc>
              <w:tc>
                <w:tcPr>
                  <w:tcW w:w="213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i w:val="0"/>
                      <w:iCs w:val="0"/>
                      <w:color w:val="auto"/>
                      <w:kern w:val="0"/>
                      <w:sz w:val="21"/>
                      <w:szCs w:val="21"/>
                      <w:u w:val="none"/>
                      <w:lang w:val="en-US" w:eastAsia="en-US" w:bidi="ar"/>
                    </w:rPr>
                    <w:t>合计</w:t>
                  </w:r>
                </w:p>
              </w:tc>
              <w:tc>
                <w:tcPr>
                  <w:tcW w:w="121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24.793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14.23</w:t>
                  </w:r>
                </w:p>
              </w:tc>
              <w:tc>
                <w:tcPr>
                  <w:tcW w:w="123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7.951</w:t>
                  </w:r>
                </w:p>
              </w:tc>
              <w:tc>
                <w:tcPr>
                  <w:tcW w:w="1623"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2.612</w:t>
                  </w:r>
                </w:p>
              </w:tc>
            </w:tr>
          </w:tbl>
          <w:p>
            <w:pPr>
              <w:rPr>
                <w:color w:val="auto"/>
              </w:rPr>
            </w:pPr>
          </w:p>
          <w:p>
            <w:pPr>
              <w:rPr>
                <w:color w:val="auto"/>
              </w:rPr>
            </w:pPr>
            <w:r>
              <w:rPr>
                <w:color w:val="auto"/>
                <w:sz w:val="24"/>
              </w:rPr>
              <mc:AlternateContent>
                <mc:Choice Requires="wpg">
                  <w:drawing>
                    <wp:anchor distT="0" distB="0" distL="114300" distR="114300" simplePos="0" relativeHeight="251675648" behindDoc="0" locked="0" layoutInCell="1" allowOverlap="1">
                      <wp:simplePos x="0" y="0"/>
                      <wp:positionH relativeFrom="column">
                        <wp:posOffset>15875</wp:posOffset>
                      </wp:positionH>
                      <wp:positionV relativeFrom="paragraph">
                        <wp:posOffset>6350</wp:posOffset>
                      </wp:positionV>
                      <wp:extent cx="5219700" cy="1770380"/>
                      <wp:effectExtent l="4445" t="4445" r="14605" b="15875"/>
                      <wp:wrapNone/>
                      <wp:docPr id="3" name="组合 3"/>
                      <wp:cNvGraphicFramePr/>
                      <a:graphic xmlns:a="http://schemas.openxmlformats.org/drawingml/2006/main">
                        <a:graphicData uri="http://schemas.microsoft.com/office/word/2010/wordprocessingGroup">
                          <wpg:wgp>
                            <wpg:cNvGrpSpPr/>
                            <wpg:grpSpPr>
                              <a:xfrm>
                                <a:off x="0" y="0"/>
                                <a:ext cx="5219700" cy="1770380"/>
                                <a:chOff x="3970" y="663000"/>
                                <a:chExt cx="8220" cy="2788"/>
                              </a:xfrm>
                            </wpg:grpSpPr>
                            <wpg:grpSp>
                              <wpg:cNvPr id="5" name="组合 83"/>
                              <wpg:cNvGrpSpPr/>
                              <wpg:grpSpPr>
                                <a:xfrm>
                                  <a:off x="4630" y="663718"/>
                                  <a:ext cx="7540" cy="660"/>
                                  <a:chOff x="4630" y="663718"/>
                                  <a:chExt cx="7540" cy="660"/>
                                </a:xfrm>
                              </wpg:grpSpPr>
                              <wps:wsp>
                                <wps:cNvPr id="79" name="文本框 79"/>
                                <wps:cNvSpPr txBox="1"/>
                                <wps:spPr>
                                  <a:xfrm>
                                    <a:off x="4630" y="663866"/>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焊接</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直接箭头连接符 82"/>
                                <wps:cNvCnPr/>
                                <wps:spPr>
                                  <a:xfrm>
                                    <a:off x="5820" y="66410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文本框 77"/>
                                <wps:cNvSpPr txBox="1"/>
                                <wps:spPr>
                                  <a:xfrm>
                                    <a:off x="6310" y="663866"/>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集气系统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48"/>
                                <wps:cNvCnPr/>
                                <wps:spPr>
                                  <a:xfrm>
                                    <a:off x="7490" y="664096"/>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文本框 47"/>
                                <wps:cNvSpPr txBox="1"/>
                                <wps:spPr>
                                  <a:xfrm>
                                    <a:off x="8010" y="663856"/>
                                    <a:ext cx="140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直接箭头连接符 81"/>
                                <wps:cNvCnPr/>
                                <wps:spPr>
                                  <a:xfrm>
                                    <a:off x="9450" y="66409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文本框 46"/>
                                <wps:cNvSpPr txBox="1"/>
                                <wps:spPr>
                                  <a:xfrm>
                                    <a:off x="9960" y="663718"/>
                                    <a:ext cx="2210" cy="66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不低于15m高排气筒DA002排放</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6" name="组合 84"/>
                              <wpg:cNvGrpSpPr/>
                              <wpg:grpSpPr>
                                <a:xfrm>
                                  <a:off x="4680" y="663000"/>
                                  <a:ext cx="7510" cy="660"/>
                                  <a:chOff x="4680" y="663000"/>
                                  <a:chExt cx="7510" cy="660"/>
                                </a:xfrm>
                              </wpg:grpSpPr>
                              <wps:wsp>
                                <wps:cNvPr id="19" name="文本框 19"/>
                                <wps:cNvSpPr txBox="1"/>
                                <wps:spPr>
                                  <a:xfrm>
                                    <a:off x="4680" y="663110"/>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切割废气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1"/>
                                <wps:cNvCnPr/>
                                <wps:spPr>
                                  <a:xfrm>
                                    <a:off x="5840" y="66336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文本框 25"/>
                                <wps:cNvSpPr txBox="1"/>
                                <wps:spPr>
                                  <a:xfrm>
                                    <a:off x="6350" y="663120"/>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集气系统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接箭头连接符 26"/>
                                <wps:cNvCnPr/>
                                <wps:spPr>
                                  <a:xfrm>
                                    <a:off x="7530" y="66335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文本框 29"/>
                                <wps:cNvSpPr txBox="1"/>
                                <wps:spPr>
                                  <a:xfrm>
                                    <a:off x="8040" y="663110"/>
                                    <a:ext cx="140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wps:spPr>
                                  <a:xfrm>
                                    <a:off x="9460" y="66337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文本框 41"/>
                                <wps:cNvSpPr txBox="1"/>
                                <wps:spPr>
                                  <a:xfrm>
                                    <a:off x="9980" y="663000"/>
                                    <a:ext cx="2210" cy="66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不低于15m高排气筒DA001排放</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7" name="组合 85"/>
                              <wpg:cNvGrpSpPr/>
                              <wpg:grpSpPr>
                                <a:xfrm>
                                  <a:off x="4620" y="664418"/>
                                  <a:ext cx="7540" cy="660"/>
                                  <a:chOff x="4630" y="663718"/>
                                  <a:chExt cx="7540" cy="660"/>
                                </a:xfrm>
                              </wpg:grpSpPr>
                              <wps:wsp>
                                <wps:cNvPr id="86" name="文本框 79"/>
                                <wps:cNvSpPr txBox="1"/>
                                <wps:spPr>
                                  <a:xfrm>
                                    <a:off x="4630" y="663866"/>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抛丸</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箭头连接符 82"/>
                                <wps:cNvCnPr/>
                                <wps:spPr>
                                  <a:xfrm>
                                    <a:off x="5820" y="66410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文本框 77"/>
                                <wps:cNvSpPr txBox="1"/>
                                <wps:spPr>
                                  <a:xfrm>
                                    <a:off x="6310" y="663866"/>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集气系统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直接箭头连接符 48"/>
                                <wps:cNvCnPr/>
                                <wps:spPr>
                                  <a:xfrm>
                                    <a:off x="7490" y="664096"/>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文本框 47"/>
                                <wps:cNvSpPr txBox="1"/>
                                <wps:spPr>
                                  <a:xfrm>
                                    <a:off x="8010" y="663856"/>
                                    <a:ext cx="140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直接箭头连接符 81"/>
                                <wps:cNvCnPr/>
                                <wps:spPr>
                                  <a:xfrm>
                                    <a:off x="9450" y="66409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文本框 46"/>
                                <wps:cNvSpPr txBox="1"/>
                                <wps:spPr>
                                  <a:xfrm>
                                    <a:off x="9960" y="663718"/>
                                    <a:ext cx="2210" cy="66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不低于15m高排气筒DA003排放</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17" name="组合 93"/>
                              <wpg:cNvGrpSpPr/>
                              <wpg:grpSpPr>
                                <a:xfrm>
                                  <a:off x="3970" y="665128"/>
                                  <a:ext cx="8180" cy="660"/>
                                  <a:chOff x="3990" y="663718"/>
                                  <a:chExt cx="8180" cy="660"/>
                                </a:xfrm>
                              </wpg:grpSpPr>
                              <wps:wsp>
                                <wps:cNvPr id="94" name="文本框 79"/>
                                <wps:cNvSpPr txBox="1"/>
                                <wps:spPr>
                                  <a:xfrm>
                                    <a:off x="3990" y="663826"/>
                                    <a:ext cx="161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喷漆晾干废气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直接箭头连接符 82"/>
                                <wps:cNvCnPr/>
                                <wps:spPr>
                                  <a:xfrm>
                                    <a:off x="5600" y="664090"/>
                                    <a:ext cx="3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0" name="文本框 77"/>
                                <wps:cNvSpPr txBox="1"/>
                                <wps:spPr>
                                  <a:xfrm>
                                    <a:off x="5961" y="663866"/>
                                    <a:ext cx="1719" cy="3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密闭喷漆房集气系统</w:t>
                                      </w:r>
                                    </w:p>
                                  </w:txbxContent>
                                </wps:txbx>
                                <wps:bodyPr rot="0" spcFirstLastPara="0" vertOverflow="overflow" horzOverflow="overflow" vert="horz" wrap="square" lIns="0" tIns="0" rIns="0" bIns="0" numCol="1" spcCol="0" rtlCol="0" fromWordArt="0" anchor="t" anchorCtr="0" forceAA="0" compatLnSpc="1">
                                  <a:noAutofit/>
                                </wps:bodyPr>
                              </wps:wsp>
                              <wps:wsp>
                                <wps:cNvPr id="101" name="直接箭头连接符 48"/>
                                <wps:cNvCnPr/>
                                <wps:spPr>
                                  <a:xfrm>
                                    <a:off x="7670" y="664086"/>
                                    <a:ext cx="3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2" name="文本框 47"/>
                                <wps:cNvSpPr txBox="1"/>
                                <wps:spPr>
                                  <a:xfrm>
                                    <a:off x="8010" y="663906"/>
                                    <a:ext cx="1632" cy="33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过滤棉+活性炭吸附</w:t>
                                      </w:r>
                                    </w:p>
                                  </w:txbxContent>
                                </wps:txbx>
                                <wps:bodyPr rot="0" spcFirstLastPara="0" vertOverflow="overflow" horzOverflow="overflow" vert="horz" wrap="square" lIns="0" tIns="0" rIns="0" bIns="0" numCol="1" spcCol="0" rtlCol="0" fromWordArt="0" anchor="t" anchorCtr="0" forceAA="0" compatLnSpc="1">
                                  <a:noAutofit/>
                                </wps:bodyPr>
                              </wps:wsp>
                              <wps:wsp>
                                <wps:cNvPr id="103" name="直接箭头连接符 81"/>
                                <wps:cNvCnPr/>
                                <wps:spPr>
                                  <a:xfrm>
                                    <a:off x="9690" y="664090"/>
                                    <a:ext cx="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 name="文本框 46"/>
                                <wps:cNvSpPr txBox="1"/>
                                <wps:spPr>
                                  <a:xfrm>
                                    <a:off x="9960" y="663718"/>
                                    <a:ext cx="2210" cy="66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不低于15m高排气筒DA004排放</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_x0000_s1026" o:spid="_x0000_s1026" o:spt="203" style="position:absolute;left:0pt;margin-left:1.25pt;margin-top:0.5pt;height:139.4pt;width:411pt;z-index:251675648;mso-width-relative:page;mso-height-relative:page;" coordorigin="3970,663000" coordsize="8220,2788" o:gfxdata="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CNpqDN1gAAAAcBAAAPAAAAAAAAAAEAIAAAACIA&#10;AABkcnMvZG93bnJldi54bWxQSwECFAAUAAAACACHTuJAfQmhvCoHAABHTwAADgAAAAAAAAABACAA&#10;AAAlAQAAZHJzL2Uyb0RvYy54bWxQSwUGAAAAAAYABgBZAQAAwQoAAAAA&#10;">
                      <o:lock v:ext="edit" aspectratio="f"/>
                      <v:group id="组合 83" o:spid="_x0000_s1026" o:spt="203" style="position:absolute;left:4630;top:663718;height:660;width:7540;" coordorigin="4630,663718" coordsize="7540,66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4630;top:663866;height:480;width:1170;" fillcolor="#FFFFFF [3201]"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r>
                                  <w:rPr>
                                    <w:rFonts w:hint="eastAsia"/>
                                    <w:lang w:val="en-US" w:eastAsia="zh-CN"/>
                                  </w:rPr>
                                  <w:t>焊接</w:t>
                                </w:r>
                                <w:r>
                                  <w:rPr>
                                    <w:rFonts w:hint="eastAsia"/>
                                  </w:rPr>
                                  <w:t>废气</w:t>
                                </w:r>
                              </w:p>
                            </w:txbxContent>
                          </v:textbox>
                        </v:shape>
                        <v:shape id="_x0000_s1026" o:spid="_x0000_s1026" o:spt="32" type="#_x0000_t32" style="position:absolute;left:5820;top:664100;height:0;width:490;" filled="f" stroked="t" coordsize="21600,21600" o:gfxdata="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LUi2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202" type="#_x0000_t202" style="position:absolute;left:6310;top:663866;height:480;width:1170;" fillcolor="#FFFFFF [3201]"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rPr>
                                  <w:t>集气系统</w:t>
                                </w:r>
                              </w:p>
                            </w:txbxContent>
                          </v:textbox>
                        </v:shape>
                        <v:shape id="_x0000_s1026" o:spid="_x0000_s1026" o:spt="32" type="#_x0000_t32" style="position:absolute;left:7490;top:664096;height:0;width:49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8010;top:663856;height:480;width:1400;" fillcolor="#FFFFFF [3201]"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rPr>
                                  <w:t>布袋除尘器</w:t>
                                </w:r>
                              </w:p>
                            </w:txbxContent>
                          </v:textbox>
                        </v:shape>
                        <v:shape id="_x0000_s1026" o:spid="_x0000_s1026" o:spt="32" type="#_x0000_t32" style="position:absolute;left:9450;top:664090;height:0;width:490;" filled="f" stroked="t" coordsize="21600,21600" o:gfxdata="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ZzFq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202" type="#_x0000_t202" style="position:absolute;left:9960;top:663718;height:660;width:2210;" fillcolor="#FFFFFF [3201]" filled="t" stroked="t" coordsize="21600,21600" o:gfxdata="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VoQi8AAAA&#10;2w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inset="0mm,0mm,0mm,0mm">
                            <w:txbxContent>
                              <w:p>
                                <w:r>
                                  <w:rPr>
                                    <w:rFonts w:hint="eastAsia"/>
                                  </w:rPr>
                                  <w:t>不低于15m高排气筒DA002排放</w:t>
                                </w:r>
                              </w:p>
                            </w:txbxContent>
                          </v:textbox>
                        </v:shape>
                      </v:group>
                      <v:group id="组合 84" o:spid="_x0000_s1026" o:spt="203" style="position:absolute;left:4680;top:663000;height:660;width:7510;" coordorigin="4680,663000" coordsize="7510,66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680;top:663110;height:480;width:1170;" fillcolor="#FFFFFF [3201]"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r>
                                  <w:rPr>
                                    <w:rFonts w:hint="eastAsia"/>
                                  </w:rPr>
                                  <w:t>切割废气</w:t>
                                </w:r>
                              </w:p>
                            </w:txbxContent>
                          </v:textbox>
                        </v:shape>
                        <v:shape id="_x0000_s1026" o:spid="_x0000_s1026" o:spt="32" type="#_x0000_t32" style="position:absolute;left:5840;top:663360;height:0;width:490;" filled="f" stroked="t" coordsize="21600,21600" o:gfxdata="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f5Ng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202" type="#_x0000_t202" style="position:absolute;left:6350;top:663120;height:480;width:1170;" fillcolor="#FFFFFF [3201]"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r>
                                  <w:rPr>
                                    <w:rFonts w:hint="eastAsia"/>
                                  </w:rPr>
                                  <w:t>集气系统</w:t>
                                </w:r>
                              </w:p>
                            </w:txbxContent>
                          </v:textbox>
                        </v:shape>
                        <v:shape id="_x0000_s1026" o:spid="_x0000_s1026" o:spt="32" type="#_x0000_t32" style="position:absolute;left:7530;top:663350;height:0;width:490;" filled="f" stroked="t" coordsize="21600,21600" o:gfxdata="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WCxS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202" type="#_x0000_t202" style="position:absolute;left:8040;top:663110;height:480;width:1400;" fillcolor="#FFFFFF [3201]"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r>
                                  <w:rPr>
                                    <w:rFonts w:hint="eastAsia"/>
                                  </w:rPr>
                                  <w:t>布袋除尘器</w:t>
                                </w:r>
                              </w:p>
                            </w:txbxContent>
                          </v:textbox>
                        </v:shape>
                        <v:shape id="_x0000_s1026" o:spid="_x0000_s1026" o:spt="32" type="#_x0000_t32" style="position:absolute;left:9460;top:663370;height:0;width:490;" filled="f" stroked="t" coordsize="21600,21600" o:gfxdata="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uzTW7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9980;top:663000;height:660;width:2210;" fillcolor="#FFFFFF [3201]" filled="t" stroked="t" coordsize="21600,21600" o:gfxdata="UEsDBAoAAAAAAIdO4kAAAAAAAAAAAAAAAAAEAAAAZHJzL1BLAwQUAAAACACHTuJAv7w5fL0AAADb&#10;AAAADwAAAGRycy9kb3ducmV2LnhtbEWPT2sCMRTE74V+h/AKvdXsLkX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l8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inset="0mm,0mm,0mm,0mm">
                            <w:txbxContent>
                              <w:p>
                                <w:r>
                                  <w:rPr>
                                    <w:rFonts w:hint="eastAsia"/>
                                  </w:rPr>
                                  <w:t>不低于15m高排气筒DA001排放</w:t>
                                </w:r>
                              </w:p>
                            </w:txbxContent>
                          </v:textbox>
                        </v:shape>
                      </v:group>
                      <v:group id="组合 85" o:spid="_x0000_s1026" o:spt="203" style="position:absolute;left:4620;top:664418;height:660;width:7540;" coordorigin="4630,663718" coordsize="7540,66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79" o:spid="_x0000_s1026" o:spt="202" type="#_x0000_t202" style="position:absolute;left:4630;top:663866;height:480;width:1170;" fillcolor="#FFFFFF [3201]"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lang w:val="en-US" w:eastAsia="zh-CN"/>
                                  </w:rPr>
                                  <w:t>抛丸</w:t>
                                </w:r>
                                <w:r>
                                  <w:rPr>
                                    <w:rFonts w:hint="eastAsia"/>
                                  </w:rPr>
                                  <w:t>废气</w:t>
                                </w:r>
                              </w:p>
                            </w:txbxContent>
                          </v:textbox>
                        </v:shape>
                        <v:shape id="直接箭头连接符 82" o:spid="_x0000_s1026" o:spt="32" type="#_x0000_t32" style="position:absolute;left:5820;top:664100;height:0;width:490;" filled="f" stroked="t" coordsize="21600,21600" o:gfxdata="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vPG1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文本框 77" o:spid="_x0000_s1026" o:spt="202" type="#_x0000_t202" style="position:absolute;left:6310;top:663866;height:480;width:1170;" fillcolor="#FFFFFF [3201]"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3204]" joinstyle="round"/>
                          <v:imagedata o:title=""/>
                          <o:lock v:ext="edit" aspectratio="f"/>
                          <v:textbox>
                            <w:txbxContent>
                              <w:p>
                                <w:r>
                                  <w:rPr>
                                    <w:rFonts w:hint="eastAsia"/>
                                  </w:rPr>
                                  <w:t>集气系统</w:t>
                                </w:r>
                              </w:p>
                            </w:txbxContent>
                          </v:textbox>
                        </v:shape>
                        <v:shape id="直接箭头连接符 48" o:spid="_x0000_s1026" o:spt="32" type="#_x0000_t32" style="position:absolute;left:7490;top:664096;height:0;width:490;" filled="f" stroked="t" coordsize="21600,21600" o:gfxdata="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AX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文本框 47" o:spid="_x0000_s1026" o:spt="202" type="#_x0000_t202" style="position:absolute;left:8010;top:663856;height:480;width:1400;" fillcolor="#FFFFFF [3201]"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r>
                                  <w:rPr>
                                    <w:rFonts w:hint="eastAsia"/>
                                  </w:rPr>
                                  <w:t>布袋除尘器</w:t>
                                </w:r>
                              </w:p>
                            </w:txbxContent>
                          </v:textbox>
                        </v:shape>
                        <v:shape id="直接箭头连接符 81" o:spid="_x0000_s1026" o:spt="32" type="#_x0000_t32" style="position:absolute;left:9450;top:664090;height:0;width:490;"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文本框 46" o:spid="_x0000_s1026" o:spt="202" type="#_x0000_t202" style="position:absolute;left:9960;top:663718;height:660;width:2210;" fillcolor="#FFFFFF [3201]" filled="t" stroked="t" coordsize="21600,21600" o:gfxdata="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6LTLsAAADb&#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inset="0mm,0mm,0mm,0mm">
                            <w:txbxContent>
                              <w:p>
                                <w:r>
                                  <w:rPr>
                                    <w:rFonts w:hint="eastAsia"/>
                                  </w:rPr>
                                  <w:t>不低于15m高排气筒DA003排放</w:t>
                                </w:r>
                              </w:p>
                            </w:txbxContent>
                          </v:textbox>
                        </v:shape>
                      </v:group>
                      <v:group id="组合 93" o:spid="_x0000_s1026" o:spt="203" style="position:absolute;left:3970;top:665128;height:660;width:8180;" coordorigin="3990,663718" coordsize="8180,66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79" o:spid="_x0000_s1026" o:spt="202" type="#_x0000_t202" style="position:absolute;left:3990;top:663826;height:480;width:1610;" fillcolor="#FFFFFF [3201]"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rPr>
                                  <w:t>喷漆晾干废气</w:t>
                                </w:r>
                              </w:p>
                            </w:txbxContent>
                          </v:textbox>
                        </v:shape>
                        <v:shape id="直接箭头连接符 82" o:spid="_x0000_s1026" o:spt="32" type="#_x0000_t32" style="position:absolute;left:5600;top:664090;height:0;width:330;" filled="f" stroked="t" coordsize="21600,21600" o:gfxdata="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tch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文本框 77" o:spid="_x0000_s1026" o:spt="202" type="#_x0000_t202" style="position:absolute;left:5961;top:663866;height:380;width:1719;" fillcolor="#FFFFFF [3201]" filled="t" stroked="t" coordsize="21600,21600" o:gfxdata="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sgL4A&#10;AADc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inset="0mm,0mm,0mm,0mm">
                            <w:txbxContent>
                              <w:p>
                                <w:pPr>
                                  <w:rPr>
                                    <w:sz w:val="18"/>
                                    <w:szCs w:val="18"/>
                                  </w:rPr>
                                </w:pPr>
                                <w:r>
                                  <w:rPr>
                                    <w:rFonts w:hint="eastAsia"/>
                                    <w:sz w:val="18"/>
                                    <w:szCs w:val="18"/>
                                  </w:rPr>
                                  <w:t>密闭喷漆房集气系统</w:t>
                                </w:r>
                              </w:p>
                            </w:txbxContent>
                          </v:textbox>
                        </v:shape>
                        <v:shape id="直接箭头连接符 48" o:spid="_x0000_s1026" o:spt="32" type="#_x0000_t32" style="position:absolute;left:7670;top:664086;height:0;width:310;" filled="f" stroked="t" coordsize="21600,21600" o:gfxdata="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Zpe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文本框 47" o:spid="_x0000_s1026" o:spt="202" type="#_x0000_t202" style="position:absolute;left:8010;top:663906;height:330;width:1632;" fillcolor="#FFFFFF [3201]" filled="t" stroked="t" coordsize="21600,21600" o:gfxdata="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JpdsugAAANwA&#10;AAAPAAAAAAAAAAEAIAAAACIAAABkcnMvZG93bnJldi54bWxQSwECFAAUAAAACACHTuJAMy8FnjsA&#10;AAA5AAAAEAAAAAAAAAABACAAAAAJAQAAZHJzL3NoYXBleG1sLnhtbFBLBQYAAAAABgAGAFsBAACz&#10;AwAAAAA=&#10;">
                          <v:fill on="t" focussize="0,0"/>
                          <v:stroke color="#000000 [3204]" joinstyle="round"/>
                          <v:imagedata o:title=""/>
                          <o:lock v:ext="edit" aspectratio="f"/>
                          <v:textbox inset="0mm,0mm,0mm,0mm">
                            <w:txbxContent>
                              <w:p>
                                <w:r>
                                  <w:rPr>
                                    <w:rFonts w:hint="eastAsia"/>
                                    <w:sz w:val="18"/>
                                    <w:szCs w:val="18"/>
                                  </w:rPr>
                                  <w:t>过滤棉+活性炭吸附</w:t>
                                </w:r>
                              </w:p>
                            </w:txbxContent>
                          </v:textbox>
                        </v:shape>
                        <v:shape id="直接箭头连接符 81" o:spid="_x0000_s1026" o:spt="32" type="#_x0000_t32" style="position:absolute;left:9690;top:664090;height:0;width:250;" filled="f" stroked="t" coordsize="21600,21600" o:gfxdata="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Vlde7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shape id="文本框 46" o:spid="_x0000_s1026" o:spt="202" type="#_x0000_t202" style="position:absolute;left:9960;top:663718;height:660;width:2210;" fillcolor="#FFFFFF [3201]" filled="t" stroked="t" coordsize="21600,21600" o:gfxdata="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g6qDugAAANwA&#10;AAAPAAAAAAAAAAEAIAAAACIAAABkcnMvZG93bnJldi54bWxQSwECFAAUAAAACACHTuJAMy8FnjsA&#10;AAA5AAAAEAAAAAAAAAABACAAAAAJAQAAZHJzL3NoYXBleG1sLnhtbFBLBQYAAAAABgAGAFsBAACz&#10;AwAAAAA=&#10;">
                          <v:fill on="t" focussize="0,0"/>
                          <v:stroke color="#000000 [3204]" joinstyle="round"/>
                          <v:imagedata o:title=""/>
                          <o:lock v:ext="edit" aspectratio="f"/>
                          <v:textbox inset="0mm,0mm,0mm,0mm">
                            <w:txbxContent>
                              <w:p>
                                <w:r>
                                  <w:rPr>
                                    <w:rFonts w:hint="eastAsia"/>
                                  </w:rPr>
                                  <w:t>不低于15m高排气筒DA004排放</w:t>
                                </w:r>
                              </w:p>
                            </w:txbxContent>
                          </v:textbox>
                        </v:shape>
                      </v:group>
                    </v:group>
                  </w:pict>
                </mc:Fallback>
              </mc:AlternateContent>
            </w: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lang w:bidi="en-US"/>
              </w:rPr>
            </w:pPr>
          </w:p>
          <w:p>
            <w:pPr>
              <w:adjustRightInd w:val="0"/>
              <w:snapToGrid w:val="0"/>
              <w:jc w:val="center"/>
              <w:rPr>
                <w:rFonts w:hAnsi="宋体" w:cs="宋体"/>
                <w:b/>
                <w:bCs/>
                <w:color w:val="auto"/>
                <w:sz w:val="24"/>
                <w:szCs w:val="24"/>
                <w:lang w:bidi="en-US"/>
              </w:rPr>
            </w:pPr>
            <w:r>
              <w:rPr>
                <w:rFonts w:hint="eastAsia" w:ascii="宋体" w:cs="宋体"/>
                <w:b/>
                <w:bCs/>
                <w:color w:val="auto"/>
                <w:sz w:val="24"/>
                <w:szCs w:val="24"/>
              </w:rPr>
              <w:t>图4-1  废气走向示意图</w:t>
            </w:r>
          </w:p>
          <w:p>
            <w:pPr>
              <w:adjustRightInd w:val="0"/>
              <w:snapToGrid w:val="0"/>
              <w:jc w:val="center"/>
              <w:rPr>
                <w:rFonts w:hAnsi="宋体" w:cs="宋体"/>
                <w:b/>
                <w:bCs/>
                <w:color w:val="auto"/>
                <w:sz w:val="24"/>
                <w:szCs w:val="24"/>
                <w:lang w:bidi="en-US"/>
              </w:rPr>
            </w:pPr>
          </w:p>
          <w:p>
            <w:pPr>
              <w:adjustRightInd w:val="0"/>
              <w:snapToGrid w:val="0"/>
              <w:spacing w:line="240" w:lineRule="auto"/>
              <w:jc w:val="center"/>
              <w:rPr>
                <w:rFonts w:hAnsi="宋体" w:cs="宋体"/>
                <w:b/>
                <w:bCs/>
                <w:color w:val="auto"/>
                <w:sz w:val="24"/>
                <w:szCs w:val="24"/>
                <w:lang w:bidi="en-US"/>
              </w:rPr>
            </w:pPr>
            <w:r>
              <w:rPr>
                <w:rFonts w:hint="eastAsia" w:hAnsi="宋体" w:cs="宋体"/>
                <w:b/>
                <w:bCs/>
                <w:color w:val="auto"/>
                <w:sz w:val="24"/>
                <w:szCs w:val="24"/>
                <w:lang w:bidi="en-US"/>
              </w:rPr>
              <w:t>表4-2  项目水性漆漆料平衡表（单位：t/a）</w:t>
            </w:r>
          </w:p>
          <w:tbl>
            <w:tblPr>
              <w:tblStyle w:val="34"/>
              <w:tblpPr w:leftFromText="180" w:rightFromText="180" w:vertAnchor="text" w:horzAnchor="page" w:tblpX="54" w:tblpY="208"/>
              <w:tblOverlap w:val="never"/>
              <w:tblW w:w="8312" w:type="dxa"/>
              <w:tblInd w:w="0" w:type="dxa"/>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95"/>
              <w:gridCol w:w="980"/>
              <w:gridCol w:w="927"/>
              <w:gridCol w:w="888"/>
              <w:gridCol w:w="840"/>
              <w:gridCol w:w="974"/>
              <w:gridCol w:w="845"/>
              <w:gridCol w:w="1151"/>
              <w:gridCol w:w="1012"/>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69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用量</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成分</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入方</w:t>
                  </w:r>
                </w:p>
              </w:tc>
              <w:tc>
                <w:tcPr>
                  <w:tcW w:w="5710"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出方</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p>
              </w:tc>
              <w:tc>
                <w:tcPr>
                  <w:tcW w:w="8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无组织</w:t>
                  </w: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漆渣</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工件附着</w:t>
                  </w:r>
                </w:p>
              </w:tc>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过滤棉</w:t>
                  </w:r>
                </w:p>
              </w:tc>
              <w:tc>
                <w:tcPr>
                  <w:tcW w:w="1151"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活性炭吸附</w:t>
                  </w:r>
                </w:p>
              </w:tc>
              <w:tc>
                <w:tcPr>
                  <w:tcW w:w="1012"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排气筒</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10" w:hRule="atLeast"/>
              </w:trPr>
              <w:tc>
                <w:tcPr>
                  <w:tcW w:w="695" w:type="dxa"/>
                  <w:vMerge w:val="restart"/>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24.793</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固体分</w:t>
                  </w: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14.23</w:t>
                  </w:r>
                </w:p>
              </w:tc>
              <w:tc>
                <w:tcPr>
                  <w:tcW w:w="8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0.213</w:t>
                  </w: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0.142</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9.819</w:t>
                  </w:r>
                </w:p>
              </w:tc>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3.650</w:t>
                  </w:r>
                </w:p>
              </w:tc>
              <w:tc>
                <w:tcPr>
                  <w:tcW w:w="11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0.406</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69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9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2.612</w:t>
                  </w:r>
                </w:p>
              </w:tc>
              <w:tc>
                <w:tcPr>
                  <w:tcW w:w="8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0.131</w:t>
                  </w: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1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2.233</w:t>
                  </w:r>
                </w:p>
              </w:tc>
              <w:tc>
                <w:tcPr>
                  <w:tcW w:w="10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0.248</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27" w:hRule="atLeast"/>
              </w:trPr>
              <w:tc>
                <w:tcPr>
                  <w:tcW w:w="695" w:type="dxa"/>
                  <w:vMerge w:val="continue"/>
                  <w:tcBorders>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p>
              </w:tc>
              <w:tc>
                <w:tcPr>
                  <w:tcW w:w="980"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水份</w:t>
                  </w:r>
                </w:p>
              </w:tc>
              <w:tc>
                <w:tcPr>
                  <w:tcW w:w="927"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7.951</w:t>
                  </w:r>
                </w:p>
              </w:tc>
              <w:tc>
                <w:tcPr>
                  <w:tcW w:w="5710" w:type="dxa"/>
                  <w:gridSpan w:val="6"/>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7.951</w:t>
                  </w:r>
                </w:p>
              </w:tc>
            </w:tr>
            <w:bookmarkEnd w:id="2"/>
          </w:tbl>
          <w:p>
            <w:pPr>
              <w:pStyle w:val="2"/>
              <w:rPr>
                <w:color w:val="auto"/>
              </w:rPr>
            </w:pPr>
          </w:p>
          <w:p>
            <w:pPr>
              <w:pStyle w:val="64"/>
              <w:ind w:left="0" w:leftChars="0" w:firstLine="0" w:firstLineChars="0"/>
              <w:jc w:val="center"/>
              <w:rPr>
                <w:color w:val="auto"/>
              </w:rPr>
            </w:pPr>
            <w:r>
              <w:rPr>
                <w:color w:val="auto"/>
              </w:rPr>
              <w:drawing>
                <wp:inline distT="0" distB="0" distL="114300" distR="114300">
                  <wp:extent cx="5268595" cy="4568825"/>
                  <wp:effectExtent l="0" t="0" r="825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8595" cy="4568825"/>
                          </a:xfrm>
                          <a:prstGeom prst="rect">
                            <a:avLst/>
                          </a:prstGeom>
                          <a:noFill/>
                          <a:ln>
                            <a:noFill/>
                          </a:ln>
                        </pic:spPr>
                      </pic:pic>
                    </a:graphicData>
                  </a:graphic>
                </wp:inline>
              </w:drawing>
            </w:r>
            <w:r>
              <w:rPr>
                <w:rFonts w:hint="default" w:ascii="Times New Roman" w:hAnsi="Times New Roman" w:cs="Times New Roman"/>
                <w:b/>
                <w:bCs/>
                <w:color w:val="auto"/>
                <w:sz w:val="21"/>
                <w:szCs w:val="21"/>
              </w:rPr>
              <w:t>图4-2  项目水性漆平衡图（t/a）</w:t>
            </w:r>
          </w:p>
        </w:tc>
      </w:tr>
    </w:tbl>
    <w:p>
      <w:pPr>
        <w:rPr>
          <w:color w:val="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77"/>
        <w:spacing w:line="360" w:lineRule="auto"/>
        <w:ind w:left="420"/>
        <w:rPr>
          <w:rFonts w:cs="Times New Roman"/>
          <w:color w:val="auto"/>
          <w:sz w:val="24"/>
          <w:szCs w:val="24"/>
        </w:rPr>
      </w:pPr>
      <w:r>
        <w:rPr>
          <w:color w:val="auto"/>
          <w:sz w:val="24"/>
          <w:szCs w:val="24"/>
        </w:rPr>
        <w:t>表4-</w:t>
      </w:r>
      <w:r>
        <w:rPr>
          <w:rFonts w:hint="eastAsia"/>
          <w:color w:val="auto"/>
          <w:sz w:val="24"/>
          <w:szCs w:val="24"/>
          <w:lang w:val="en-US" w:eastAsia="zh-CN"/>
        </w:rPr>
        <w:t>3</w:t>
      </w:r>
      <w:r>
        <w:rPr>
          <w:rFonts w:hint="eastAsia"/>
          <w:color w:val="auto"/>
          <w:sz w:val="24"/>
          <w:szCs w:val="24"/>
        </w:rPr>
        <w:t xml:space="preserve"> </w:t>
      </w:r>
      <w:r>
        <w:rPr>
          <w:rFonts w:cs="Times New Roman"/>
          <w:color w:val="auto"/>
          <w:sz w:val="24"/>
          <w:szCs w:val="24"/>
        </w:rPr>
        <w:t xml:space="preserve"> </w:t>
      </w:r>
      <w:r>
        <w:rPr>
          <w:rFonts w:hint="eastAsia" w:cs="Times New Roman"/>
          <w:color w:val="auto"/>
          <w:sz w:val="24"/>
          <w:szCs w:val="24"/>
        </w:rPr>
        <w:t>项目废气污染物排放源情况表</w:t>
      </w:r>
    </w:p>
    <w:tbl>
      <w:tblPr>
        <w:tblStyle w:val="35"/>
        <w:tblW w:w="5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80"/>
        <w:gridCol w:w="850"/>
        <w:gridCol w:w="852"/>
        <w:gridCol w:w="850"/>
        <w:gridCol w:w="806"/>
        <w:gridCol w:w="803"/>
        <w:gridCol w:w="2229"/>
        <w:gridCol w:w="749"/>
        <w:gridCol w:w="723"/>
        <w:gridCol w:w="668"/>
        <w:gridCol w:w="915"/>
        <w:gridCol w:w="814"/>
        <w:gridCol w:w="739"/>
        <w:gridCol w:w="748"/>
        <w:gridCol w:w="713"/>
        <w:gridCol w:w="673"/>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7" w:hRule="atLeast"/>
          <w:tblHeader/>
          <w:jc w:val="center"/>
        </w:trPr>
        <w:tc>
          <w:tcPr>
            <w:tcW w:w="270" w:type="pct"/>
            <w:vMerge w:val="restart"/>
            <w:tcBorders>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产污</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工序</w:t>
            </w:r>
          </w:p>
        </w:tc>
        <w:tc>
          <w:tcPr>
            <w:tcW w:w="294" w:type="pct"/>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868" w:type="pct"/>
            <w:gridSpan w:val="3"/>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污染物产生情况</w:t>
            </w:r>
          </w:p>
        </w:tc>
        <w:tc>
          <w:tcPr>
            <w:tcW w:w="278" w:type="pct"/>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排放</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形式</w:t>
            </w:r>
          </w:p>
        </w:tc>
        <w:tc>
          <w:tcPr>
            <w:tcW w:w="2112" w:type="pct"/>
            <w:gridSpan w:val="6"/>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治理设施</w:t>
            </w:r>
          </w:p>
        </w:tc>
        <w:tc>
          <w:tcPr>
            <w:tcW w:w="762" w:type="pct"/>
            <w:gridSpan w:val="3"/>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污染物排放情况</w:t>
            </w:r>
          </w:p>
        </w:tc>
        <w:tc>
          <w:tcPr>
            <w:tcW w:w="233" w:type="pct"/>
            <w:vMerge w:val="restart"/>
            <w:tcBorders>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排放标准限值</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180" w:type="pct"/>
            <w:vMerge w:val="restart"/>
            <w:tcBorders>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是否达标排放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4" w:hRule="atLeast"/>
          <w:tblHeader/>
          <w:jc w:val="center"/>
        </w:trPr>
        <w:tc>
          <w:tcPr>
            <w:tcW w:w="270" w:type="pct"/>
            <w:vMerge w:val="continue"/>
            <w:tcBorders>
              <w:top w:val="single" w:color="auto" w:sz="12"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94" w:type="pct"/>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868" w:type="pct"/>
            <w:gridSpan w:val="3"/>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78" w:type="pct"/>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772"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主要治理措施</w:t>
            </w:r>
          </w:p>
        </w:tc>
        <w:tc>
          <w:tcPr>
            <w:tcW w:w="259"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bCs/>
                <w:color w:val="auto"/>
                <w:szCs w:val="21"/>
                <w:lang w:val="en-US" w:eastAsia="zh-CN"/>
              </w:rPr>
              <w:t>风量</w:t>
            </w:r>
            <w:r>
              <w:rPr>
                <w:rFonts w:hint="default" w:ascii="Times New Roman" w:hAnsi="Times New Roman" w:cs="Times New Roman"/>
                <w:color w:val="auto"/>
                <w:kern w:val="0"/>
                <w:szCs w:val="21"/>
              </w:rPr>
              <w:t>(m</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/h)</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工作时间</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h/a</w:t>
            </w:r>
          </w:p>
        </w:tc>
        <w:tc>
          <w:tcPr>
            <w:tcW w:w="231" w:type="pct"/>
            <w:vMerge w:val="restart"/>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收集效率</w:t>
            </w:r>
          </w:p>
        </w:tc>
        <w:tc>
          <w:tcPr>
            <w:tcW w:w="317"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治理工艺去除率</w:t>
            </w:r>
          </w:p>
        </w:tc>
        <w:tc>
          <w:tcPr>
            <w:tcW w:w="282"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是否为可行技术</w:t>
            </w:r>
          </w:p>
        </w:tc>
        <w:tc>
          <w:tcPr>
            <w:tcW w:w="76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33" w:type="pct"/>
            <w:vMerge w:val="continue"/>
            <w:tcBorders>
              <w:left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180" w:type="pct"/>
            <w:vMerge w:val="continue"/>
            <w:tcBorders>
              <w:top w:val="single" w:color="auto" w:sz="12" w:space="0"/>
              <w:left w:val="single" w:color="auto" w:sz="4" w:space="0"/>
              <w:bottom w:val="single" w:color="auto" w:sz="4" w:space="0"/>
            </w:tcBorders>
            <w:vAlign w:val="center"/>
          </w:tcPr>
          <w:p>
            <w:pPr>
              <w:widowControl/>
              <w:spacing w:line="24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7" w:hRule="atLeast"/>
          <w:tblHeader/>
          <w:jc w:val="center"/>
        </w:trPr>
        <w:tc>
          <w:tcPr>
            <w:tcW w:w="270" w:type="pct"/>
            <w:vMerge w:val="continue"/>
            <w:tcBorders>
              <w:top w:val="single" w:color="auto" w:sz="12"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94" w:type="pct"/>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9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产生量t/a</w:t>
            </w:r>
          </w:p>
        </w:tc>
        <w:tc>
          <w:tcPr>
            <w:tcW w:w="29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产生速率kg/h</w:t>
            </w:r>
          </w:p>
        </w:tc>
        <w:tc>
          <w:tcPr>
            <w:tcW w:w="2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产生</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浓度mg/m</w:t>
            </w:r>
            <w:r>
              <w:rPr>
                <w:rFonts w:hint="default" w:ascii="Times New Roman" w:hAnsi="Times New Roman" w:cs="Times New Roman"/>
                <w:color w:val="auto"/>
                <w:szCs w:val="21"/>
                <w:vertAlign w:val="superscript"/>
              </w:rPr>
              <w:t>3</w:t>
            </w:r>
          </w:p>
        </w:tc>
        <w:tc>
          <w:tcPr>
            <w:tcW w:w="278" w:type="pct"/>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77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5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31" w:type="pct"/>
            <w:vMerge w:val="continue"/>
            <w:tcBorders>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8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szCs w:val="21"/>
              </w:rPr>
            </w:pPr>
          </w:p>
        </w:tc>
        <w:tc>
          <w:tcPr>
            <w:tcW w:w="2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排放量t/a</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排放速率kg/h</w:t>
            </w:r>
          </w:p>
        </w:tc>
        <w:tc>
          <w:tcPr>
            <w:tcW w:w="2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排放</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浓度mg/m</w:t>
            </w:r>
            <w:r>
              <w:rPr>
                <w:rFonts w:hint="default" w:ascii="Times New Roman" w:hAnsi="Times New Roman" w:cs="Times New Roman"/>
                <w:color w:val="auto"/>
                <w:szCs w:val="21"/>
                <w:vertAlign w:val="superscript"/>
              </w:rPr>
              <w:t>3</w:t>
            </w:r>
          </w:p>
        </w:tc>
        <w:tc>
          <w:tcPr>
            <w:tcW w:w="233" w:type="pct"/>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180" w:type="pct"/>
            <w:vMerge w:val="continue"/>
            <w:tcBorders>
              <w:top w:val="single" w:color="auto" w:sz="12" w:space="0"/>
              <w:left w:val="single" w:color="auto" w:sz="4" w:space="0"/>
              <w:bottom w:val="single" w:color="auto" w:sz="4" w:space="0"/>
            </w:tcBorders>
            <w:vAlign w:val="center"/>
          </w:tcPr>
          <w:p>
            <w:pPr>
              <w:widowControl/>
              <w:spacing w:line="24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restart"/>
            <w:tcBorders>
              <w:top w:val="single" w:color="auto" w:sz="4" w:space="0"/>
              <w:right w:val="single" w:color="auto" w:sz="4" w:space="0"/>
            </w:tcBorders>
            <w:vAlign w:val="center"/>
          </w:tcPr>
          <w:p>
            <w:pPr>
              <w:jc w:val="center"/>
              <w:rPr>
                <w:color w:val="auto"/>
                <w:szCs w:val="21"/>
              </w:rPr>
            </w:pPr>
            <w:r>
              <w:rPr>
                <w:rFonts w:hint="eastAsia"/>
                <w:color w:val="auto"/>
                <w:szCs w:val="21"/>
              </w:rPr>
              <w:t>下料</w:t>
            </w:r>
          </w:p>
          <w:p>
            <w:pPr>
              <w:jc w:val="center"/>
              <w:rPr>
                <w:rFonts w:hint="default" w:ascii="Times New Roman" w:hAnsi="Times New Roman" w:cs="Times New Roman"/>
                <w:color w:val="auto"/>
                <w:szCs w:val="21"/>
              </w:rPr>
            </w:pPr>
            <w:r>
              <w:rPr>
                <w:rFonts w:hint="eastAsia"/>
                <w:color w:val="auto"/>
                <w:szCs w:val="21"/>
              </w:rPr>
              <w:t>车间</w:t>
            </w:r>
          </w:p>
        </w:tc>
        <w:tc>
          <w:tcPr>
            <w:tcW w:w="294"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r>
              <w:rPr>
                <w:color w:val="auto"/>
                <w:szCs w:val="21"/>
              </w:rPr>
              <w:t>颗粒物</w:t>
            </w: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eastAsia="宋体" w:cs="Times New Roman"/>
                <w:color w:val="auto"/>
                <w:kern w:val="0"/>
                <w:szCs w:val="21"/>
                <w:lang w:val="en-US" w:eastAsia="zh-CN" w:bidi="ar"/>
              </w:rPr>
            </w:pPr>
            <w:r>
              <w:rPr>
                <w:rFonts w:hint="eastAsia"/>
                <w:color w:val="auto"/>
                <w:szCs w:val="21"/>
                <w:lang w:val="en-US" w:eastAsia="zh-CN"/>
              </w:rPr>
              <w:t>11.7</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eastAsia="等线"/>
                <w:color w:val="auto"/>
                <w:kern w:val="0"/>
                <w:szCs w:val="21"/>
                <w:lang w:val="en-US" w:eastAsia="zh-CN" w:bidi="ar"/>
              </w:rPr>
              <w:t>4.875</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color w:val="auto"/>
                <w:szCs w:val="21"/>
                <w:lang w:val="en-US" w:eastAsia="zh-CN"/>
              </w:rPr>
              <w:t>1625</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eastAsia" w:ascii="宋体" w:hAnsi="宋体" w:cs="宋体"/>
                <w:color w:val="auto"/>
                <w:kern w:val="0"/>
                <w:szCs w:val="21"/>
                <w:lang w:bidi="ar"/>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bCs/>
                <w:color w:val="auto"/>
                <w:kern w:val="24"/>
                <w:sz w:val="21"/>
                <w:szCs w:val="21"/>
                <w:lang w:eastAsia="zh-CN"/>
              </w:rPr>
            </w:pPr>
            <w:r>
              <w:rPr>
                <w:rFonts w:hint="default" w:ascii="Times New Roman" w:hAnsi="Times New Roman" w:cs="Times New Roman"/>
                <w:color w:val="auto"/>
                <w:kern w:val="0"/>
                <w:sz w:val="21"/>
                <w:szCs w:val="21"/>
                <w:lang w:bidi="ar"/>
              </w:rPr>
              <w:t>集气系统+布袋除尘+不低于15m高排气筒（DA001）</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3000</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2400</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auto"/>
                <w:kern w:val="0"/>
                <w:szCs w:val="21"/>
                <w:lang w:val="en-US" w:eastAsia="zh-CN" w:bidi="ar"/>
              </w:rPr>
            </w:pPr>
            <w:r>
              <w:rPr>
                <w:rFonts w:hint="default" w:ascii="Times New Roman" w:hAnsi="Times New Roman" w:cs="Times New Roman"/>
                <w:color w:val="auto"/>
                <w:kern w:val="0"/>
                <w:szCs w:val="21"/>
                <w:lang w:bidi="ar"/>
              </w:rPr>
              <w:t>90%</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95%</w:t>
            </w:r>
          </w:p>
        </w:tc>
        <w:tc>
          <w:tcPr>
            <w:tcW w:w="2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是</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cs="Times New Roman"/>
                <w:color w:val="auto"/>
                <w:kern w:val="0"/>
                <w:szCs w:val="21"/>
                <w:lang w:val="en-US" w:eastAsia="zh-CN" w:bidi="ar"/>
              </w:rPr>
              <w:t>0.585</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0.</w:t>
            </w:r>
            <w:r>
              <w:rPr>
                <w:rFonts w:hint="eastAsia" w:cs="Times New Roman"/>
                <w:color w:val="auto"/>
                <w:kern w:val="0"/>
                <w:szCs w:val="21"/>
                <w:lang w:val="en-US" w:eastAsia="zh-CN" w:bidi="ar"/>
              </w:rPr>
              <w:t>244</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eastAsia="等线" w:cs="Times New Roman"/>
                <w:color w:val="auto"/>
                <w:kern w:val="0"/>
                <w:szCs w:val="21"/>
                <w:lang w:val="en-US" w:eastAsia="zh-CN" w:bidi="ar"/>
              </w:rPr>
              <w:t>81.25</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120</w:t>
            </w:r>
          </w:p>
        </w:tc>
        <w:tc>
          <w:tcPr>
            <w:tcW w:w="180" w:type="pct"/>
            <w:tcBorders>
              <w:top w:val="single" w:color="auto" w:sz="4" w:space="0"/>
              <w:left w:val="single" w:color="auto" w:sz="4" w:space="0"/>
              <w:bottom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eastAsia" w:ascii="宋体" w:hAnsi="宋体" w:cs="宋体"/>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continue"/>
            <w:tcBorders>
              <w:top w:val="single" w:color="auto" w:sz="4" w:space="0"/>
              <w:right w:val="single" w:color="auto" w:sz="4" w:space="0"/>
            </w:tcBorders>
            <w:vAlign w:val="center"/>
          </w:tcPr>
          <w:p>
            <w:pPr>
              <w:jc w:val="center"/>
              <w:rPr>
                <w:rFonts w:hint="default" w:ascii="Times New Roman" w:hAnsi="Times New Roman" w:cs="Times New Roman"/>
                <w:color w:val="auto"/>
                <w:szCs w:val="21"/>
              </w:rPr>
            </w:pPr>
          </w:p>
        </w:tc>
        <w:tc>
          <w:tcPr>
            <w:tcW w:w="294" w:type="pct"/>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s="Times New Roman"/>
                <w:color w:val="auto"/>
                <w:kern w:val="0"/>
                <w:szCs w:val="21"/>
                <w:lang w:val="en-US" w:eastAsia="zh-CN" w:bidi="ar"/>
              </w:rPr>
            </w:pPr>
            <w:r>
              <w:rPr>
                <w:rFonts w:hint="eastAsia"/>
                <w:color w:val="auto"/>
                <w:kern w:val="0"/>
                <w:szCs w:val="21"/>
                <w:lang w:val="en-US" w:eastAsia="zh-CN" w:bidi="ar"/>
              </w:rPr>
              <w:t>1.3</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color w:val="auto"/>
                <w:kern w:val="0"/>
                <w:szCs w:val="21"/>
                <w:lang w:bidi="ar"/>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color w:val="auto"/>
                <w:kern w:val="0"/>
                <w:szCs w:val="21"/>
                <w:lang w:bidi="ar"/>
              </w:rPr>
              <w:t>/</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eastAsia" w:ascii="宋体" w:hAnsi="宋体" w:cs="宋体"/>
                <w:color w:val="auto"/>
                <w:kern w:val="0"/>
                <w:szCs w:val="21"/>
                <w:lang w:bidi="ar"/>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Cs/>
                <w:color w:val="auto"/>
                <w:kern w:val="24"/>
                <w:sz w:val="21"/>
                <w:szCs w:val="21"/>
                <w:lang w:val="en-US" w:eastAsia="zh-CN"/>
              </w:rPr>
            </w:pPr>
            <w:r>
              <w:rPr>
                <w:rFonts w:hint="default" w:ascii="Times New Roman" w:hAnsi="Times New Roman" w:cs="Times New Roman"/>
                <w:color w:val="auto"/>
                <w:kern w:val="0"/>
                <w:sz w:val="21"/>
                <w:szCs w:val="21"/>
                <w:lang w:val="en-US" w:eastAsia="zh-CN" w:bidi="ar"/>
              </w:rPr>
              <w:t>生产时厂房密闭，颗粒物自然沉降</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2400</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color w:val="auto"/>
                <w:kern w:val="0"/>
                <w:szCs w:val="21"/>
                <w:lang w:val="en-US" w:eastAsia="zh-CN" w:bidi="ar"/>
              </w:rPr>
            </w:pPr>
            <w:r>
              <w:rPr>
                <w:rFonts w:hint="default" w:ascii="Times New Roman" w:hAnsi="Times New Roman" w:cs="Times New Roman"/>
                <w:color w:val="auto"/>
                <w:kern w:val="0"/>
                <w:szCs w:val="21"/>
                <w:lang w:bidi="ar"/>
              </w:rPr>
              <w:t>/</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eastAsia" w:cs="Times New Roman"/>
                <w:color w:val="auto"/>
                <w:kern w:val="0"/>
                <w:szCs w:val="21"/>
                <w:lang w:val="en-US" w:eastAsia="zh-CN" w:bidi="ar"/>
              </w:rPr>
              <w:t>50%</w:t>
            </w:r>
          </w:p>
        </w:tc>
        <w:tc>
          <w:tcPr>
            <w:tcW w:w="2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是</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default" w:ascii="Times New Roman" w:hAnsi="Times New Roman" w:cs="Times New Roman"/>
                <w:color w:val="auto"/>
                <w:kern w:val="0"/>
                <w:szCs w:val="21"/>
                <w:lang w:bidi="ar"/>
              </w:rPr>
              <w:t>0.</w:t>
            </w:r>
            <w:r>
              <w:rPr>
                <w:rFonts w:hint="eastAsia" w:cs="Times New Roman"/>
                <w:color w:val="auto"/>
                <w:kern w:val="0"/>
                <w:szCs w:val="21"/>
                <w:lang w:val="en-US" w:eastAsia="zh-CN" w:bidi="ar"/>
              </w:rPr>
              <w:t>65</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w:t>
            </w:r>
          </w:p>
        </w:tc>
        <w:tc>
          <w:tcPr>
            <w:tcW w:w="180" w:type="pct"/>
            <w:tcBorders>
              <w:top w:val="single" w:color="auto" w:sz="4" w:space="0"/>
              <w:left w:val="single" w:color="auto" w:sz="4" w:space="0"/>
              <w:bottom w:val="single" w:color="auto" w:sz="4" w:space="0"/>
            </w:tcBorders>
            <w:vAlign w:val="center"/>
          </w:tcPr>
          <w:p>
            <w:pPr>
              <w:widowControl/>
              <w:jc w:val="center"/>
              <w:textAlignment w:val="center"/>
              <w:rPr>
                <w:rFonts w:hint="default" w:ascii="Times New Roman" w:hAnsi="Times New Roman" w:cs="Times New Roman"/>
                <w:color w:val="auto"/>
                <w:kern w:val="0"/>
                <w:szCs w:val="21"/>
                <w:lang w:bidi="ar"/>
              </w:rPr>
            </w:pPr>
            <w:r>
              <w:rPr>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restart"/>
            <w:tcBorders>
              <w:top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焊接</w:t>
            </w:r>
          </w:p>
          <w:p>
            <w:pPr>
              <w:jc w:val="center"/>
              <w:rPr>
                <w:rFonts w:hint="default" w:ascii="Times New Roman" w:hAnsi="Times New Roman" w:cs="Times New Roman"/>
                <w:color w:val="auto"/>
                <w:szCs w:val="21"/>
              </w:rPr>
            </w:pPr>
            <w:r>
              <w:rPr>
                <w:rFonts w:hint="eastAsia" w:ascii="宋体" w:hAnsi="宋体" w:cs="宋体"/>
                <w:color w:val="auto"/>
                <w:szCs w:val="21"/>
              </w:rPr>
              <w:t>车间</w:t>
            </w:r>
          </w:p>
        </w:tc>
        <w:tc>
          <w:tcPr>
            <w:tcW w:w="294"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r>
              <w:rPr>
                <w:color w:val="auto"/>
                <w:szCs w:val="21"/>
              </w:rPr>
              <w:t>颗粒物</w:t>
            </w: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bidi="ar"/>
              </w:rPr>
              <w:t>1.159</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bidi="ar"/>
              </w:rPr>
              <w:t>0.644</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bidi="ar"/>
              </w:rPr>
              <w:t>214.667</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cs="宋体"/>
                <w:color w:val="auto"/>
                <w:kern w:val="0"/>
                <w:szCs w:val="21"/>
                <w:lang w:bidi="ar"/>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集气系统+布袋除尘+不低于15m高排气筒（DA002）</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3000</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1800</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90%</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95%</w:t>
            </w:r>
          </w:p>
        </w:tc>
        <w:tc>
          <w:tcPr>
            <w:tcW w:w="2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是</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0.058</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0.03</w:t>
            </w:r>
            <w:r>
              <w:rPr>
                <w:rFonts w:hint="eastAsia" w:cs="Times New Roman"/>
                <w:color w:val="auto"/>
                <w:kern w:val="0"/>
                <w:szCs w:val="21"/>
                <w:lang w:val="en-US" w:eastAsia="zh-CN" w:bidi="ar"/>
              </w:rPr>
              <w:t>2</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eastAsia" w:eastAsia="等线" w:cs="Times New Roman"/>
                <w:color w:val="auto"/>
                <w:kern w:val="0"/>
                <w:szCs w:val="21"/>
                <w:lang w:val="en-US" w:eastAsia="zh-CN" w:bidi="ar"/>
              </w:rPr>
              <w:t>10.667</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120</w:t>
            </w:r>
          </w:p>
        </w:tc>
        <w:tc>
          <w:tcPr>
            <w:tcW w:w="180" w:type="pct"/>
            <w:tcBorders>
              <w:top w:val="single" w:color="auto" w:sz="4" w:space="0"/>
              <w:left w:val="single" w:color="auto" w:sz="4" w:space="0"/>
              <w:bottom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cs="宋体"/>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continue"/>
            <w:tcBorders>
              <w:right w:val="single" w:color="auto" w:sz="4" w:space="0"/>
            </w:tcBorders>
            <w:vAlign w:val="center"/>
          </w:tcPr>
          <w:p>
            <w:pPr>
              <w:jc w:val="center"/>
              <w:rPr>
                <w:rFonts w:hint="default" w:ascii="Times New Roman" w:hAnsi="Times New Roman" w:cs="Times New Roman"/>
                <w:color w:val="auto"/>
                <w:szCs w:val="21"/>
              </w:rPr>
            </w:pPr>
          </w:p>
        </w:tc>
        <w:tc>
          <w:tcPr>
            <w:tcW w:w="294" w:type="pct"/>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kern w:val="2"/>
                <w:sz w:val="21"/>
                <w:szCs w:val="21"/>
                <w:lang w:val="en-US" w:eastAsia="zh-CN" w:bidi="ar-SA"/>
              </w:rPr>
            </w:pPr>
            <w:r>
              <w:rPr>
                <w:rFonts w:hint="eastAsia"/>
                <w:color w:val="auto"/>
                <w:kern w:val="0"/>
                <w:szCs w:val="21"/>
                <w:lang w:val="en-US" w:eastAsia="zh-CN" w:bidi="ar"/>
              </w:rPr>
              <w:t>0.129</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color w:val="auto"/>
                <w:kern w:val="0"/>
                <w:szCs w:val="21"/>
                <w:lang w:bidi="ar"/>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color w:val="auto"/>
                <w:kern w:val="0"/>
                <w:szCs w:val="21"/>
                <w:lang w:bidi="ar"/>
              </w:rPr>
              <w:t>/</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cs="宋体"/>
                <w:color w:val="auto"/>
                <w:kern w:val="0"/>
                <w:szCs w:val="21"/>
                <w:lang w:bidi="ar"/>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1800</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2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是</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Cs w:val="21"/>
                <w:lang w:val="en-US" w:eastAsia="zh-CN" w:bidi="ar"/>
              </w:rPr>
              <w:t>0.129</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bidi="ar"/>
              </w:rPr>
              <w:t>/</w:t>
            </w:r>
          </w:p>
        </w:tc>
        <w:tc>
          <w:tcPr>
            <w:tcW w:w="180" w:type="pct"/>
            <w:tcBorders>
              <w:top w:val="single" w:color="auto" w:sz="4" w:space="0"/>
              <w:left w:val="single" w:color="auto" w:sz="4" w:space="0"/>
              <w:bottom w:val="single" w:color="auto" w:sz="4"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restart"/>
            <w:tcBorders>
              <w:right w:val="single" w:color="auto" w:sz="4" w:space="0"/>
            </w:tcBorders>
            <w:vAlign w:val="center"/>
          </w:tcPr>
          <w:p>
            <w:pPr>
              <w:spacing w:line="240" w:lineRule="auto"/>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抛丸</w:t>
            </w:r>
          </w:p>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车间</w:t>
            </w:r>
          </w:p>
        </w:tc>
        <w:tc>
          <w:tcPr>
            <w:tcW w:w="294" w:type="pct"/>
            <w:vMerge w:val="restart"/>
            <w:tcBorders>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29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19.316</w:t>
            </w:r>
          </w:p>
        </w:tc>
        <w:tc>
          <w:tcPr>
            <w:tcW w:w="29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16.097</w:t>
            </w:r>
          </w:p>
        </w:tc>
        <w:tc>
          <w:tcPr>
            <w:tcW w:w="2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2012.125</w:t>
            </w:r>
          </w:p>
        </w:tc>
        <w:tc>
          <w:tcPr>
            <w:tcW w:w="27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772"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集气系统+布袋除尘+不低于15m高排气筒（DA003）</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color w:val="auto"/>
                <w:kern w:val="0"/>
                <w:szCs w:val="21"/>
                <w:lang w:val="en-US" w:eastAsia="zh-CN" w:bidi="ar"/>
              </w:rPr>
              <w:t>8</w:t>
            </w:r>
            <w:r>
              <w:rPr>
                <w:rFonts w:hint="default" w:ascii="Times New Roman" w:hAnsi="Times New Roman" w:cs="Times New Roman"/>
                <w:color w:val="auto"/>
                <w:kern w:val="0"/>
                <w:szCs w:val="21"/>
                <w:lang w:bidi="ar"/>
              </w:rPr>
              <w:t>000</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1200</w:t>
            </w:r>
          </w:p>
        </w:tc>
        <w:tc>
          <w:tcPr>
            <w:tcW w:w="231"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98%</w:t>
            </w:r>
          </w:p>
        </w:tc>
        <w:tc>
          <w:tcPr>
            <w:tcW w:w="31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95%</w:t>
            </w:r>
          </w:p>
        </w:tc>
        <w:tc>
          <w:tcPr>
            <w:tcW w:w="2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2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0.966</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0.805</w:t>
            </w:r>
          </w:p>
        </w:tc>
        <w:tc>
          <w:tcPr>
            <w:tcW w:w="2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100.625</w:t>
            </w:r>
          </w:p>
        </w:tc>
        <w:tc>
          <w:tcPr>
            <w:tcW w:w="2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120</w:t>
            </w:r>
          </w:p>
        </w:tc>
        <w:tc>
          <w:tcPr>
            <w:tcW w:w="180" w:type="pct"/>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294" w:type="pct"/>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0.394</w:t>
            </w:r>
          </w:p>
        </w:tc>
        <w:tc>
          <w:tcPr>
            <w:tcW w:w="29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无组织</w:t>
            </w:r>
          </w:p>
        </w:tc>
        <w:tc>
          <w:tcPr>
            <w:tcW w:w="772" w:type="pct"/>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1200</w:t>
            </w:r>
          </w:p>
        </w:tc>
        <w:tc>
          <w:tcPr>
            <w:tcW w:w="2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2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0.394</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2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80" w:type="pct"/>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1" w:hRule="atLeast"/>
          <w:tblHeader/>
          <w:jc w:val="center"/>
        </w:trPr>
        <w:tc>
          <w:tcPr>
            <w:tcW w:w="270" w:type="pct"/>
            <w:vMerge w:val="restart"/>
            <w:tcBorders>
              <w:top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喷漆</w:t>
            </w:r>
          </w:p>
        </w:tc>
        <w:tc>
          <w:tcPr>
            <w:tcW w:w="294" w:type="pct"/>
            <w:vMerge w:val="restart"/>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漆雾</w:t>
            </w:r>
          </w:p>
        </w:tc>
        <w:tc>
          <w:tcPr>
            <w:tcW w:w="29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等线" w:cs="Times New Roman"/>
                <w:color w:val="auto"/>
                <w:kern w:val="0"/>
                <w:szCs w:val="21"/>
                <w:lang w:val="en-US" w:eastAsia="zh-CN" w:bidi="ar"/>
              </w:rPr>
            </w:pPr>
            <w:r>
              <w:rPr>
                <w:rFonts w:hint="eastAsia" w:eastAsia="等线" w:cs="Times New Roman"/>
                <w:color w:val="auto"/>
                <w:lang w:val="en-US" w:eastAsia="zh-CN"/>
              </w:rPr>
              <w:t>4.056</w:t>
            </w:r>
          </w:p>
        </w:tc>
        <w:tc>
          <w:tcPr>
            <w:tcW w:w="29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eastAsia="宋体" w:cs="Times New Roman"/>
                <w:color w:val="auto"/>
                <w:kern w:val="0"/>
                <w:szCs w:val="21"/>
                <w:lang w:val="en-US" w:eastAsia="zh-CN" w:bidi="ar"/>
              </w:rPr>
            </w:pPr>
            <w:r>
              <w:rPr>
                <w:rFonts w:hint="eastAsia" w:cs="Times New Roman"/>
                <w:color w:val="auto"/>
                <w:szCs w:val="21"/>
                <w:lang w:val="en-US" w:eastAsia="zh-CN"/>
              </w:rPr>
              <w:t>2.253</w:t>
            </w:r>
          </w:p>
        </w:tc>
        <w:tc>
          <w:tcPr>
            <w:tcW w:w="27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eastAsia="等线" w:cs="Times New Roman"/>
                <w:color w:val="auto"/>
                <w:kern w:val="0"/>
                <w:szCs w:val="21"/>
                <w:lang w:val="en-US" w:eastAsia="zh-CN" w:bidi="ar"/>
              </w:rPr>
            </w:pPr>
            <w:r>
              <w:rPr>
                <w:rFonts w:hint="eastAsia" w:eastAsia="等线" w:cs="Times New Roman"/>
                <w:color w:val="auto"/>
                <w:kern w:val="0"/>
                <w:szCs w:val="21"/>
                <w:lang w:val="en-US" w:eastAsia="zh-CN" w:bidi="ar"/>
              </w:rPr>
              <w:t>225.333</w:t>
            </w:r>
          </w:p>
        </w:tc>
        <w:tc>
          <w:tcPr>
            <w:tcW w:w="2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集气系统+</w:t>
            </w:r>
            <w:r>
              <w:rPr>
                <w:rFonts w:hint="default" w:ascii="Times New Roman" w:hAnsi="Times New Roman" w:cs="Times New Roman"/>
                <w:bCs/>
                <w:color w:val="auto"/>
                <w:sz w:val="21"/>
                <w:szCs w:val="21"/>
              </w:rPr>
              <w:t>过滤棉+二级活性炭</w:t>
            </w:r>
            <w:r>
              <w:rPr>
                <w:rFonts w:hint="default" w:ascii="Times New Roman" w:hAnsi="Times New Roman" w:cs="Times New Roman"/>
                <w:color w:val="auto"/>
                <w:sz w:val="21"/>
                <w:szCs w:val="21"/>
              </w:rPr>
              <w:t>（活性炭纤维+活性炭颗粒）</w:t>
            </w:r>
            <w:r>
              <w:rPr>
                <w:rFonts w:hint="default" w:ascii="Times New Roman" w:hAnsi="Times New Roman" w:cs="Times New Roman"/>
                <w:bCs/>
                <w:color w:val="auto"/>
                <w:sz w:val="21"/>
                <w:szCs w:val="21"/>
              </w:rPr>
              <w:t>吸附+不低于15m高排气筒</w:t>
            </w:r>
            <w:r>
              <w:rPr>
                <w:rFonts w:hint="default" w:ascii="Times New Roman" w:hAnsi="Times New Roman" w:cs="Times New Roman"/>
                <w:color w:val="auto"/>
                <w:kern w:val="0"/>
                <w:sz w:val="21"/>
                <w:szCs w:val="21"/>
                <w:lang w:bidi="ar"/>
              </w:rPr>
              <w:t>（DA00</w:t>
            </w:r>
            <w:r>
              <w:rPr>
                <w:rFonts w:hint="default" w:ascii="Times New Roman" w:hAnsi="Times New Roman" w:cs="Times New Roman"/>
                <w:color w:val="auto"/>
                <w:kern w:val="0"/>
                <w:sz w:val="21"/>
                <w:szCs w:val="21"/>
                <w:lang w:val="en-US" w:eastAsia="zh-CN" w:bidi="ar"/>
              </w:rPr>
              <w:t>4</w:t>
            </w:r>
            <w:r>
              <w:rPr>
                <w:rFonts w:hint="default" w:ascii="Times New Roman" w:hAnsi="Times New Roman" w:cs="Times New Roman"/>
                <w:color w:val="auto"/>
                <w:kern w:val="0"/>
                <w:sz w:val="21"/>
                <w:szCs w:val="21"/>
                <w:lang w:bidi="ar"/>
              </w:rPr>
              <w:t>）</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eastAsia" w:cs="Times New Roman"/>
                <w:color w:val="auto"/>
                <w:szCs w:val="21"/>
                <w:lang w:val="en-US" w:eastAsia="zh-CN"/>
              </w:rPr>
              <w:t>1</w:t>
            </w:r>
            <w:r>
              <w:rPr>
                <w:rFonts w:hint="default" w:ascii="Times New Roman" w:hAnsi="Times New Roman" w:cs="Times New Roman"/>
                <w:color w:val="auto"/>
                <w:szCs w:val="21"/>
              </w:rPr>
              <w:t>0000</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1800</w:t>
            </w:r>
          </w:p>
        </w:tc>
        <w:tc>
          <w:tcPr>
            <w:tcW w:w="2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3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p>
        </w:tc>
        <w:tc>
          <w:tcPr>
            <w:tcW w:w="2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2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0"/>
                <w:szCs w:val="21"/>
                <w:lang w:val="en-US" w:eastAsia="zh-CN" w:bidi="ar"/>
              </w:rPr>
            </w:pPr>
            <w:r>
              <w:rPr>
                <w:rFonts w:hint="eastAsia" w:cs="Times New Roman"/>
                <w:color w:val="auto"/>
                <w:lang w:val="en-US" w:eastAsia="zh-CN"/>
              </w:rPr>
              <w:t>0.406</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等线" w:cs="Times New Roman"/>
                <w:color w:val="auto"/>
                <w:kern w:val="0"/>
                <w:szCs w:val="21"/>
                <w:lang w:val="en-US" w:eastAsia="zh-CN" w:bidi="ar"/>
              </w:rPr>
            </w:pPr>
            <w:r>
              <w:rPr>
                <w:rFonts w:hint="eastAsia" w:eastAsia="等线" w:cs="Times New Roman"/>
                <w:color w:val="auto"/>
                <w:kern w:val="0"/>
                <w:szCs w:val="21"/>
                <w:lang w:val="en-US" w:eastAsia="zh-CN" w:bidi="ar"/>
              </w:rPr>
              <w:t>0.226</w:t>
            </w:r>
          </w:p>
        </w:tc>
        <w:tc>
          <w:tcPr>
            <w:tcW w:w="2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等线" w:cs="Times New Roman"/>
                <w:color w:val="auto"/>
                <w:kern w:val="0"/>
                <w:szCs w:val="21"/>
                <w:lang w:val="en-US" w:eastAsia="zh-CN" w:bidi="ar"/>
              </w:rPr>
            </w:pPr>
            <w:r>
              <w:rPr>
                <w:rFonts w:hint="eastAsia" w:eastAsia="等线" w:cs="Times New Roman"/>
                <w:color w:val="auto"/>
                <w:kern w:val="0"/>
                <w:szCs w:val="21"/>
                <w:lang w:val="en-US" w:eastAsia="zh-CN" w:bidi="ar"/>
              </w:rPr>
              <w:t>22.556</w:t>
            </w:r>
          </w:p>
        </w:tc>
        <w:tc>
          <w:tcPr>
            <w:tcW w:w="2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120</w:t>
            </w:r>
          </w:p>
        </w:tc>
        <w:tc>
          <w:tcPr>
            <w:tcW w:w="180" w:type="pct"/>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1" w:hRule="atLeast"/>
          <w:tblHeader/>
          <w:jc w:val="center"/>
        </w:trPr>
        <w:tc>
          <w:tcPr>
            <w:tcW w:w="270" w:type="pct"/>
            <w:vMerge w:val="continue"/>
            <w:tcBorders>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29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color w:val="auto"/>
                <w:szCs w:val="21"/>
              </w:rPr>
            </w:pPr>
          </w:p>
        </w:tc>
        <w:tc>
          <w:tcPr>
            <w:tcW w:w="29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cs="Times New Roman"/>
                <w:color w:val="auto"/>
                <w:lang w:val="en-US" w:eastAsia="zh-CN"/>
              </w:rPr>
              <w:t>0.213</w:t>
            </w:r>
          </w:p>
        </w:tc>
        <w:tc>
          <w:tcPr>
            <w:tcW w:w="29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车间封闭</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1800</w:t>
            </w:r>
          </w:p>
        </w:tc>
        <w:tc>
          <w:tcPr>
            <w:tcW w:w="2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2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val="en-US"/>
              </w:rPr>
            </w:pPr>
            <w:r>
              <w:rPr>
                <w:rFonts w:hint="eastAsia" w:cs="Times New Roman"/>
                <w:color w:val="auto"/>
                <w:lang w:val="en-US" w:eastAsia="zh-CN"/>
              </w:rPr>
              <w:t>0.213</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80" w:type="pct"/>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continue"/>
            <w:tcBorders>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294" w:type="pct"/>
            <w:vMerge w:val="restart"/>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非甲烷总烃</w:t>
            </w:r>
          </w:p>
        </w:tc>
        <w:tc>
          <w:tcPr>
            <w:tcW w:w="29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uto"/>
              <w:jc w:val="center"/>
              <w:textAlignment w:val="bottom"/>
              <w:rPr>
                <w:rFonts w:hint="default" w:ascii="Times New Roman" w:hAnsi="Times New Roman" w:eastAsia="等线" w:cs="Times New Roman"/>
                <w:color w:val="auto"/>
                <w:szCs w:val="21"/>
                <w:lang w:val="en-US" w:eastAsia="zh-CN"/>
              </w:rPr>
            </w:pPr>
            <w:r>
              <w:rPr>
                <w:rFonts w:hint="eastAsia" w:eastAsia="等线" w:cs="Times New Roman"/>
                <w:color w:val="auto"/>
                <w:lang w:val="en-US" w:eastAsia="zh-CN"/>
              </w:rPr>
              <w:t>2.481</w:t>
            </w:r>
          </w:p>
        </w:tc>
        <w:tc>
          <w:tcPr>
            <w:tcW w:w="294"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uto"/>
              <w:jc w:val="center"/>
              <w:textAlignment w:val="bottom"/>
              <w:rPr>
                <w:rFonts w:hint="default" w:ascii="Times New Roman" w:hAnsi="Times New Roman" w:eastAsia="等线" w:cs="Times New Roman"/>
                <w:color w:val="auto"/>
                <w:szCs w:val="21"/>
                <w:lang w:val="en-US" w:eastAsia="zh-CN"/>
              </w:rPr>
            </w:pPr>
            <w:r>
              <w:rPr>
                <w:rFonts w:hint="eastAsia" w:eastAsia="等线" w:cs="Times New Roman"/>
                <w:color w:val="auto"/>
                <w:kern w:val="0"/>
                <w:szCs w:val="21"/>
                <w:lang w:val="en-US" w:eastAsia="zh-CN" w:bidi="ar"/>
              </w:rPr>
              <w:t>1.378</w:t>
            </w:r>
          </w:p>
        </w:tc>
        <w:tc>
          <w:tcPr>
            <w:tcW w:w="27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uto"/>
              <w:jc w:val="center"/>
              <w:textAlignment w:val="bottom"/>
              <w:rPr>
                <w:rFonts w:hint="default" w:ascii="Times New Roman" w:hAnsi="Times New Roman" w:eastAsia="等线" w:cs="Times New Roman"/>
                <w:color w:val="auto"/>
                <w:szCs w:val="21"/>
                <w:lang w:val="en-US" w:eastAsia="zh-CN"/>
              </w:rPr>
            </w:pPr>
            <w:r>
              <w:rPr>
                <w:rFonts w:hint="eastAsia" w:eastAsia="等线" w:cs="Times New Roman"/>
                <w:color w:val="auto"/>
                <w:kern w:val="0"/>
                <w:szCs w:val="21"/>
                <w:lang w:val="en-US" w:eastAsia="zh-CN" w:bidi="ar"/>
              </w:rPr>
              <w:t>137.833</w:t>
            </w:r>
          </w:p>
        </w:tc>
        <w:tc>
          <w:tcPr>
            <w:tcW w:w="27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集气系统+</w:t>
            </w:r>
            <w:r>
              <w:rPr>
                <w:rFonts w:hint="default" w:ascii="Times New Roman" w:hAnsi="Times New Roman" w:cs="Times New Roman"/>
                <w:bCs/>
                <w:color w:val="auto"/>
                <w:sz w:val="21"/>
                <w:szCs w:val="21"/>
              </w:rPr>
              <w:t>过滤棉+二级活性炭</w:t>
            </w:r>
            <w:r>
              <w:rPr>
                <w:rFonts w:hint="default" w:ascii="Times New Roman" w:hAnsi="Times New Roman" w:cs="Times New Roman"/>
                <w:color w:val="auto"/>
                <w:sz w:val="21"/>
                <w:szCs w:val="21"/>
              </w:rPr>
              <w:t>（活性炭纤维+活性炭颗粒）</w:t>
            </w:r>
            <w:r>
              <w:rPr>
                <w:rFonts w:hint="default" w:ascii="Times New Roman" w:hAnsi="Times New Roman" w:cs="Times New Roman"/>
                <w:bCs/>
                <w:color w:val="auto"/>
                <w:sz w:val="21"/>
                <w:szCs w:val="21"/>
              </w:rPr>
              <w:t>吸附+不低于15m高排气筒</w:t>
            </w:r>
            <w:r>
              <w:rPr>
                <w:rFonts w:hint="default" w:ascii="Times New Roman" w:hAnsi="Times New Roman" w:cs="Times New Roman"/>
                <w:color w:val="auto"/>
                <w:kern w:val="0"/>
                <w:sz w:val="21"/>
                <w:szCs w:val="21"/>
                <w:lang w:bidi="ar"/>
              </w:rPr>
              <w:t>（DA004）</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eastAsia" w:cs="Times New Roman"/>
                <w:color w:val="auto"/>
                <w:szCs w:val="21"/>
                <w:lang w:val="en-US" w:eastAsia="zh-CN"/>
              </w:rPr>
              <w:t>1</w:t>
            </w:r>
            <w:r>
              <w:rPr>
                <w:rFonts w:hint="default" w:ascii="Times New Roman" w:hAnsi="Times New Roman" w:cs="Times New Roman"/>
                <w:color w:val="auto"/>
                <w:szCs w:val="21"/>
              </w:rPr>
              <w:t>0000</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1800</w:t>
            </w:r>
          </w:p>
        </w:tc>
        <w:tc>
          <w:tcPr>
            <w:tcW w:w="2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3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p>
        </w:tc>
        <w:tc>
          <w:tcPr>
            <w:tcW w:w="2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jc w:val="center"/>
              <w:rPr>
                <w:rFonts w:hint="default" w:ascii="Times New Roman" w:hAnsi="Times New Roman" w:eastAsia="等线" w:cs="Times New Roman"/>
                <w:color w:val="auto"/>
                <w:szCs w:val="21"/>
                <w:lang w:val="en-US" w:eastAsia="zh-CN"/>
              </w:rPr>
            </w:pPr>
            <w:r>
              <w:rPr>
                <w:rFonts w:hint="eastAsia" w:eastAsia="等线" w:cs="Times New Roman"/>
                <w:color w:val="auto"/>
                <w:lang w:val="en-US" w:eastAsia="zh-CN"/>
              </w:rPr>
              <w:t>0.248</w:t>
            </w:r>
          </w:p>
        </w:tc>
        <w:tc>
          <w:tcPr>
            <w:tcW w:w="2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uto"/>
              <w:jc w:val="center"/>
              <w:textAlignment w:val="bottom"/>
              <w:rPr>
                <w:rFonts w:hint="default" w:ascii="Times New Roman" w:hAnsi="Times New Roman" w:eastAsia="等线" w:cs="Times New Roman"/>
                <w:color w:val="auto"/>
                <w:szCs w:val="21"/>
                <w:lang w:val="en-US" w:eastAsia="zh-CN"/>
              </w:rPr>
            </w:pPr>
            <w:r>
              <w:rPr>
                <w:rFonts w:hint="eastAsia" w:eastAsia="等线" w:cs="Times New Roman"/>
                <w:color w:val="auto"/>
                <w:kern w:val="0"/>
                <w:szCs w:val="21"/>
                <w:lang w:val="en-US" w:eastAsia="zh-CN" w:bidi="ar"/>
              </w:rPr>
              <w:t>0.138</w:t>
            </w:r>
          </w:p>
        </w:tc>
        <w:tc>
          <w:tcPr>
            <w:tcW w:w="2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uto"/>
              <w:jc w:val="center"/>
              <w:textAlignment w:val="bottom"/>
              <w:rPr>
                <w:rFonts w:hint="default" w:ascii="Times New Roman" w:hAnsi="Times New Roman" w:eastAsia="等线" w:cs="Times New Roman"/>
                <w:color w:val="auto"/>
                <w:szCs w:val="21"/>
                <w:lang w:val="en-US" w:eastAsia="zh-CN"/>
              </w:rPr>
            </w:pPr>
            <w:r>
              <w:rPr>
                <w:rFonts w:hint="eastAsia" w:eastAsia="等线" w:cs="Times New Roman"/>
                <w:color w:val="auto"/>
                <w:szCs w:val="21"/>
                <w:lang w:val="en-US" w:eastAsia="zh-CN"/>
              </w:rPr>
              <w:t>13.778</w:t>
            </w:r>
          </w:p>
        </w:tc>
        <w:tc>
          <w:tcPr>
            <w:tcW w:w="233"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19"/>
              <w:snapToGrid w:val="0"/>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120</w:t>
            </w:r>
          </w:p>
        </w:tc>
        <w:tc>
          <w:tcPr>
            <w:tcW w:w="180" w:type="pct"/>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29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eastAsia="等线" w:cs="Times New Roman"/>
                <w:color w:val="auto"/>
                <w:szCs w:val="21"/>
                <w:lang w:val="en-US" w:eastAsia="zh-CN"/>
              </w:rPr>
            </w:pPr>
            <w:r>
              <w:rPr>
                <w:rFonts w:hint="eastAsia" w:eastAsia="等线" w:cs="Times New Roman"/>
                <w:color w:val="auto"/>
                <w:lang w:val="en-US" w:eastAsia="zh-CN"/>
              </w:rPr>
              <w:t>0.131</w:t>
            </w:r>
          </w:p>
        </w:tc>
        <w:tc>
          <w:tcPr>
            <w:tcW w:w="29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车间封闭</w:t>
            </w:r>
          </w:p>
        </w:tc>
        <w:tc>
          <w:tcPr>
            <w:tcW w:w="2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1800</w:t>
            </w:r>
          </w:p>
        </w:tc>
        <w:tc>
          <w:tcPr>
            <w:tcW w:w="2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uto"/>
              <w:jc w:val="center"/>
              <w:textAlignment w:val="bottom"/>
              <w:rPr>
                <w:rFonts w:hint="default" w:ascii="Times New Roman" w:hAnsi="Times New Roman" w:eastAsia="等线" w:cs="Times New Roman"/>
                <w:color w:val="auto"/>
                <w:szCs w:val="21"/>
              </w:rPr>
            </w:pPr>
            <w:r>
              <w:rPr>
                <w:rFonts w:hint="eastAsia" w:eastAsia="等线" w:cs="Times New Roman"/>
                <w:color w:val="auto"/>
                <w:lang w:val="en-US" w:eastAsia="zh-CN"/>
              </w:rPr>
              <w:t>0.131</w:t>
            </w:r>
          </w:p>
        </w:tc>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33"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80" w:type="pct"/>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bl>
    <w:p>
      <w:pPr>
        <w:pStyle w:val="77"/>
        <w:spacing w:line="360" w:lineRule="auto"/>
        <w:rPr>
          <w:rFonts w:cs="Times New Roman"/>
          <w:color w:val="auto"/>
          <w:sz w:val="24"/>
          <w:szCs w:val="24"/>
        </w:rPr>
      </w:pPr>
    </w:p>
    <w:p>
      <w:pPr>
        <w:pStyle w:val="77"/>
        <w:spacing w:line="360" w:lineRule="auto"/>
        <w:rPr>
          <w:rFonts w:cs="Times New Roman"/>
          <w:color w:val="auto"/>
          <w:sz w:val="24"/>
          <w:szCs w:val="24"/>
        </w:rPr>
      </w:pPr>
      <w:r>
        <w:rPr>
          <w:rFonts w:hint="eastAsia" w:cs="Times New Roman"/>
          <w:color w:val="auto"/>
          <w:sz w:val="24"/>
          <w:szCs w:val="24"/>
        </w:rPr>
        <w:t>表4</w:t>
      </w:r>
      <w:r>
        <w:rPr>
          <w:rFonts w:cs="Times New Roman"/>
          <w:color w:val="auto"/>
          <w:sz w:val="24"/>
          <w:szCs w:val="24"/>
        </w:rPr>
        <w:t>-</w:t>
      </w:r>
      <w:r>
        <w:rPr>
          <w:rFonts w:hint="eastAsia" w:cs="Times New Roman"/>
          <w:color w:val="auto"/>
          <w:sz w:val="24"/>
          <w:szCs w:val="24"/>
          <w:lang w:val="en-US" w:eastAsia="zh-CN"/>
        </w:rPr>
        <w:t>4</w:t>
      </w:r>
      <w:r>
        <w:rPr>
          <w:rFonts w:cs="Times New Roman"/>
          <w:color w:val="auto"/>
          <w:sz w:val="24"/>
          <w:szCs w:val="24"/>
        </w:rPr>
        <w:t xml:space="preserve">   </w:t>
      </w:r>
      <w:r>
        <w:rPr>
          <w:rFonts w:hint="eastAsia" w:cs="Times New Roman"/>
          <w:color w:val="auto"/>
          <w:sz w:val="24"/>
          <w:szCs w:val="24"/>
        </w:rPr>
        <w:t>项目废气排放口基本情况、排放标准情况表</w:t>
      </w:r>
    </w:p>
    <w:tbl>
      <w:tblPr>
        <w:tblStyle w:val="35"/>
        <w:tblW w:w="13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8"/>
        <w:gridCol w:w="1079"/>
        <w:gridCol w:w="967"/>
        <w:gridCol w:w="878"/>
        <w:gridCol w:w="899"/>
        <w:gridCol w:w="1681"/>
        <w:gridCol w:w="1572"/>
        <w:gridCol w:w="740"/>
        <w:gridCol w:w="1050"/>
        <w:gridCol w:w="780"/>
        <w:gridCol w:w="199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5" w:hRule="atLeast"/>
          <w:jc w:val="center"/>
        </w:trPr>
        <w:tc>
          <w:tcPr>
            <w:tcW w:w="538" w:type="dxa"/>
            <w:vMerge w:val="restart"/>
            <w:tcBorders>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079" w:type="dxa"/>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排放口名称</w:t>
            </w:r>
          </w:p>
        </w:tc>
        <w:tc>
          <w:tcPr>
            <w:tcW w:w="967" w:type="dxa"/>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排放口编号</w:t>
            </w:r>
          </w:p>
        </w:tc>
        <w:tc>
          <w:tcPr>
            <w:tcW w:w="878" w:type="dxa"/>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污染物种类</w:t>
            </w:r>
          </w:p>
        </w:tc>
        <w:tc>
          <w:tcPr>
            <w:tcW w:w="899" w:type="dxa"/>
            <w:vMerge w:val="restart"/>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排放口类型</w:t>
            </w:r>
          </w:p>
        </w:tc>
        <w:tc>
          <w:tcPr>
            <w:tcW w:w="3253" w:type="dxa"/>
            <w:gridSpan w:val="2"/>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排放口地理坐标</w:t>
            </w:r>
          </w:p>
        </w:tc>
        <w:tc>
          <w:tcPr>
            <w:tcW w:w="2570" w:type="dxa"/>
            <w:gridSpan w:val="3"/>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排放口参数</w:t>
            </w:r>
          </w:p>
        </w:tc>
        <w:tc>
          <w:tcPr>
            <w:tcW w:w="3733" w:type="dxa"/>
            <w:gridSpan w:val="2"/>
            <w:tcBorders>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1" w:hRule="atLeast"/>
          <w:jc w:val="center"/>
        </w:trPr>
        <w:tc>
          <w:tcPr>
            <w:tcW w:w="538" w:type="dxa"/>
            <w:vMerge w:val="continue"/>
            <w:tcBorders>
              <w:top w:val="single" w:color="auto" w:sz="12" w:space="0"/>
              <w:bottom w:val="single" w:color="auto" w:sz="4" w:space="0"/>
              <w:right w:val="single" w:color="auto" w:sz="4" w:space="0"/>
            </w:tcBorders>
            <w:vAlign w:val="center"/>
          </w:tcPr>
          <w:p>
            <w:pPr>
              <w:widowControl/>
              <w:spacing w:line="240" w:lineRule="auto"/>
              <w:jc w:val="left"/>
              <w:rPr>
                <w:rFonts w:hint="default" w:ascii="Times New Roman" w:hAnsi="Times New Roman" w:cs="Times New Roman"/>
                <w:color w:val="auto"/>
                <w:sz w:val="21"/>
                <w:szCs w:val="21"/>
              </w:rPr>
            </w:pPr>
          </w:p>
        </w:tc>
        <w:tc>
          <w:tcPr>
            <w:tcW w:w="107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cs="Times New Roman"/>
                <w:color w:val="auto"/>
                <w:sz w:val="21"/>
                <w:szCs w:val="21"/>
              </w:rPr>
            </w:pPr>
          </w:p>
        </w:tc>
        <w:tc>
          <w:tcPr>
            <w:tcW w:w="967"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cs="Times New Roman"/>
                <w:color w:val="auto"/>
                <w:sz w:val="21"/>
                <w:szCs w:val="21"/>
              </w:rPr>
            </w:pPr>
          </w:p>
        </w:tc>
        <w:tc>
          <w:tcPr>
            <w:tcW w:w="878"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cs="Times New Roman"/>
                <w:color w:val="auto"/>
                <w:sz w:val="21"/>
                <w:szCs w:val="21"/>
              </w:rPr>
            </w:pPr>
          </w:p>
        </w:tc>
        <w:tc>
          <w:tcPr>
            <w:tcW w:w="89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cs="Times New Roman"/>
                <w:color w:val="auto"/>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经度</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纬度</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高度m</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内径m</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温度℃</w:t>
            </w:r>
          </w:p>
        </w:tc>
        <w:tc>
          <w:tcPr>
            <w:tcW w:w="19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标准名称</w:t>
            </w:r>
          </w:p>
        </w:tc>
        <w:tc>
          <w:tcPr>
            <w:tcW w:w="1742" w:type="dxa"/>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9" w:hRule="atLeast"/>
          <w:jc w:val="center"/>
        </w:trPr>
        <w:tc>
          <w:tcPr>
            <w:tcW w:w="538" w:type="dxa"/>
            <w:tcBorders>
              <w:top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color w:val="auto"/>
                <w:szCs w:val="21"/>
              </w:rPr>
              <w:t>1</w:t>
            </w:r>
          </w:p>
        </w:tc>
        <w:tc>
          <w:tcPr>
            <w:tcW w:w="1079"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下料车间排放口</w:t>
            </w:r>
          </w:p>
        </w:tc>
        <w:tc>
          <w:tcPr>
            <w:tcW w:w="967"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color w:val="auto"/>
                <w:szCs w:val="21"/>
              </w:rPr>
              <w:t>DA001</w:t>
            </w:r>
          </w:p>
        </w:tc>
        <w:tc>
          <w:tcPr>
            <w:tcW w:w="878"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color w:val="auto"/>
                <w:szCs w:val="21"/>
              </w:rPr>
              <w:t>颗粒物</w:t>
            </w:r>
          </w:p>
        </w:tc>
        <w:tc>
          <w:tcPr>
            <w:tcW w:w="899"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一般排放口</w:t>
            </w:r>
          </w:p>
        </w:tc>
        <w:tc>
          <w:tcPr>
            <w:tcW w:w="1681"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116.824483</w:t>
            </w:r>
          </w:p>
        </w:tc>
        <w:tc>
          <w:tcPr>
            <w:tcW w:w="1572"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34.054561</w:t>
            </w:r>
          </w:p>
        </w:tc>
        <w:tc>
          <w:tcPr>
            <w:tcW w:w="74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15</w:t>
            </w:r>
          </w:p>
        </w:tc>
        <w:tc>
          <w:tcPr>
            <w:tcW w:w="105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color w:val="auto"/>
                <w:szCs w:val="21"/>
              </w:rPr>
              <w:t>0.</w:t>
            </w:r>
            <w:r>
              <w:rPr>
                <w:rFonts w:hint="eastAsia"/>
                <w:color w:val="auto"/>
                <w:szCs w:val="21"/>
              </w:rPr>
              <w:t>5</w:t>
            </w:r>
          </w:p>
        </w:tc>
        <w:tc>
          <w:tcPr>
            <w:tcW w:w="78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常温</w:t>
            </w:r>
          </w:p>
        </w:tc>
        <w:tc>
          <w:tcPr>
            <w:tcW w:w="1991" w:type="dxa"/>
            <w:vMerge w:val="restart"/>
            <w:tcBorders>
              <w:top w:val="single" w:color="auto" w:sz="4" w:space="0"/>
              <w:left w:val="single" w:color="auto" w:sz="4" w:space="0"/>
              <w:right w:val="single" w:color="auto" w:sz="4" w:space="0"/>
            </w:tcBorders>
            <w:vAlign w:val="center"/>
          </w:tcPr>
          <w:p>
            <w:pPr>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和颗粒物执行《大气污染物综合排放标准》（GB16297-1996）表2中相关限值；厂区内挥发性有机物无组织排放执行《挥发性有机物无组织控制排放标准》（GB37822-2019）附录A中“表A.1中限值-特别排放限值”。</w:t>
            </w:r>
          </w:p>
        </w:tc>
        <w:tc>
          <w:tcPr>
            <w:tcW w:w="1742" w:type="dxa"/>
            <w:vMerge w:val="restart"/>
            <w:tcBorders>
              <w:top w:val="single" w:color="auto" w:sz="4" w:space="0"/>
              <w:lef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有组织120mg/m</w:t>
            </w:r>
            <w:r>
              <w:rPr>
                <w:rFonts w:hint="default" w:ascii="Times New Roman" w:hAnsi="Times New Roman" w:cs="Times New Roman"/>
                <w:color w:val="auto"/>
                <w:sz w:val="21"/>
                <w:szCs w:val="21"/>
                <w:vertAlign w:val="superscript"/>
              </w:rPr>
              <w:t>3</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厂界1.0mg/m</w:t>
            </w:r>
            <w:r>
              <w:rPr>
                <w:rFonts w:hint="default" w:ascii="Times New Roman" w:hAnsi="Times New Roman"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5" w:hRule="atLeast"/>
          <w:jc w:val="center"/>
        </w:trPr>
        <w:tc>
          <w:tcPr>
            <w:tcW w:w="538" w:type="dxa"/>
            <w:tcBorders>
              <w:top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2</w:t>
            </w:r>
          </w:p>
        </w:tc>
        <w:tc>
          <w:tcPr>
            <w:tcW w:w="1079"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焊接</w:t>
            </w:r>
            <w:r>
              <w:rPr>
                <w:color w:val="auto"/>
                <w:szCs w:val="21"/>
              </w:rPr>
              <w:t>车间</w:t>
            </w:r>
            <w:r>
              <w:rPr>
                <w:rFonts w:hint="eastAsia"/>
                <w:color w:val="auto"/>
                <w:szCs w:val="21"/>
              </w:rPr>
              <w:t>排放口</w:t>
            </w:r>
          </w:p>
        </w:tc>
        <w:tc>
          <w:tcPr>
            <w:tcW w:w="967"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color w:val="auto"/>
                <w:szCs w:val="21"/>
              </w:rPr>
              <w:t>DA00</w:t>
            </w:r>
            <w:r>
              <w:rPr>
                <w:rFonts w:hint="eastAsia"/>
                <w:color w:val="auto"/>
                <w:szCs w:val="21"/>
              </w:rPr>
              <w:t>2</w:t>
            </w:r>
          </w:p>
        </w:tc>
        <w:tc>
          <w:tcPr>
            <w:tcW w:w="878"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color w:val="auto"/>
                <w:szCs w:val="21"/>
              </w:rPr>
              <w:t>颗粒物</w:t>
            </w:r>
          </w:p>
        </w:tc>
        <w:tc>
          <w:tcPr>
            <w:tcW w:w="899"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一般排放口</w:t>
            </w:r>
          </w:p>
        </w:tc>
        <w:tc>
          <w:tcPr>
            <w:tcW w:w="1681"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116.824456</w:t>
            </w:r>
          </w:p>
        </w:tc>
        <w:tc>
          <w:tcPr>
            <w:tcW w:w="1572"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34.055297</w:t>
            </w:r>
          </w:p>
        </w:tc>
        <w:tc>
          <w:tcPr>
            <w:tcW w:w="74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15</w:t>
            </w:r>
          </w:p>
        </w:tc>
        <w:tc>
          <w:tcPr>
            <w:tcW w:w="105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0.5</w:t>
            </w:r>
          </w:p>
        </w:tc>
        <w:tc>
          <w:tcPr>
            <w:tcW w:w="78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常温</w:t>
            </w:r>
          </w:p>
        </w:tc>
        <w:tc>
          <w:tcPr>
            <w:tcW w:w="1991" w:type="dxa"/>
            <w:vMerge w:val="continue"/>
            <w:tcBorders>
              <w:left w:val="single" w:color="auto" w:sz="4" w:space="0"/>
              <w:right w:val="single" w:color="auto" w:sz="4" w:space="0"/>
            </w:tcBorders>
            <w:vAlign w:val="center"/>
          </w:tcPr>
          <w:p>
            <w:pPr>
              <w:pStyle w:val="30"/>
              <w:spacing w:line="240" w:lineRule="auto"/>
              <w:rPr>
                <w:rFonts w:hint="default" w:ascii="Times New Roman" w:hAnsi="Times New Roman" w:cs="Times New Roman"/>
                <w:color w:val="auto"/>
                <w:sz w:val="21"/>
                <w:szCs w:val="21"/>
              </w:rPr>
            </w:pPr>
          </w:p>
        </w:tc>
        <w:tc>
          <w:tcPr>
            <w:tcW w:w="1742" w:type="dxa"/>
            <w:vMerge w:val="continue"/>
            <w:tcBorders>
              <w:left w:val="single" w:color="auto" w:sz="4" w:space="0"/>
            </w:tcBorders>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9" w:hRule="atLeast"/>
          <w:jc w:val="center"/>
        </w:trPr>
        <w:tc>
          <w:tcPr>
            <w:tcW w:w="538" w:type="dxa"/>
            <w:tcBorders>
              <w:top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p>
        </w:tc>
        <w:tc>
          <w:tcPr>
            <w:tcW w:w="1079"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eastAsia" w:cs="Times New Roman"/>
                <w:color w:val="auto"/>
                <w:sz w:val="21"/>
                <w:szCs w:val="21"/>
                <w:lang w:eastAsia="zh-CN"/>
              </w:rPr>
              <w:t>抛丸</w:t>
            </w:r>
            <w:r>
              <w:rPr>
                <w:rFonts w:hint="default" w:ascii="Times New Roman" w:hAnsi="Times New Roman" w:cs="Times New Roman"/>
                <w:color w:val="auto"/>
                <w:sz w:val="21"/>
                <w:szCs w:val="21"/>
              </w:rPr>
              <w:t>排放口</w:t>
            </w:r>
          </w:p>
        </w:tc>
        <w:tc>
          <w:tcPr>
            <w:tcW w:w="967"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color w:val="auto"/>
                <w:szCs w:val="21"/>
              </w:rPr>
              <w:t>DA00</w:t>
            </w:r>
            <w:r>
              <w:rPr>
                <w:rFonts w:hint="eastAsia"/>
                <w:color w:val="auto"/>
                <w:szCs w:val="21"/>
              </w:rPr>
              <w:t>3</w:t>
            </w:r>
          </w:p>
        </w:tc>
        <w:tc>
          <w:tcPr>
            <w:tcW w:w="878"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899"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一般排放口</w:t>
            </w:r>
          </w:p>
        </w:tc>
        <w:tc>
          <w:tcPr>
            <w:tcW w:w="1681"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116.824695</w:t>
            </w:r>
          </w:p>
        </w:tc>
        <w:tc>
          <w:tcPr>
            <w:tcW w:w="1572"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34.055654</w:t>
            </w:r>
          </w:p>
        </w:tc>
        <w:tc>
          <w:tcPr>
            <w:tcW w:w="74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05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78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常温</w:t>
            </w:r>
          </w:p>
        </w:tc>
        <w:tc>
          <w:tcPr>
            <w:tcW w:w="1991" w:type="dxa"/>
            <w:vMerge w:val="continue"/>
            <w:tcBorders>
              <w:left w:val="single" w:color="auto" w:sz="4" w:space="0"/>
              <w:right w:val="single" w:color="auto" w:sz="4" w:space="0"/>
            </w:tcBorders>
            <w:vAlign w:val="center"/>
          </w:tcPr>
          <w:p>
            <w:pPr>
              <w:spacing w:line="240" w:lineRule="auto"/>
              <w:rPr>
                <w:rFonts w:hint="default" w:ascii="Times New Roman" w:hAnsi="Times New Roman" w:cs="Times New Roman"/>
                <w:color w:val="auto"/>
                <w:sz w:val="21"/>
                <w:szCs w:val="21"/>
              </w:rPr>
            </w:pPr>
          </w:p>
        </w:tc>
        <w:tc>
          <w:tcPr>
            <w:tcW w:w="1742" w:type="dxa"/>
            <w:vMerge w:val="continue"/>
            <w:tcBorders>
              <w:left w:val="single" w:color="auto" w:sz="4" w:space="0"/>
            </w:tcBorders>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89" w:hRule="atLeast"/>
          <w:jc w:val="center"/>
        </w:trPr>
        <w:tc>
          <w:tcPr>
            <w:tcW w:w="538" w:type="dxa"/>
            <w:tcBorders>
              <w:top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c>
          <w:tcPr>
            <w:tcW w:w="1079"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喷漆排放口</w:t>
            </w:r>
          </w:p>
        </w:tc>
        <w:tc>
          <w:tcPr>
            <w:tcW w:w="967"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color w:val="auto"/>
                <w:szCs w:val="21"/>
              </w:rPr>
              <w:t>DA00</w:t>
            </w:r>
            <w:r>
              <w:rPr>
                <w:rFonts w:hint="eastAsia"/>
                <w:color w:val="auto"/>
                <w:szCs w:val="21"/>
              </w:rPr>
              <w:t>4</w:t>
            </w:r>
          </w:p>
        </w:tc>
        <w:tc>
          <w:tcPr>
            <w:tcW w:w="878"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漆雾、</w:t>
            </w:r>
            <w:r>
              <w:rPr>
                <w:rFonts w:hint="default" w:ascii="Times New Roman" w:hAnsi="Times New Roman" w:cs="Times New Roman"/>
                <w:color w:val="auto"/>
                <w:sz w:val="21"/>
                <w:szCs w:val="21"/>
              </w:rPr>
              <w:t>非甲烷总烃</w:t>
            </w:r>
          </w:p>
        </w:tc>
        <w:tc>
          <w:tcPr>
            <w:tcW w:w="899"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一般排放口</w:t>
            </w:r>
          </w:p>
        </w:tc>
        <w:tc>
          <w:tcPr>
            <w:tcW w:w="1681"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116.824588</w:t>
            </w:r>
          </w:p>
        </w:tc>
        <w:tc>
          <w:tcPr>
            <w:tcW w:w="1572"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34.056197</w:t>
            </w:r>
          </w:p>
        </w:tc>
        <w:tc>
          <w:tcPr>
            <w:tcW w:w="74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05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780" w:type="dxa"/>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lang w:val="de-DE"/>
              </w:rPr>
            </w:pPr>
            <w:r>
              <w:rPr>
                <w:rFonts w:hint="default" w:ascii="Times New Roman" w:hAnsi="Times New Roman" w:cs="Times New Roman"/>
                <w:color w:val="auto"/>
                <w:sz w:val="21"/>
                <w:szCs w:val="21"/>
              </w:rPr>
              <w:t>常温</w:t>
            </w:r>
          </w:p>
        </w:tc>
        <w:tc>
          <w:tcPr>
            <w:tcW w:w="1991"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p>
        </w:tc>
        <w:tc>
          <w:tcPr>
            <w:tcW w:w="1742" w:type="dxa"/>
            <w:tcBorders>
              <w:lef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漆雾：有组织120mg/m</w:t>
            </w:r>
            <w:r>
              <w:rPr>
                <w:rFonts w:hint="default" w:ascii="Times New Roman" w:hAnsi="Times New Roman" w:cs="Times New Roman"/>
                <w:color w:val="auto"/>
                <w:sz w:val="21"/>
                <w:szCs w:val="21"/>
                <w:vertAlign w:val="superscript"/>
              </w:rPr>
              <w:t>3</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无组织1.0mg/m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；非甲烷总烃：有组织120mg/m</w:t>
            </w:r>
            <w:r>
              <w:rPr>
                <w:rFonts w:hint="default" w:ascii="Times New Roman" w:hAnsi="Times New Roman" w:cs="Times New Roman"/>
                <w:color w:val="auto"/>
                <w:sz w:val="21"/>
                <w:szCs w:val="21"/>
                <w:vertAlign w:val="superscript"/>
              </w:rPr>
              <w:t>3</w:t>
            </w:r>
          </w:p>
          <w:p>
            <w:pPr>
              <w:pStyle w:val="17"/>
              <w:spacing w:line="240" w:lineRule="auto"/>
              <w:ind w:firstLine="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无组织4.0mg/m</w:t>
            </w:r>
            <w:r>
              <w:rPr>
                <w:rFonts w:hint="default" w:ascii="Times New Roman" w:hAnsi="Times New Roman" w:cs="Times New Roman"/>
                <w:color w:val="auto"/>
                <w:sz w:val="21"/>
                <w:szCs w:val="21"/>
                <w:vertAlign w:val="superscript"/>
              </w:rPr>
              <w:t>3</w:t>
            </w:r>
          </w:p>
        </w:tc>
      </w:tr>
    </w:tbl>
    <w:p>
      <w:pPr>
        <w:pStyle w:val="45"/>
        <w:ind w:left="67"/>
        <w:rPr>
          <w:b/>
          <w:color w:val="auto"/>
          <w:sz w:val="10"/>
          <w:szCs w:val="10"/>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77"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pPr>
              <w:adjustRightInd w:val="0"/>
              <w:snapToGrid w:val="0"/>
              <w:jc w:val="center"/>
              <w:rPr>
                <w:rFonts w:cs="宋体"/>
                <w:color w:val="auto"/>
                <w:szCs w:val="21"/>
              </w:rPr>
            </w:pPr>
            <w:r>
              <w:rPr>
                <w:rFonts w:hint="eastAsia" w:ascii="宋体" w:hAnsi="宋体" w:cs="宋体"/>
                <w:bCs/>
                <w:color w:val="auto"/>
                <w:szCs w:val="21"/>
              </w:rPr>
              <w:t>措施</w:t>
            </w:r>
          </w:p>
        </w:tc>
        <w:tc>
          <w:tcPr>
            <w:tcW w:w="8513" w:type="dxa"/>
            <w:vAlign w:val="center"/>
          </w:tcPr>
          <w:p>
            <w:pPr>
              <w:spacing w:line="360" w:lineRule="auto"/>
              <w:ind w:firstLine="480" w:firstLineChars="200"/>
              <w:rPr>
                <w:rFonts w:hint="default" w:ascii="Times New Roman" w:hAnsi="Times New Roman" w:cs="Times New Roman"/>
                <w:bCs/>
                <w:color w:val="auto"/>
                <w:kern w:val="0"/>
                <w:sz w:val="24"/>
                <w:szCs w:val="24"/>
              </w:rPr>
            </w:pPr>
            <w:r>
              <w:rPr>
                <w:rFonts w:hint="default" w:ascii="Times New Roman" w:hAnsi="Times New Roman" w:cs="Times New Roman"/>
                <w:color w:val="auto"/>
                <w:sz w:val="24"/>
                <w:szCs w:val="24"/>
              </w:rPr>
              <w:t>正常工况下：项目切割、焊接、</w:t>
            </w:r>
            <w:r>
              <w:rPr>
                <w:rFonts w:hint="eastAsia" w:cs="Times New Roman"/>
                <w:color w:val="auto"/>
                <w:sz w:val="24"/>
                <w:szCs w:val="24"/>
                <w:lang w:val="en-US" w:eastAsia="zh-CN"/>
              </w:rPr>
              <w:t>抛丸</w:t>
            </w:r>
            <w:r>
              <w:rPr>
                <w:rFonts w:hint="default" w:ascii="Times New Roman" w:hAnsi="Times New Roman" w:cs="Times New Roman"/>
                <w:color w:val="auto"/>
                <w:sz w:val="24"/>
                <w:szCs w:val="24"/>
              </w:rPr>
              <w:t>粉尘经集气系统收集后进入袋除尘器处理后分别经不低于15m高排气筒（DA001、DA002、DA003）排放</w:t>
            </w:r>
            <w:r>
              <w:rPr>
                <w:rFonts w:hint="default" w:ascii="Times New Roman" w:hAnsi="Times New Roman" w:cs="Times New Roman"/>
                <w:bCs/>
                <w:color w:val="auto"/>
                <w:kern w:val="0"/>
                <w:sz w:val="24"/>
                <w:szCs w:val="24"/>
              </w:rPr>
              <w:t>；喷漆、晾干废气经过滤棉+二级活性炭（活性炭纤维+活性炭颗粒）吸附装置后经不低于15m排气筒</w:t>
            </w:r>
            <w:r>
              <w:rPr>
                <w:rFonts w:hint="default" w:ascii="Times New Roman" w:hAnsi="Times New Roman" w:cs="Times New Roman"/>
                <w:color w:val="auto"/>
                <w:sz w:val="24"/>
                <w:szCs w:val="24"/>
              </w:rPr>
              <w:t>（DA00</w:t>
            </w:r>
            <w:r>
              <w:rPr>
                <w:rFonts w:hint="eastAsia"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bCs/>
                <w:color w:val="auto"/>
                <w:kern w:val="0"/>
                <w:sz w:val="24"/>
                <w:szCs w:val="24"/>
              </w:rPr>
              <w:t>排放。</w:t>
            </w:r>
          </w:p>
          <w:p>
            <w:pPr>
              <w:spacing w:line="360" w:lineRule="auto"/>
              <w:ind w:firstLine="480" w:firstLineChars="200"/>
              <w:rPr>
                <w:rFonts w:hint="default" w:ascii="Times New Roman" w:hAnsi="Times New Roman" w:cs="Times New Roman"/>
                <w:bCs/>
                <w:color w:val="auto"/>
                <w:kern w:val="0"/>
                <w:sz w:val="24"/>
                <w:szCs w:val="24"/>
              </w:rPr>
            </w:pPr>
            <w:r>
              <w:rPr>
                <w:rFonts w:hint="default" w:ascii="Times New Roman" w:hAnsi="Times New Roman" w:cs="Times New Roman"/>
                <w:bCs/>
                <w:color w:val="auto"/>
                <w:kern w:val="0"/>
                <w:sz w:val="24"/>
                <w:szCs w:val="24"/>
              </w:rPr>
              <w:t>各项废气经处理后废气均达标排放，对周围环境影响较小。</w:t>
            </w:r>
          </w:p>
          <w:p>
            <w:pPr>
              <w:autoSpaceDE w:val="0"/>
              <w:autoSpaceDN w:val="0"/>
              <w:adjustRightInd w:val="0"/>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非正常工况废气排放情况：</w:t>
            </w:r>
          </w:p>
          <w:p>
            <w:pPr>
              <w:pStyle w:val="2"/>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项目在车间开工时，首先运行所有的废气处理装置，然后再开启车间的工艺流程，使在生产中所产生的废气都能得到处理。车间停工时，所有的废气处理装置继续运转，待工艺中的废气完全排出之后才逐台关闭。车间在开、停车时排出污染物均得到有效处理，经排气筒排出的污染物浓度和正常生产时基本一致。废气处理系统和排风机均设有保安电源，系统设有备用风机（N+1 配置）。当废气处理设备出现故障时，工艺生产过程排放的废气将未经处理直接排入大气，造成非正常排放。本工程排风系统均设有安全保护电源和报警系统，设备每年检修一次，基本上能保证无故障运行。日常运行中，若出现故障，检修人员可立即到现场进行维修，一般操作在30分钟内基本上可以完成，预计最长不会超过60分钟。停电、净化装置和风机出现故障，对生产异常情况，采取以下措施：</w:t>
            </w:r>
          </w:p>
          <w:p>
            <w:pPr>
              <w:pStyle w:val="2"/>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①如果全厂停电，停止生产，无污染物产生。为确保安全，风机仍继续运转。</w:t>
            </w:r>
          </w:p>
          <w:p>
            <w:pPr>
              <w:pStyle w:val="2"/>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②风机出现故障时，备用风机立即启动。</w:t>
            </w:r>
          </w:p>
          <w:p>
            <w:pPr>
              <w:pStyle w:val="2"/>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③当废气处理设施出现故障时，应立即维修，必要时停止生产原料的供给。</w:t>
            </w:r>
          </w:p>
          <w:p>
            <w:pPr>
              <w:pStyle w:val="2"/>
              <w:spacing w:line="360" w:lineRule="auto"/>
              <w:ind w:left="0" w:leftChars="0"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本报告废气非正常排放考虑装置处理效率为0的情况，非正常排放见下表。</w:t>
            </w:r>
          </w:p>
          <w:p>
            <w:pPr>
              <w:adjustRightInd w:val="0"/>
              <w:snapToGrid w:val="0"/>
              <w:spacing w:line="360" w:lineRule="auto"/>
              <w:jc w:val="center"/>
              <w:rPr>
                <w:rFonts w:hAnsi="宋体" w:cs="宋体"/>
                <w:b/>
                <w:bCs/>
                <w:color w:val="auto"/>
                <w:sz w:val="24"/>
                <w:szCs w:val="24"/>
                <w:lang w:bidi="en-US"/>
              </w:rPr>
            </w:pPr>
            <w:r>
              <w:rPr>
                <w:rFonts w:hint="eastAsia" w:hAnsi="宋体" w:cs="宋体"/>
                <w:b/>
                <w:bCs/>
                <w:color w:val="auto"/>
                <w:sz w:val="24"/>
                <w:szCs w:val="24"/>
                <w:lang w:bidi="en-US"/>
              </w:rPr>
              <w:t>表4-</w:t>
            </w:r>
            <w:r>
              <w:rPr>
                <w:rFonts w:hint="eastAsia" w:hAnsi="宋体" w:cs="宋体"/>
                <w:b/>
                <w:bCs/>
                <w:color w:val="auto"/>
                <w:sz w:val="24"/>
                <w:szCs w:val="24"/>
                <w:lang w:val="en-US" w:eastAsia="zh-CN" w:bidi="en-US"/>
              </w:rPr>
              <w:t>5</w:t>
            </w:r>
            <w:r>
              <w:rPr>
                <w:rFonts w:hint="eastAsia" w:hAnsi="宋体" w:cs="宋体"/>
                <w:b/>
                <w:bCs/>
                <w:color w:val="auto"/>
                <w:sz w:val="24"/>
                <w:szCs w:val="24"/>
                <w:lang w:bidi="en-US"/>
              </w:rPr>
              <w:t xml:space="preserve">   项目非正常工况下废气产生及排放情况一览表</w:t>
            </w:r>
          </w:p>
          <w:tbl>
            <w:tblPr>
              <w:tblStyle w:val="34"/>
              <w:tblW w:w="492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3" w:type="dxa"/>
                <w:bottom w:w="0" w:type="dxa"/>
                <w:right w:w="23" w:type="dxa"/>
              </w:tblCellMar>
            </w:tblPr>
            <w:tblGrid>
              <w:gridCol w:w="1108"/>
              <w:gridCol w:w="1369"/>
              <w:gridCol w:w="1274"/>
              <w:gridCol w:w="1423"/>
              <w:gridCol w:w="1323"/>
              <w:gridCol w:w="1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791" w:hRule="atLeast"/>
              </w:trPr>
              <w:tc>
                <w:tcPr>
                  <w:tcW w:w="664" w:type="pct"/>
                  <w:tcBorders>
                    <w:tl2br w:val="nil"/>
                    <w:tr2bl w:val="nil"/>
                  </w:tcBorders>
                  <w:vAlign w:val="center"/>
                </w:tcPr>
                <w:p>
                  <w:pPr>
                    <w:jc w:val="center"/>
                    <w:rPr>
                      <w:rFonts w:eastAsiaTheme="minorEastAsia"/>
                      <w:b/>
                      <w:bCs w:val="0"/>
                      <w:color w:val="auto"/>
                      <w:szCs w:val="21"/>
                    </w:rPr>
                  </w:pPr>
                  <w:r>
                    <w:rPr>
                      <w:rFonts w:eastAsiaTheme="minorEastAsia"/>
                      <w:b/>
                      <w:bCs w:val="0"/>
                      <w:color w:val="auto"/>
                      <w:szCs w:val="21"/>
                    </w:rPr>
                    <w:t>生产</w:t>
                  </w:r>
                </w:p>
                <w:p>
                  <w:pPr>
                    <w:jc w:val="center"/>
                    <w:rPr>
                      <w:rFonts w:eastAsiaTheme="minorEastAsia"/>
                      <w:b/>
                      <w:bCs w:val="0"/>
                      <w:color w:val="auto"/>
                      <w:szCs w:val="21"/>
                    </w:rPr>
                  </w:pPr>
                  <w:r>
                    <w:rPr>
                      <w:rFonts w:eastAsiaTheme="minorEastAsia"/>
                      <w:b/>
                      <w:bCs w:val="0"/>
                      <w:color w:val="auto"/>
                      <w:szCs w:val="21"/>
                    </w:rPr>
                    <w:t>单元</w:t>
                  </w:r>
                </w:p>
              </w:tc>
              <w:tc>
                <w:tcPr>
                  <w:tcW w:w="821" w:type="pct"/>
                  <w:tcBorders>
                    <w:tl2br w:val="nil"/>
                    <w:tr2bl w:val="nil"/>
                  </w:tcBorders>
                  <w:vAlign w:val="center"/>
                </w:tcPr>
                <w:p>
                  <w:pPr>
                    <w:jc w:val="center"/>
                    <w:rPr>
                      <w:rFonts w:eastAsiaTheme="minorEastAsia"/>
                      <w:b/>
                      <w:bCs w:val="0"/>
                      <w:color w:val="auto"/>
                      <w:szCs w:val="21"/>
                    </w:rPr>
                  </w:pPr>
                  <w:r>
                    <w:rPr>
                      <w:rFonts w:eastAsiaTheme="minorEastAsia"/>
                      <w:b/>
                      <w:bCs w:val="0"/>
                      <w:color w:val="auto"/>
                      <w:szCs w:val="21"/>
                    </w:rPr>
                    <w:t>频次</w:t>
                  </w:r>
                </w:p>
              </w:tc>
              <w:tc>
                <w:tcPr>
                  <w:tcW w:w="764" w:type="pct"/>
                  <w:tcBorders>
                    <w:tl2br w:val="nil"/>
                    <w:tr2bl w:val="nil"/>
                  </w:tcBorders>
                  <w:vAlign w:val="center"/>
                </w:tcPr>
                <w:p>
                  <w:pPr>
                    <w:jc w:val="center"/>
                    <w:rPr>
                      <w:rFonts w:eastAsiaTheme="minorEastAsia"/>
                      <w:b/>
                      <w:bCs w:val="0"/>
                      <w:color w:val="auto"/>
                      <w:szCs w:val="21"/>
                    </w:rPr>
                  </w:pPr>
                  <w:r>
                    <w:rPr>
                      <w:rFonts w:eastAsiaTheme="minorEastAsia"/>
                      <w:b/>
                      <w:bCs w:val="0"/>
                      <w:color w:val="auto"/>
                      <w:szCs w:val="21"/>
                    </w:rPr>
                    <w:t>持续</w:t>
                  </w:r>
                </w:p>
                <w:p>
                  <w:pPr>
                    <w:jc w:val="center"/>
                    <w:rPr>
                      <w:rFonts w:eastAsiaTheme="minorEastAsia"/>
                      <w:b/>
                      <w:bCs w:val="0"/>
                      <w:color w:val="auto"/>
                      <w:szCs w:val="21"/>
                    </w:rPr>
                  </w:pPr>
                  <w:r>
                    <w:rPr>
                      <w:rFonts w:eastAsiaTheme="minorEastAsia"/>
                      <w:b/>
                      <w:bCs w:val="0"/>
                      <w:color w:val="auto"/>
                      <w:szCs w:val="21"/>
                    </w:rPr>
                    <w:t>时间</w:t>
                  </w:r>
                </w:p>
              </w:tc>
              <w:tc>
                <w:tcPr>
                  <w:tcW w:w="853" w:type="pct"/>
                  <w:tcBorders>
                    <w:tl2br w:val="nil"/>
                    <w:tr2bl w:val="nil"/>
                  </w:tcBorders>
                  <w:vAlign w:val="center"/>
                </w:tcPr>
                <w:p>
                  <w:pPr>
                    <w:jc w:val="center"/>
                    <w:rPr>
                      <w:rFonts w:eastAsiaTheme="minorEastAsia"/>
                      <w:b/>
                      <w:bCs w:val="0"/>
                      <w:color w:val="auto"/>
                      <w:szCs w:val="21"/>
                    </w:rPr>
                  </w:pPr>
                  <w:r>
                    <w:rPr>
                      <w:rFonts w:eastAsiaTheme="minorEastAsia"/>
                      <w:b/>
                      <w:bCs w:val="0"/>
                      <w:color w:val="auto"/>
                      <w:szCs w:val="21"/>
                    </w:rPr>
                    <w:t>污染物</w:t>
                  </w:r>
                </w:p>
              </w:tc>
              <w:tc>
                <w:tcPr>
                  <w:tcW w:w="793" w:type="pct"/>
                  <w:tcBorders>
                    <w:tl2br w:val="nil"/>
                    <w:tr2bl w:val="nil"/>
                  </w:tcBorders>
                  <w:vAlign w:val="center"/>
                </w:tcPr>
                <w:p>
                  <w:pPr>
                    <w:jc w:val="center"/>
                    <w:rPr>
                      <w:rFonts w:eastAsiaTheme="minorEastAsia"/>
                      <w:b/>
                      <w:bCs w:val="0"/>
                      <w:color w:val="auto"/>
                      <w:szCs w:val="21"/>
                    </w:rPr>
                  </w:pPr>
                  <w:r>
                    <w:rPr>
                      <w:rFonts w:eastAsiaTheme="minorEastAsia"/>
                      <w:b/>
                      <w:bCs w:val="0"/>
                      <w:color w:val="auto"/>
                      <w:szCs w:val="21"/>
                    </w:rPr>
                    <w:t>排放量kg/</w:t>
                  </w:r>
                  <w:r>
                    <w:rPr>
                      <w:rFonts w:hint="eastAsia" w:eastAsiaTheme="minorEastAsia"/>
                      <w:b/>
                      <w:bCs w:val="0"/>
                      <w:color w:val="auto"/>
                      <w:szCs w:val="21"/>
                    </w:rPr>
                    <w:t>3</w:t>
                  </w:r>
                  <w:r>
                    <w:rPr>
                      <w:rFonts w:eastAsiaTheme="minorEastAsia"/>
                      <w:b/>
                      <w:bCs w:val="0"/>
                      <w:color w:val="auto"/>
                      <w:szCs w:val="21"/>
                    </w:rPr>
                    <w:t>0min</w:t>
                  </w:r>
                </w:p>
              </w:tc>
              <w:tc>
                <w:tcPr>
                  <w:tcW w:w="1103" w:type="pct"/>
                  <w:tcBorders>
                    <w:tl2br w:val="nil"/>
                    <w:tr2bl w:val="nil"/>
                  </w:tcBorders>
                  <w:vAlign w:val="center"/>
                </w:tcPr>
                <w:p>
                  <w:pPr>
                    <w:jc w:val="center"/>
                    <w:rPr>
                      <w:rFonts w:eastAsiaTheme="minorEastAsia"/>
                      <w:b/>
                      <w:bCs w:val="0"/>
                      <w:color w:val="auto"/>
                      <w:szCs w:val="21"/>
                    </w:rPr>
                  </w:pPr>
                  <w:r>
                    <w:rPr>
                      <w:rFonts w:eastAsiaTheme="minorEastAsia"/>
                      <w:b/>
                      <w:bCs w:val="0"/>
                      <w:color w:val="auto"/>
                      <w:szCs w:val="21"/>
                    </w:rPr>
                    <w:t>原因及处置措施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21" w:hRule="atLeast"/>
              </w:trPr>
              <w:tc>
                <w:tcPr>
                  <w:tcW w:w="664" w:type="pct"/>
                  <w:tcBorders>
                    <w:tl2br w:val="nil"/>
                    <w:tr2bl w:val="nil"/>
                  </w:tcBorders>
                  <w:vAlign w:val="center"/>
                </w:tcPr>
                <w:p>
                  <w:pPr>
                    <w:adjustRightInd w:val="0"/>
                    <w:snapToGrid w:val="0"/>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下料</w:t>
                  </w:r>
                </w:p>
              </w:tc>
              <w:tc>
                <w:tcPr>
                  <w:tcW w:w="821" w:type="pct"/>
                  <w:tcBorders>
                    <w:tl2br w:val="nil"/>
                    <w:tr2bl w:val="nil"/>
                  </w:tcBorders>
                  <w:vAlign w:val="center"/>
                </w:tcPr>
                <w:p>
                  <w:pPr>
                    <w:jc w:val="center"/>
                    <w:rPr>
                      <w:rFonts w:hint="eastAsia" w:ascii="Times New Roman" w:hAnsi="Times New Roman" w:cs="Times New Roman" w:eastAsiaTheme="minorEastAsia"/>
                      <w:bCs/>
                      <w:color w:val="auto"/>
                      <w:kern w:val="2"/>
                      <w:sz w:val="21"/>
                      <w:szCs w:val="21"/>
                      <w:lang w:val="en-US" w:eastAsia="zh-CN" w:bidi="ar-SA"/>
                    </w:rPr>
                  </w:pPr>
                  <w:r>
                    <w:rPr>
                      <w:rFonts w:eastAsiaTheme="minorEastAsia"/>
                      <w:bCs/>
                      <w:color w:val="auto"/>
                      <w:szCs w:val="21"/>
                    </w:rPr>
                    <w:t>2次/年</w:t>
                  </w:r>
                </w:p>
              </w:tc>
              <w:tc>
                <w:tcPr>
                  <w:tcW w:w="764" w:type="pct"/>
                  <w:tcBorders>
                    <w:tl2br w:val="nil"/>
                    <w:tr2bl w:val="nil"/>
                  </w:tcBorders>
                  <w:vAlign w:val="center"/>
                </w:tcPr>
                <w:p>
                  <w:pPr>
                    <w:jc w:val="center"/>
                    <w:rPr>
                      <w:rFonts w:hint="eastAsia" w:ascii="Times New Roman" w:hAnsi="Times New Roman" w:cs="Times New Roman" w:eastAsiaTheme="minorEastAsia"/>
                      <w:bCs/>
                      <w:color w:val="auto"/>
                      <w:kern w:val="2"/>
                      <w:sz w:val="21"/>
                      <w:szCs w:val="21"/>
                      <w:lang w:val="en-US" w:eastAsia="zh-CN" w:bidi="ar-SA"/>
                    </w:rPr>
                  </w:pPr>
                  <w:r>
                    <w:rPr>
                      <w:rFonts w:hint="eastAsia" w:eastAsiaTheme="minorEastAsia"/>
                      <w:bCs/>
                      <w:color w:val="auto"/>
                      <w:szCs w:val="21"/>
                    </w:rPr>
                    <w:t>3</w:t>
                  </w:r>
                  <w:r>
                    <w:rPr>
                      <w:rFonts w:eastAsiaTheme="minorEastAsia"/>
                      <w:bCs/>
                      <w:color w:val="auto"/>
                      <w:szCs w:val="21"/>
                    </w:rPr>
                    <w:t>0min/次</w:t>
                  </w:r>
                </w:p>
              </w:tc>
              <w:tc>
                <w:tcPr>
                  <w:tcW w:w="853"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eastAsiaTheme="minorEastAsia"/>
                      <w:bCs/>
                      <w:color w:val="auto"/>
                      <w:szCs w:val="21"/>
                    </w:rPr>
                    <w:t>颗粒物</w:t>
                  </w:r>
                </w:p>
              </w:tc>
              <w:tc>
                <w:tcPr>
                  <w:tcW w:w="793" w:type="pct"/>
                  <w:tcBorders>
                    <w:tl2br w:val="nil"/>
                    <w:tr2bl w:val="nil"/>
                  </w:tcBorders>
                  <w:vAlign w:val="center"/>
                </w:tcPr>
                <w:p>
                  <w:pPr>
                    <w:widowControl/>
                    <w:jc w:val="center"/>
                    <w:textAlignment w:val="bottom"/>
                    <w:rPr>
                      <w:rFonts w:hint="default" w:ascii="Times New Roman" w:hAnsi="Times New Roman" w:eastAsia="等线" w:cs="Times New Roman"/>
                      <w:color w:val="auto"/>
                      <w:kern w:val="2"/>
                      <w:sz w:val="21"/>
                      <w:szCs w:val="21"/>
                      <w:lang w:val="en-US" w:eastAsia="zh-CN" w:bidi="ar-SA"/>
                    </w:rPr>
                  </w:pPr>
                  <w:r>
                    <w:rPr>
                      <w:rFonts w:hint="eastAsia" w:eastAsia="等线"/>
                      <w:color w:val="auto"/>
                      <w:kern w:val="0"/>
                      <w:szCs w:val="21"/>
                      <w:lang w:val="en-US" w:eastAsia="zh-CN" w:bidi="ar"/>
                    </w:rPr>
                    <w:t>2.438</w:t>
                  </w:r>
                </w:p>
              </w:tc>
              <w:tc>
                <w:tcPr>
                  <w:tcW w:w="1103" w:type="pct"/>
                  <w:vMerge w:val="restart"/>
                  <w:tcBorders>
                    <w:tl2br w:val="nil"/>
                    <w:tr2bl w:val="nil"/>
                  </w:tcBorders>
                  <w:vAlign w:val="center"/>
                </w:tcPr>
                <w:p>
                  <w:pPr>
                    <w:rPr>
                      <w:rFonts w:ascii="Times New Roman" w:hAnsi="Times New Roman" w:cs="Times New Roman" w:eastAsiaTheme="minorEastAsia"/>
                      <w:bCs/>
                      <w:color w:val="auto"/>
                      <w:kern w:val="2"/>
                      <w:sz w:val="21"/>
                      <w:szCs w:val="21"/>
                      <w:lang w:val="en-US" w:eastAsia="zh-CN" w:bidi="ar-SA"/>
                    </w:rPr>
                  </w:pPr>
                  <w:r>
                    <w:rPr>
                      <w:rFonts w:eastAsiaTheme="minorEastAsia"/>
                      <w:bCs/>
                      <w:color w:val="auto"/>
                      <w:szCs w:val="21"/>
                    </w:rPr>
                    <w:t>废气处理设施</w:t>
                  </w:r>
                  <w:r>
                    <w:rPr>
                      <w:rFonts w:hint="eastAsia" w:eastAsiaTheme="minorEastAsia"/>
                      <w:bCs/>
                      <w:color w:val="auto"/>
                      <w:szCs w:val="21"/>
                      <w:lang w:val="en-US" w:eastAsia="zh-CN"/>
                    </w:rPr>
                    <w:t>故障</w:t>
                  </w:r>
                  <w:r>
                    <w:rPr>
                      <w:rFonts w:eastAsiaTheme="minorEastAsia"/>
                      <w:bCs/>
                      <w:color w:val="auto"/>
                      <w:szCs w:val="21"/>
                    </w:rPr>
                    <w:t>，立即停止生产进行检修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21" w:hRule="atLeast"/>
              </w:trPr>
              <w:tc>
                <w:tcPr>
                  <w:tcW w:w="664" w:type="pct"/>
                  <w:tcBorders>
                    <w:tl2br w:val="nil"/>
                    <w:tr2bl w:val="nil"/>
                  </w:tcBorders>
                  <w:vAlign w:val="center"/>
                </w:tcPr>
                <w:p>
                  <w:pPr>
                    <w:adjustRightInd w:val="0"/>
                    <w:snapToGrid w:val="0"/>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焊接</w:t>
                  </w:r>
                </w:p>
              </w:tc>
              <w:tc>
                <w:tcPr>
                  <w:tcW w:w="821" w:type="pct"/>
                  <w:tcBorders>
                    <w:tl2br w:val="nil"/>
                    <w:tr2bl w:val="nil"/>
                  </w:tcBorders>
                  <w:vAlign w:val="center"/>
                </w:tcPr>
                <w:p>
                  <w:pPr>
                    <w:jc w:val="center"/>
                    <w:rPr>
                      <w:rFonts w:hint="eastAsia" w:ascii="Times New Roman" w:hAnsi="Times New Roman" w:cs="Times New Roman" w:eastAsiaTheme="minorEastAsia"/>
                      <w:color w:val="auto"/>
                      <w:kern w:val="2"/>
                      <w:sz w:val="21"/>
                      <w:szCs w:val="21"/>
                      <w:lang w:val="en-US" w:eastAsia="zh-CN" w:bidi="ar-SA"/>
                    </w:rPr>
                  </w:pPr>
                  <w:r>
                    <w:rPr>
                      <w:rFonts w:eastAsiaTheme="minorEastAsia"/>
                      <w:bCs/>
                      <w:color w:val="auto"/>
                      <w:szCs w:val="21"/>
                    </w:rPr>
                    <w:t>2次/年</w:t>
                  </w:r>
                </w:p>
              </w:tc>
              <w:tc>
                <w:tcPr>
                  <w:tcW w:w="764" w:type="pct"/>
                  <w:tcBorders>
                    <w:tl2br w:val="nil"/>
                    <w:tr2bl w:val="nil"/>
                  </w:tcBorders>
                  <w:vAlign w:val="center"/>
                </w:tcPr>
                <w:p>
                  <w:pPr>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bCs/>
                      <w:color w:val="auto"/>
                      <w:szCs w:val="21"/>
                    </w:rPr>
                    <w:t>3</w:t>
                  </w:r>
                  <w:r>
                    <w:rPr>
                      <w:rFonts w:eastAsiaTheme="minorEastAsia"/>
                      <w:bCs/>
                      <w:color w:val="auto"/>
                      <w:szCs w:val="21"/>
                    </w:rPr>
                    <w:t>0min/次</w:t>
                  </w:r>
                </w:p>
              </w:tc>
              <w:tc>
                <w:tcPr>
                  <w:tcW w:w="853"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eastAsiaTheme="minorEastAsia"/>
                      <w:bCs/>
                      <w:color w:val="auto"/>
                      <w:szCs w:val="21"/>
                    </w:rPr>
                    <w:t>颗粒物</w:t>
                  </w:r>
                </w:p>
              </w:tc>
              <w:tc>
                <w:tcPr>
                  <w:tcW w:w="793" w:type="pct"/>
                  <w:tcBorders>
                    <w:tl2br w:val="nil"/>
                    <w:tr2bl w:val="nil"/>
                  </w:tcBorders>
                  <w:vAlign w:val="center"/>
                </w:tcPr>
                <w:p>
                  <w:pPr>
                    <w:widowControl/>
                    <w:jc w:val="center"/>
                    <w:textAlignment w:val="bottom"/>
                    <w:rPr>
                      <w:rFonts w:hint="default" w:ascii="Times New Roman" w:hAnsi="Times New Roman" w:eastAsia="等线" w:cs="Times New Roman"/>
                      <w:color w:val="auto"/>
                      <w:kern w:val="2"/>
                      <w:sz w:val="21"/>
                      <w:szCs w:val="21"/>
                      <w:lang w:val="en-US" w:eastAsia="zh-CN" w:bidi="ar-SA"/>
                    </w:rPr>
                  </w:pPr>
                  <w:r>
                    <w:rPr>
                      <w:rFonts w:hint="eastAsia" w:eastAsia="等线"/>
                      <w:color w:val="auto"/>
                      <w:kern w:val="0"/>
                      <w:szCs w:val="21"/>
                      <w:lang w:val="en-US" w:eastAsia="zh-CN" w:bidi="ar"/>
                    </w:rPr>
                    <w:t>0.322</w:t>
                  </w:r>
                </w:p>
              </w:tc>
              <w:tc>
                <w:tcPr>
                  <w:tcW w:w="1103" w:type="pct"/>
                  <w:vMerge w:val="continue"/>
                  <w:tcBorders>
                    <w:tl2br w:val="nil"/>
                    <w:tr2bl w:val="nil"/>
                  </w:tcBorders>
                  <w:vAlign w:val="center"/>
                </w:tcPr>
                <w:p>
                  <w:pPr>
                    <w:widowControl/>
                    <w:jc w:val="center"/>
                    <w:textAlignment w:val="bottom"/>
                    <w:rPr>
                      <w:rFonts w:ascii="Times New Roman" w:hAnsi="Times New Roman" w:eastAsia="等线" w:cs="Times New Roman"/>
                      <w:color w:val="auto"/>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21" w:hRule="atLeast"/>
              </w:trPr>
              <w:tc>
                <w:tcPr>
                  <w:tcW w:w="664" w:type="pct"/>
                  <w:tcBorders>
                    <w:tl2br w:val="nil"/>
                    <w:tr2bl w:val="nil"/>
                  </w:tcBorders>
                  <w:vAlign w:val="center"/>
                </w:tcPr>
                <w:p>
                  <w:pPr>
                    <w:adjustRightInd w:val="0"/>
                    <w:snapToGrid w:val="0"/>
                    <w:jc w:val="center"/>
                    <w:rPr>
                      <w:rFonts w:hint="eastAsia" w:eastAsiaTheme="minorEastAsia"/>
                      <w:color w:val="auto"/>
                      <w:szCs w:val="21"/>
                      <w:lang w:eastAsia="zh-CN"/>
                    </w:rPr>
                  </w:pPr>
                  <w:r>
                    <w:rPr>
                      <w:rFonts w:hint="eastAsia" w:eastAsiaTheme="minorEastAsia"/>
                      <w:color w:val="auto"/>
                      <w:szCs w:val="21"/>
                      <w:lang w:eastAsia="zh-CN"/>
                    </w:rPr>
                    <w:t>抛丸</w:t>
                  </w:r>
                </w:p>
              </w:tc>
              <w:tc>
                <w:tcPr>
                  <w:tcW w:w="821" w:type="pct"/>
                  <w:tcBorders>
                    <w:tl2br w:val="nil"/>
                    <w:tr2bl w:val="nil"/>
                  </w:tcBorders>
                  <w:vAlign w:val="center"/>
                </w:tcPr>
                <w:p>
                  <w:pPr>
                    <w:jc w:val="center"/>
                    <w:rPr>
                      <w:rFonts w:eastAsiaTheme="minorEastAsia"/>
                      <w:bCs/>
                      <w:color w:val="auto"/>
                      <w:szCs w:val="21"/>
                    </w:rPr>
                  </w:pPr>
                  <w:r>
                    <w:rPr>
                      <w:rFonts w:eastAsiaTheme="minorEastAsia"/>
                      <w:bCs/>
                      <w:color w:val="auto"/>
                      <w:szCs w:val="21"/>
                    </w:rPr>
                    <w:t>2次/年</w:t>
                  </w:r>
                </w:p>
              </w:tc>
              <w:tc>
                <w:tcPr>
                  <w:tcW w:w="764" w:type="pct"/>
                  <w:tcBorders>
                    <w:tl2br w:val="nil"/>
                    <w:tr2bl w:val="nil"/>
                  </w:tcBorders>
                  <w:vAlign w:val="center"/>
                </w:tcPr>
                <w:p>
                  <w:pPr>
                    <w:jc w:val="center"/>
                    <w:rPr>
                      <w:rFonts w:eastAsiaTheme="minorEastAsia"/>
                      <w:bCs/>
                      <w:color w:val="auto"/>
                      <w:szCs w:val="21"/>
                    </w:rPr>
                  </w:pPr>
                  <w:r>
                    <w:rPr>
                      <w:rFonts w:hint="eastAsia" w:eastAsiaTheme="minorEastAsia"/>
                      <w:bCs/>
                      <w:color w:val="auto"/>
                      <w:szCs w:val="21"/>
                    </w:rPr>
                    <w:t>3</w:t>
                  </w:r>
                  <w:r>
                    <w:rPr>
                      <w:rFonts w:eastAsiaTheme="minorEastAsia"/>
                      <w:bCs/>
                      <w:color w:val="auto"/>
                      <w:szCs w:val="21"/>
                    </w:rPr>
                    <w:t>0min/次</w:t>
                  </w:r>
                </w:p>
              </w:tc>
              <w:tc>
                <w:tcPr>
                  <w:tcW w:w="853" w:type="pct"/>
                  <w:tcBorders>
                    <w:tl2br w:val="nil"/>
                    <w:tr2bl w:val="nil"/>
                  </w:tcBorders>
                  <w:vAlign w:val="center"/>
                </w:tcPr>
                <w:p>
                  <w:pPr>
                    <w:jc w:val="center"/>
                    <w:rPr>
                      <w:rFonts w:eastAsiaTheme="minorEastAsia"/>
                      <w:bCs/>
                      <w:color w:val="auto"/>
                      <w:szCs w:val="21"/>
                    </w:rPr>
                  </w:pPr>
                  <w:r>
                    <w:rPr>
                      <w:rFonts w:hint="eastAsia" w:eastAsiaTheme="minorEastAsia"/>
                      <w:bCs/>
                      <w:color w:val="auto"/>
                      <w:szCs w:val="21"/>
                    </w:rPr>
                    <w:t>颗粒物</w:t>
                  </w:r>
                </w:p>
              </w:tc>
              <w:tc>
                <w:tcPr>
                  <w:tcW w:w="793" w:type="pct"/>
                  <w:tcBorders>
                    <w:tl2br w:val="nil"/>
                    <w:tr2bl w:val="nil"/>
                  </w:tcBorders>
                  <w:vAlign w:val="center"/>
                </w:tcPr>
                <w:p>
                  <w:pPr>
                    <w:widowControl/>
                    <w:jc w:val="center"/>
                    <w:textAlignment w:val="bottom"/>
                    <w:rPr>
                      <w:rFonts w:hint="default" w:eastAsia="等线"/>
                      <w:color w:val="auto"/>
                      <w:kern w:val="0"/>
                      <w:szCs w:val="21"/>
                      <w:lang w:val="en-US" w:eastAsia="zh-CN" w:bidi="ar"/>
                    </w:rPr>
                  </w:pPr>
                  <w:r>
                    <w:rPr>
                      <w:rFonts w:hint="eastAsia" w:eastAsia="等线"/>
                      <w:color w:val="auto"/>
                      <w:kern w:val="0"/>
                      <w:szCs w:val="21"/>
                      <w:lang w:val="en-US" w:eastAsia="zh-CN" w:bidi="ar"/>
                    </w:rPr>
                    <w:t>8.049</w:t>
                  </w:r>
                </w:p>
              </w:tc>
              <w:tc>
                <w:tcPr>
                  <w:tcW w:w="1103" w:type="pct"/>
                  <w:vMerge w:val="continue"/>
                  <w:tcBorders>
                    <w:tl2br w:val="nil"/>
                    <w:tr2bl w:val="nil"/>
                  </w:tcBorders>
                  <w:vAlign w:val="center"/>
                </w:tcPr>
                <w:p>
                  <w:pPr>
                    <w:rPr>
                      <w:rFonts w:ascii="Times New Roman" w:hAnsi="Times New Roman" w:cs="Times New Roman" w:eastAsiaTheme="minorEastAsia"/>
                      <w:bCs/>
                      <w:color w:val="auto"/>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21" w:hRule="atLeast"/>
              </w:trPr>
              <w:tc>
                <w:tcPr>
                  <w:tcW w:w="664" w:type="pct"/>
                  <w:vMerge w:val="restart"/>
                  <w:tcBorders>
                    <w:tl2br w:val="nil"/>
                    <w:tr2bl w:val="nil"/>
                  </w:tcBorders>
                  <w:vAlign w:val="center"/>
                </w:tcPr>
                <w:p>
                  <w:pPr>
                    <w:adjustRightInd w:val="0"/>
                    <w:snapToGrid w:val="0"/>
                    <w:jc w:val="center"/>
                    <w:rPr>
                      <w:rFonts w:eastAsiaTheme="minorEastAsia"/>
                      <w:color w:val="auto"/>
                      <w:szCs w:val="21"/>
                    </w:rPr>
                  </w:pPr>
                  <w:r>
                    <w:rPr>
                      <w:rFonts w:hint="eastAsia" w:eastAsiaTheme="minorEastAsia"/>
                      <w:color w:val="auto"/>
                      <w:szCs w:val="21"/>
                    </w:rPr>
                    <w:t>喷涂</w:t>
                  </w:r>
                </w:p>
              </w:tc>
              <w:tc>
                <w:tcPr>
                  <w:tcW w:w="821" w:type="pct"/>
                  <w:tcBorders>
                    <w:tl2br w:val="nil"/>
                    <w:tr2bl w:val="nil"/>
                  </w:tcBorders>
                  <w:vAlign w:val="center"/>
                </w:tcPr>
                <w:p>
                  <w:pPr>
                    <w:jc w:val="center"/>
                    <w:rPr>
                      <w:rFonts w:eastAsiaTheme="minorEastAsia"/>
                      <w:bCs/>
                      <w:color w:val="auto"/>
                      <w:szCs w:val="21"/>
                    </w:rPr>
                  </w:pPr>
                  <w:r>
                    <w:rPr>
                      <w:rFonts w:eastAsiaTheme="minorEastAsia"/>
                      <w:bCs/>
                      <w:color w:val="auto"/>
                      <w:szCs w:val="21"/>
                    </w:rPr>
                    <w:t>2次/年</w:t>
                  </w:r>
                </w:p>
              </w:tc>
              <w:tc>
                <w:tcPr>
                  <w:tcW w:w="764" w:type="pct"/>
                  <w:tcBorders>
                    <w:tl2br w:val="nil"/>
                    <w:tr2bl w:val="nil"/>
                  </w:tcBorders>
                  <w:vAlign w:val="center"/>
                </w:tcPr>
                <w:p>
                  <w:pPr>
                    <w:jc w:val="center"/>
                    <w:rPr>
                      <w:rFonts w:eastAsiaTheme="minorEastAsia"/>
                      <w:bCs/>
                      <w:color w:val="auto"/>
                      <w:szCs w:val="21"/>
                    </w:rPr>
                  </w:pPr>
                  <w:r>
                    <w:rPr>
                      <w:rFonts w:hint="eastAsia" w:eastAsiaTheme="minorEastAsia"/>
                      <w:bCs/>
                      <w:color w:val="auto"/>
                      <w:szCs w:val="21"/>
                    </w:rPr>
                    <w:t>3</w:t>
                  </w:r>
                  <w:r>
                    <w:rPr>
                      <w:rFonts w:eastAsiaTheme="minorEastAsia"/>
                      <w:bCs/>
                      <w:color w:val="auto"/>
                      <w:szCs w:val="21"/>
                    </w:rPr>
                    <w:t>0min/次</w:t>
                  </w:r>
                </w:p>
              </w:tc>
              <w:tc>
                <w:tcPr>
                  <w:tcW w:w="853" w:type="pct"/>
                  <w:tcBorders>
                    <w:tl2br w:val="nil"/>
                    <w:tr2bl w:val="nil"/>
                  </w:tcBorders>
                  <w:vAlign w:val="center"/>
                </w:tcPr>
                <w:p>
                  <w:pPr>
                    <w:jc w:val="center"/>
                    <w:rPr>
                      <w:rFonts w:eastAsiaTheme="minorEastAsia"/>
                      <w:color w:val="auto"/>
                      <w:szCs w:val="21"/>
                    </w:rPr>
                  </w:pPr>
                  <w:r>
                    <w:rPr>
                      <w:rFonts w:hint="eastAsia" w:eastAsiaTheme="minorEastAsia"/>
                      <w:bCs/>
                      <w:color w:val="auto"/>
                      <w:szCs w:val="21"/>
                    </w:rPr>
                    <w:t>颗粒物</w:t>
                  </w:r>
                </w:p>
              </w:tc>
              <w:tc>
                <w:tcPr>
                  <w:tcW w:w="793" w:type="pct"/>
                  <w:tcBorders>
                    <w:tl2br w:val="nil"/>
                    <w:tr2bl w:val="nil"/>
                  </w:tcBorders>
                  <w:vAlign w:val="center"/>
                </w:tcPr>
                <w:p>
                  <w:pPr>
                    <w:widowControl/>
                    <w:jc w:val="center"/>
                    <w:textAlignment w:val="bottom"/>
                    <w:rPr>
                      <w:rFonts w:hint="default" w:eastAsia="等线"/>
                      <w:color w:val="auto"/>
                      <w:szCs w:val="21"/>
                      <w:lang w:val="en-US" w:eastAsia="zh-CN"/>
                    </w:rPr>
                  </w:pPr>
                  <w:r>
                    <w:rPr>
                      <w:rFonts w:hint="eastAsia" w:eastAsia="等线"/>
                      <w:color w:val="auto"/>
                      <w:kern w:val="0"/>
                      <w:szCs w:val="21"/>
                      <w:lang w:val="en-US" w:eastAsia="zh-CN" w:bidi="ar"/>
                    </w:rPr>
                    <w:t>1.127</w:t>
                  </w:r>
                </w:p>
              </w:tc>
              <w:tc>
                <w:tcPr>
                  <w:tcW w:w="1103" w:type="pct"/>
                  <w:vMerge w:val="continue"/>
                  <w:tcBorders>
                    <w:tl2br w:val="nil"/>
                    <w:tr2bl w:val="nil"/>
                  </w:tcBorders>
                  <w:vAlign w:val="center"/>
                </w:tcPr>
                <w:p>
                  <w:pPr>
                    <w:jc w:val="center"/>
                    <w:rPr>
                      <w:rFonts w:eastAsiaTheme="minorEastAsia"/>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70" w:hRule="atLeast"/>
              </w:trPr>
              <w:tc>
                <w:tcPr>
                  <w:tcW w:w="664" w:type="pct"/>
                  <w:vMerge w:val="continue"/>
                  <w:tcBorders>
                    <w:tl2br w:val="nil"/>
                    <w:tr2bl w:val="nil"/>
                  </w:tcBorders>
                  <w:vAlign w:val="center"/>
                </w:tcPr>
                <w:p>
                  <w:pPr>
                    <w:adjustRightInd w:val="0"/>
                    <w:snapToGrid w:val="0"/>
                    <w:jc w:val="center"/>
                    <w:rPr>
                      <w:rFonts w:eastAsiaTheme="minorEastAsia"/>
                      <w:color w:val="auto"/>
                      <w:szCs w:val="21"/>
                    </w:rPr>
                  </w:pPr>
                </w:p>
              </w:tc>
              <w:tc>
                <w:tcPr>
                  <w:tcW w:w="821" w:type="pct"/>
                  <w:tcBorders>
                    <w:tl2br w:val="nil"/>
                    <w:tr2bl w:val="nil"/>
                  </w:tcBorders>
                  <w:vAlign w:val="center"/>
                </w:tcPr>
                <w:p>
                  <w:pPr>
                    <w:jc w:val="center"/>
                    <w:rPr>
                      <w:rFonts w:eastAsiaTheme="minorEastAsia"/>
                      <w:bCs/>
                      <w:color w:val="auto"/>
                      <w:szCs w:val="21"/>
                    </w:rPr>
                  </w:pPr>
                  <w:r>
                    <w:rPr>
                      <w:rFonts w:eastAsiaTheme="minorEastAsia"/>
                      <w:bCs/>
                      <w:color w:val="auto"/>
                      <w:szCs w:val="21"/>
                    </w:rPr>
                    <w:t>2次/年</w:t>
                  </w:r>
                </w:p>
              </w:tc>
              <w:tc>
                <w:tcPr>
                  <w:tcW w:w="764" w:type="pct"/>
                  <w:tcBorders>
                    <w:tl2br w:val="nil"/>
                    <w:tr2bl w:val="nil"/>
                  </w:tcBorders>
                  <w:vAlign w:val="center"/>
                </w:tcPr>
                <w:p>
                  <w:pPr>
                    <w:jc w:val="center"/>
                    <w:rPr>
                      <w:rFonts w:eastAsiaTheme="minorEastAsia"/>
                      <w:bCs/>
                      <w:color w:val="auto"/>
                      <w:szCs w:val="21"/>
                    </w:rPr>
                  </w:pPr>
                  <w:r>
                    <w:rPr>
                      <w:rFonts w:hint="eastAsia" w:eastAsiaTheme="minorEastAsia"/>
                      <w:bCs/>
                      <w:color w:val="auto"/>
                      <w:szCs w:val="21"/>
                    </w:rPr>
                    <w:t>3</w:t>
                  </w:r>
                  <w:r>
                    <w:rPr>
                      <w:rFonts w:eastAsiaTheme="minorEastAsia"/>
                      <w:bCs/>
                      <w:color w:val="auto"/>
                      <w:szCs w:val="21"/>
                    </w:rPr>
                    <w:t>0min/次</w:t>
                  </w:r>
                </w:p>
              </w:tc>
              <w:tc>
                <w:tcPr>
                  <w:tcW w:w="853" w:type="pct"/>
                  <w:tcBorders>
                    <w:tl2br w:val="nil"/>
                    <w:tr2bl w:val="nil"/>
                  </w:tcBorders>
                  <w:vAlign w:val="center"/>
                </w:tcPr>
                <w:p>
                  <w:pPr>
                    <w:jc w:val="center"/>
                    <w:rPr>
                      <w:rFonts w:eastAsiaTheme="minorEastAsia"/>
                      <w:bCs/>
                      <w:color w:val="auto"/>
                      <w:szCs w:val="21"/>
                    </w:rPr>
                  </w:pPr>
                  <w:r>
                    <w:rPr>
                      <w:rFonts w:hint="eastAsia" w:ascii="宋体" w:hAnsi="宋体" w:cs="宋体"/>
                      <w:color w:val="auto"/>
                      <w:szCs w:val="21"/>
                    </w:rPr>
                    <w:t>非甲烷总烃</w:t>
                  </w:r>
                </w:p>
              </w:tc>
              <w:tc>
                <w:tcPr>
                  <w:tcW w:w="793" w:type="pct"/>
                  <w:tcBorders>
                    <w:tl2br w:val="nil"/>
                    <w:tr2bl w:val="nil"/>
                  </w:tcBorders>
                  <w:vAlign w:val="center"/>
                </w:tcPr>
                <w:p>
                  <w:pPr>
                    <w:widowControl/>
                    <w:jc w:val="center"/>
                    <w:textAlignment w:val="bottom"/>
                    <w:rPr>
                      <w:rFonts w:hint="default" w:eastAsia="等线"/>
                      <w:color w:val="auto"/>
                      <w:szCs w:val="21"/>
                      <w:lang w:val="en-US" w:eastAsia="zh-CN"/>
                    </w:rPr>
                  </w:pPr>
                  <w:r>
                    <w:rPr>
                      <w:rFonts w:hint="eastAsia" w:eastAsia="等线" w:cs="Times New Roman"/>
                      <w:color w:val="auto"/>
                      <w:kern w:val="0"/>
                      <w:szCs w:val="21"/>
                      <w:lang w:val="en-US" w:eastAsia="zh-CN" w:bidi="ar"/>
                    </w:rPr>
                    <w:t>0.689</w:t>
                  </w:r>
                </w:p>
              </w:tc>
              <w:tc>
                <w:tcPr>
                  <w:tcW w:w="1103" w:type="pct"/>
                  <w:vMerge w:val="continue"/>
                  <w:tcBorders>
                    <w:tl2br w:val="nil"/>
                    <w:tr2bl w:val="nil"/>
                  </w:tcBorders>
                  <w:vAlign w:val="center"/>
                </w:tcPr>
                <w:p>
                  <w:pPr>
                    <w:jc w:val="center"/>
                    <w:rPr>
                      <w:rFonts w:eastAsiaTheme="minorEastAsia"/>
                      <w:bCs/>
                      <w:color w:val="auto"/>
                      <w:szCs w:val="21"/>
                    </w:rPr>
                  </w:pPr>
                </w:p>
              </w:tc>
            </w:tr>
          </w:tbl>
          <w:p>
            <w:pPr>
              <w:spacing w:line="360" w:lineRule="auto"/>
              <w:ind w:firstLine="480" w:firstLineChars="200"/>
              <w:rPr>
                <w:bCs/>
                <w:color w:val="auto"/>
                <w:sz w:val="24"/>
                <w:szCs w:val="24"/>
              </w:rPr>
            </w:pPr>
          </w:p>
          <w:p>
            <w:pPr>
              <w:pStyle w:val="2"/>
              <w:rPr>
                <w:bCs/>
                <w:color w:val="auto"/>
                <w:sz w:val="24"/>
                <w:szCs w:val="24"/>
              </w:rPr>
            </w:pPr>
          </w:p>
          <w:p>
            <w:pPr>
              <w:spacing w:line="360" w:lineRule="auto"/>
              <w:ind w:firstLine="480" w:firstLineChars="200"/>
              <w:rPr>
                <w:bCs/>
                <w:color w:val="auto"/>
                <w:sz w:val="24"/>
                <w:szCs w:val="24"/>
              </w:rPr>
            </w:pPr>
            <w:r>
              <w:rPr>
                <w:bCs/>
                <w:color w:val="auto"/>
                <w:sz w:val="24"/>
                <w:szCs w:val="24"/>
              </w:rPr>
              <w:t>由上表可知，本项目在非正常运行时，短时间内污染物排放浓度较大，但由于持续时间较短，污染物的排放量不会明显增加。企业应在发现设施运行异常时立即停止</w:t>
            </w:r>
            <w:r>
              <w:rPr>
                <w:rFonts w:hint="eastAsia"/>
                <w:bCs/>
                <w:color w:val="auto"/>
                <w:sz w:val="24"/>
                <w:szCs w:val="24"/>
              </w:rPr>
              <w:t>生产</w:t>
            </w:r>
            <w:r>
              <w:rPr>
                <w:bCs/>
                <w:color w:val="auto"/>
                <w:sz w:val="24"/>
                <w:szCs w:val="24"/>
              </w:rPr>
              <w:t>，并对设备进行检修，待污染治理设施运行正常后方能复工。</w:t>
            </w:r>
          </w:p>
          <w:p>
            <w:pPr>
              <w:spacing w:line="360" w:lineRule="auto"/>
              <w:ind w:firstLine="480" w:firstLineChars="200"/>
              <w:rPr>
                <w:color w:val="auto"/>
                <w:sz w:val="24"/>
                <w:szCs w:val="24"/>
              </w:rPr>
            </w:pPr>
            <w:r>
              <w:rPr>
                <w:rFonts w:hint="eastAsia"/>
                <w:color w:val="auto"/>
                <w:sz w:val="24"/>
                <w:szCs w:val="24"/>
              </w:rPr>
              <w:t>对于非正常工况排放废气，企业管理和运行部门应加强对生产过程的环境风险评估，对环境治理设备、存在隐患的生产工艺环节加强管理和检查，减少异常排放的发生。非计划异常排放发生后，管理和运行部门应及时采取有效措施进行处理，及时阻止废气超额排放，避免事故超标排放。企业应建立事故性排放的防护措施。非正常排放的概率极小，一般情况下排放的污染物能够得到较好的控制。</w:t>
            </w:r>
          </w:p>
          <w:p>
            <w:pPr>
              <w:spacing w:line="360" w:lineRule="auto"/>
              <w:ind w:firstLine="482" w:firstLineChars="200"/>
              <w:rPr>
                <w:b/>
                <w:bCs/>
                <w:color w:val="auto"/>
                <w:sz w:val="24"/>
                <w:szCs w:val="24"/>
              </w:rPr>
            </w:pPr>
            <w:r>
              <w:rPr>
                <w:rFonts w:hint="eastAsia"/>
                <w:b/>
                <w:bCs/>
                <w:color w:val="auto"/>
                <w:sz w:val="24"/>
                <w:szCs w:val="24"/>
              </w:rPr>
              <w:t>1.2废气治理措施</w:t>
            </w:r>
          </w:p>
          <w:p>
            <w:pPr>
              <w:spacing w:line="360" w:lineRule="auto"/>
              <w:ind w:firstLine="482" w:firstLineChars="200"/>
              <w:rPr>
                <w:b/>
                <w:bCs/>
                <w:color w:val="auto"/>
                <w:sz w:val="24"/>
                <w:szCs w:val="24"/>
              </w:rPr>
            </w:pPr>
            <w:r>
              <w:rPr>
                <w:b/>
                <w:bCs/>
                <w:color w:val="auto"/>
                <w:sz w:val="24"/>
                <w:szCs w:val="24"/>
              </w:rPr>
              <w:t>①</w:t>
            </w:r>
            <w:r>
              <w:rPr>
                <w:rFonts w:hint="eastAsia"/>
                <w:b/>
                <w:bCs/>
                <w:color w:val="auto"/>
                <w:sz w:val="24"/>
                <w:szCs w:val="24"/>
              </w:rPr>
              <w:t>下料粉尘</w:t>
            </w:r>
          </w:p>
          <w:p>
            <w:pPr>
              <w:pStyle w:val="55"/>
              <w:spacing w:line="360" w:lineRule="auto"/>
              <w:ind w:firstLine="480"/>
              <w:rPr>
                <w:color w:val="auto"/>
                <w:sz w:val="24"/>
                <w:szCs w:val="24"/>
              </w:rPr>
            </w:pPr>
            <w:r>
              <w:rPr>
                <w:color w:val="auto"/>
                <w:sz w:val="24"/>
                <w:szCs w:val="24"/>
              </w:rPr>
              <w:t>本项目</w:t>
            </w:r>
            <w:r>
              <w:rPr>
                <w:rFonts w:hint="eastAsia"/>
                <w:color w:val="auto"/>
                <w:sz w:val="24"/>
                <w:szCs w:val="24"/>
              </w:rPr>
              <w:t>下料车间粉尘</w:t>
            </w:r>
            <w:r>
              <w:rPr>
                <w:color w:val="auto"/>
                <w:sz w:val="24"/>
                <w:szCs w:val="24"/>
              </w:rPr>
              <w:t>通过</w:t>
            </w:r>
            <w:r>
              <w:rPr>
                <w:rFonts w:hint="eastAsia" w:ascii="宋体" w:hAnsi="宋体" w:cs="宋体"/>
                <w:color w:val="auto"/>
                <w:sz w:val="24"/>
                <w:szCs w:val="24"/>
              </w:rPr>
              <w:t>集气系统+布袋除尘器+</w:t>
            </w:r>
            <w:r>
              <w:rPr>
                <w:rFonts w:hint="eastAsia"/>
                <w:color w:val="auto"/>
                <w:sz w:val="24"/>
                <w:szCs w:val="24"/>
              </w:rPr>
              <w:t>不低于15米高排气筒（</w:t>
            </w:r>
            <w:r>
              <w:rPr>
                <w:color w:val="auto"/>
                <w:sz w:val="24"/>
                <w:szCs w:val="24"/>
              </w:rPr>
              <w:t>DA00</w:t>
            </w:r>
            <w:r>
              <w:rPr>
                <w:rFonts w:hint="eastAsia"/>
                <w:color w:val="auto"/>
                <w:sz w:val="24"/>
                <w:szCs w:val="24"/>
              </w:rPr>
              <w:t>1）排放</w:t>
            </w:r>
            <w:r>
              <w:rPr>
                <w:color w:val="auto"/>
                <w:sz w:val="24"/>
                <w:szCs w:val="24"/>
                <w:lang w:val="en-GB"/>
              </w:rPr>
              <w:t>。</w:t>
            </w:r>
            <w:r>
              <w:rPr>
                <w:rFonts w:hint="eastAsia"/>
                <w:color w:val="auto"/>
                <w:sz w:val="24"/>
                <w:szCs w:val="24"/>
              </w:rPr>
              <w:t>废气排放能够满足《大气污染物综合排放标准》（GB16297-1996）</w:t>
            </w:r>
            <w:r>
              <w:rPr>
                <w:color w:val="auto"/>
                <w:sz w:val="24"/>
                <w:szCs w:val="24"/>
              </w:rPr>
              <w:t>中</w:t>
            </w:r>
            <w:r>
              <w:rPr>
                <w:rFonts w:hint="eastAsia"/>
                <w:bCs/>
                <w:color w:val="auto"/>
                <w:sz w:val="24"/>
                <w:szCs w:val="24"/>
              </w:rPr>
              <w:t>相关限值要求</w:t>
            </w:r>
            <w:r>
              <w:rPr>
                <w:color w:val="auto"/>
                <w:sz w:val="24"/>
                <w:szCs w:val="24"/>
              </w:rPr>
              <w:t>。</w:t>
            </w:r>
          </w:p>
          <w:p>
            <w:pPr>
              <w:spacing w:line="360" w:lineRule="auto"/>
              <w:ind w:firstLine="482" w:firstLineChars="200"/>
              <w:rPr>
                <w:b/>
                <w:bCs/>
                <w:color w:val="auto"/>
                <w:kern w:val="24"/>
                <w:sz w:val="24"/>
                <w:szCs w:val="24"/>
              </w:rPr>
            </w:pPr>
            <w:r>
              <w:rPr>
                <w:b/>
                <w:bCs/>
                <w:color w:val="auto"/>
                <w:sz w:val="24"/>
                <w:szCs w:val="24"/>
              </w:rPr>
              <w:t>②</w:t>
            </w:r>
            <w:r>
              <w:rPr>
                <w:b/>
                <w:bCs/>
                <w:color w:val="auto"/>
                <w:kern w:val="24"/>
                <w:sz w:val="24"/>
                <w:szCs w:val="24"/>
              </w:rPr>
              <w:t>焊接烟尘</w:t>
            </w:r>
          </w:p>
          <w:p>
            <w:pPr>
              <w:pStyle w:val="55"/>
              <w:spacing w:line="360" w:lineRule="auto"/>
              <w:ind w:firstLine="480" w:firstLineChars="200"/>
              <w:rPr>
                <w:b/>
                <w:bCs/>
                <w:color w:val="auto"/>
                <w:sz w:val="24"/>
                <w:szCs w:val="24"/>
              </w:rPr>
            </w:pPr>
            <w:r>
              <w:rPr>
                <w:color w:val="auto"/>
                <w:sz w:val="24"/>
                <w:szCs w:val="24"/>
              </w:rPr>
              <w:t>本项目焊接</w:t>
            </w:r>
            <w:r>
              <w:rPr>
                <w:rFonts w:hint="eastAsia"/>
                <w:color w:val="auto"/>
                <w:sz w:val="24"/>
                <w:szCs w:val="24"/>
              </w:rPr>
              <w:t>车间</w:t>
            </w:r>
            <w:r>
              <w:rPr>
                <w:color w:val="auto"/>
                <w:sz w:val="24"/>
                <w:szCs w:val="24"/>
              </w:rPr>
              <w:t>烟尘通过</w:t>
            </w:r>
            <w:r>
              <w:rPr>
                <w:rFonts w:hint="eastAsia" w:ascii="宋体" w:hAnsi="宋体" w:cs="宋体"/>
                <w:color w:val="auto"/>
                <w:sz w:val="24"/>
                <w:szCs w:val="24"/>
              </w:rPr>
              <w:t>集气系统+布袋除尘器+</w:t>
            </w:r>
            <w:r>
              <w:rPr>
                <w:rFonts w:hint="eastAsia"/>
                <w:color w:val="auto"/>
                <w:sz w:val="24"/>
                <w:szCs w:val="24"/>
              </w:rPr>
              <w:t>不低于15米高排气筒（</w:t>
            </w:r>
            <w:r>
              <w:rPr>
                <w:color w:val="auto"/>
                <w:sz w:val="24"/>
                <w:szCs w:val="24"/>
              </w:rPr>
              <w:t>DA00</w:t>
            </w:r>
            <w:r>
              <w:rPr>
                <w:rFonts w:hint="eastAsia"/>
                <w:color w:val="auto"/>
                <w:sz w:val="24"/>
                <w:szCs w:val="24"/>
              </w:rPr>
              <w:t>2）排放</w:t>
            </w:r>
            <w:r>
              <w:rPr>
                <w:color w:val="auto"/>
                <w:sz w:val="24"/>
                <w:szCs w:val="24"/>
                <w:lang w:val="en-GB"/>
              </w:rPr>
              <w:t>。</w:t>
            </w:r>
            <w:r>
              <w:rPr>
                <w:rFonts w:hint="eastAsia"/>
                <w:color w:val="auto"/>
                <w:sz w:val="24"/>
                <w:szCs w:val="24"/>
              </w:rPr>
              <w:t>废气排放能够满足《大气污染物综合排放标准》（GB16297-1996）</w:t>
            </w:r>
            <w:r>
              <w:rPr>
                <w:color w:val="auto"/>
                <w:sz w:val="24"/>
                <w:szCs w:val="24"/>
              </w:rPr>
              <w:t>中</w:t>
            </w:r>
            <w:r>
              <w:rPr>
                <w:rFonts w:hint="eastAsia"/>
                <w:bCs/>
                <w:color w:val="auto"/>
                <w:sz w:val="24"/>
                <w:szCs w:val="24"/>
              </w:rPr>
              <w:t>相关限值要求</w:t>
            </w:r>
            <w:r>
              <w:rPr>
                <w:color w:val="auto"/>
                <w:sz w:val="24"/>
                <w:szCs w:val="24"/>
              </w:rPr>
              <w:t>。</w:t>
            </w:r>
          </w:p>
          <w:p>
            <w:pPr>
              <w:pStyle w:val="55"/>
              <w:spacing w:line="360" w:lineRule="auto"/>
              <w:ind w:firstLine="480"/>
              <w:rPr>
                <w:b/>
                <w:bCs/>
                <w:color w:val="auto"/>
                <w:sz w:val="24"/>
                <w:szCs w:val="24"/>
              </w:rPr>
            </w:pPr>
            <w:r>
              <w:rPr>
                <w:b/>
                <w:bCs/>
                <w:color w:val="auto"/>
                <w:sz w:val="24"/>
                <w:szCs w:val="24"/>
              </w:rPr>
              <w:t>③</w:t>
            </w:r>
            <w:r>
              <w:rPr>
                <w:rFonts w:hint="eastAsia"/>
                <w:b/>
                <w:bCs/>
                <w:color w:val="auto"/>
                <w:sz w:val="24"/>
                <w:szCs w:val="24"/>
                <w:lang w:eastAsia="zh-CN"/>
              </w:rPr>
              <w:t>抛丸</w:t>
            </w:r>
            <w:r>
              <w:rPr>
                <w:rFonts w:hint="eastAsia"/>
                <w:b/>
                <w:bCs/>
                <w:color w:val="auto"/>
                <w:sz w:val="24"/>
                <w:szCs w:val="24"/>
              </w:rPr>
              <w:t>粉尘</w:t>
            </w:r>
          </w:p>
          <w:p>
            <w:pPr>
              <w:pStyle w:val="55"/>
              <w:spacing w:line="360" w:lineRule="auto"/>
              <w:ind w:firstLine="480"/>
              <w:rPr>
                <w:color w:val="auto"/>
                <w:sz w:val="24"/>
                <w:szCs w:val="24"/>
              </w:rPr>
            </w:pPr>
            <w:r>
              <w:rPr>
                <w:color w:val="auto"/>
                <w:sz w:val="24"/>
                <w:szCs w:val="24"/>
              </w:rPr>
              <w:t>本项目</w:t>
            </w:r>
            <w:r>
              <w:rPr>
                <w:rFonts w:hint="eastAsia"/>
                <w:color w:val="auto"/>
                <w:sz w:val="24"/>
                <w:szCs w:val="24"/>
                <w:lang w:eastAsia="zh-CN"/>
              </w:rPr>
              <w:t>抛丸</w:t>
            </w:r>
            <w:r>
              <w:rPr>
                <w:rFonts w:hint="eastAsia"/>
                <w:color w:val="auto"/>
                <w:sz w:val="24"/>
                <w:szCs w:val="24"/>
              </w:rPr>
              <w:t>粉尘</w:t>
            </w:r>
            <w:r>
              <w:rPr>
                <w:color w:val="auto"/>
                <w:sz w:val="24"/>
                <w:szCs w:val="24"/>
              </w:rPr>
              <w:t>通过</w:t>
            </w:r>
            <w:r>
              <w:rPr>
                <w:rFonts w:hint="eastAsia"/>
                <w:color w:val="auto"/>
                <w:sz w:val="24"/>
                <w:szCs w:val="24"/>
                <w:lang w:eastAsia="zh-CN"/>
              </w:rPr>
              <w:t>抛丸</w:t>
            </w:r>
            <w:r>
              <w:rPr>
                <w:rFonts w:hint="eastAsia"/>
                <w:color w:val="auto"/>
                <w:sz w:val="24"/>
                <w:szCs w:val="24"/>
              </w:rPr>
              <w:t>机自带</w:t>
            </w:r>
            <w:r>
              <w:rPr>
                <w:rFonts w:hint="eastAsia" w:ascii="宋体" w:hAnsi="宋体" w:cs="宋体"/>
                <w:color w:val="auto"/>
                <w:sz w:val="24"/>
                <w:szCs w:val="24"/>
              </w:rPr>
              <w:t>集气系统+引风机+布袋除尘器+</w:t>
            </w:r>
            <w:r>
              <w:rPr>
                <w:rFonts w:hint="eastAsia"/>
                <w:color w:val="auto"/>
                <w:sz w:val="24"/>
                <w:szCs w:val="24"/>
              </w:rPr>
              <w:t>不低于15米高排气筒（</w:t>
            </w:r>
            <w:r>
              <w:rPr>
                <w:color w:val="auto"/>
                <w:sz w:val="24"/>
                <w:szCs w:val="24"/>
              </w:rPr>
              <w:t>DA00</w:t>
            </w:r>
            <w:r>
              <w:rPr>
                <w:rFonts w:hint="eastAsia"/>
                <w:color w:val="auto"/>
                <w:sz w:val="24"/>
                <w:szCs w:val="24"/>
              </w:rPr>
              <w:t>3）排放</w:t>
            </w:r>
            <w:r>
              <w:rPr>
                <w:color w:val="auto"/>
                <w:sz w:val="24"/>
                <w:szCs w:val="24"/>
                <w:lang w:val="en-GB"/>
              </w:rPr>
              <w:t>。</w:t>
            </w:r>
            <w:r>
              <w:rPr>
                <w:rFonts w:hint="eastAsia"/>
                <w:color w:val="auto"/>
                <w:sz w:val="24"/>
                <w:szCs w:val="24"/>
              </w:rPr>
              <w:t>废气排放能够满足《大气污染物综合排放标准》（GB16297-1996）</w:t>
            </w:r>
            <w:r>
              <w:rPr>
                <w:color w:val="auto"/>
                <w:sz w:val="24"/>
                <w:szCs w:val="24"/>
              </w:rPr>
              <w:t>中</w:t>
            </w:r>
            <w:r>
              <w:rPr>
                <w:rFonts w:hint="eastAsia"/>
                <w:bCs/>
                <w:color w:val="auto"/>
                <w:sz w:val="24"/>
                <w:szCs w:val="24"/>
              </w:rPr>
              <w:t>相关限值要求</w:t>
            </w:r>
            <w:r>
              <w:rPr>
                <w:color w:val="auto"/>
                <w:sz w:val="24"/>
                <w:szCs w:val="24"/>
              </w:rPr>
              <w:t>。</w:t>
            </w:r>
          </w:p>
          <w:p>
            <w:pPr>
              <w:pStyle w:val="55"/>
              <w:spacing w:line="360" w:lineRule="auto"/>
              <w:ind w:firstLine="480"/>
              <w:rPr>
                <w:b/>
                <w:bCs/>
                <w:color w:val="auto"/>
                <w:sz w:val="24"/>
                <w:szCs w:val="24"/>
              </w:rPr>
            </w:pPr>
            <w:r>
              <w:rPr>
                <w:rFonts w:hint="eastAsia" w:ascii="宋体" w:hAnsi="宋体" w:cs="宋体"/>
                <w:b/>
                <w:bCs/>
                <w:color w:val="auto"/>
                <w:sz w:val="24"/>
                <w:szCs w:val="24"/>
              </w:rPr>
              <w:t>④</w:t>
            </w:r>
            <w:r>
              <w:rPr>
                <w:rFonts w:hint="eastAsia"/>
                <w:b/>
                <w:bCs/>
                <w:color w:val="auto"/>
                <w:sz w:val="24"/>
                <w:szCs w:val="24"/>
              </w:rPr>
              <w:t>喷漆、晾干废气</w:t>
            </w:r>
          </w:p>
          <w:p>
            <w:pPr>
              <w:spacing w:line="360" w:lineRule="auto"/>
              <w:ind w:firstLine="480" w:firstLineChars="200"/>
              <w:rPr>
                <w:color w:val="auto"/>
                <w:kern w:val="24"/>
                <w:sz w:val="24"/>
                <w:szCs w:val="24"/>
              </w:rPr>
            </w:pPr>
            <w:r>
              <w:rPr>
                <w:rFonts w:hint="eastAsia"/>
                <w:color w:val="auto"/>
                <w:kern w:val="24"/>
                <w:sz w:val="24"/>
                <w:szCs w:val="24"/>
              </w:rPr>
              <w:t>喷漆、晾干产生的喷漆废气经过滤棉+二级活性炭</w:t>
            </w:r>
            <w:r>
              <w:rPr>
                <w:rFonts w:hint="eastAsia" w:ascii="宋体" w:cs="宋体"/>
                <w:bCs/>
                <w:color w:val="auto"/>
                <w:kern w:val="0"/>
                <w:sz w:val="24"/>
                <w:szCs w:val="24"/>
              </w:rPr>
              <w:t>（活性炭纤维+活性炭颗粒）</w:t>
            </w:r>
            <w:r>
              <w:rPr>
                <w:rFonts w:hint="eastAsia"/>
                <w:color w:val="auto"/>
                <w:kern w:val="24"/>
                <w:sz w:val="24"/>
                <w:szCs w:val="24"/>
              </w:rPr>
              <w:t>吸附处理通过不低于15m以上高排气筒</w:t>
            </w:r>
            <w:r>
              <w:rPr>
                <w:rFonts w:hint="eastAsia"/>
                <w:color w:val="auto"/>
                <w:sz w:val="24"/>
                <w:szCs w:val="24"/>
              </w:rPr>
              <w:t>（</w:t>
            </w:r>
            <w:r>
              <w:rPr>
                <w:color w:val="auto"/>
                <w:sz w:val="24"/>
                <w:szCs w:val="24"/>
              </w:rPr>
              <w:t>DA00</w:t>
            </w:r>
            <w:r>
              <w:rPr>
                <w:rFonts w:hint="eastAsia"/>
                <w:color w:val="auto"/>
                <w:sz w:val="24"/>
                <w:szCs w:val="24"/>
                <w:lang w:val="en-US" w:eastAsia="zh-CN"/>
              </w:rPr>
              <w:t>4</w:t>
            </w:r>
            <w:r>
              <w:rPr>
                <w:rFonts w:hint="eastAsia"/>
                <w:color w:val="auto"/>
                <w:sz w:val="24"/>
                <w:szCs w:val="24"/>
              </w:rPr>
              <w:t>）</w:t>
            </w:r>
            <w:r>
              <w:rPr>
                <w:rFonts w:hint="eastAsia"/>
                <w:color w:val="auto"/>
                <w:kern w:val="24"/>
                <w:sz w:val="24"/>
                <w:szCs w:val="24"/>
              </w:rPr>
              <w:t>排放，</w:t>
            </w:r>
            <w:r>
              <w:rPr>
                <w:color w:val="auto"/>
                <w:kern w:val="24"/>
                <w:sz w:val="24"/>
                <w:szCs w:val="24"/>
              </w:rPr>
              <w:t>满足《大气污染物综合排放标准》（GB16297-1996）</w:t>
            </w:r>
            <w:r>
              <w:rPr>
                <w:rFonts w:hint="eastAsia"/>
                <w:color w:val="auto"/>
                <w:kern w:val="24"/>
                <w:sz w:val="24"/>
                <w:szCs w:val="24"/>
              </w:rPr>
              <w:t>相关限值要求。</w:t>
            </w:r>
          </w:p>
          <w:p>
            <w:pPr>
              <w:spacing w:line="360" w:lineRule="auto"/>
              <w:ind w:firstLine="482" w:firstLineChars="200"/>
              <w:rPr>
                <w:bCs/>
                <w:color w:val="auto"/>
                <w:sz w:val="24"/>
                <w:szCs w:val="24"/>
              </w:rPr>
            </w:pPr>
            <w:r>
              <w:rPr>
                <w:rFonts w:hint="eastAsia"/>
                <w:b/>
                <w:bCs/>
                <w:color w:val="auto"/>
                <w:sz w:val="24"/>
                <w:szCs w:val="24"/>
              </w:rPr>
              <w:t>1.3废气环保措施可行性分析</w:t>
            </w:r>
          </w:p>
          <w:p>
            <w:pPr>
              <w:spacing w:line="360" w:lineRule="auto"/>
              <w:ind w:firstLine="460"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pacing w:val="-5"/>
                <w:sz w:val="24"/>
                <w:szCs w:val="24"/>
              </w:rPr>
              <w:t>参照《排污许可证申请与核发技术规范 总则》（HJ942-2018）</w:t>
            </w:r>
            <w:r>
              <w:rPr>
                <w:rFonts w:hint="eastAsia" w:ascii="Times New Roman" w:hAnsi="Times New Roman" w:eastAsia="宋体" w:cs="Times New Roman"/>
                <w:color w:val="auto"/>
                <w:spacing w:val="-5"/>
                <w:sz w:val="24"/>
                <w:szCs w:val="24"/>
                <w:lang w:eastAsia="zh-CN"/>
              </w:rPr>
              <w:t>、</w:t>
            </w:r>
            <w:r>
              <w:rPr>
                <w:rFonts w:hint="default" w:ascii="Times New Roman" w:hAnsi="Times New Roman" w:eastAsia="宋体" w:cs="Times New Roman"/>
                <w:color w:val="auto"/>
                <w:spacing w:val="-5"/>
                <w:sz w:val="24"/>
                <w:szCs w:val="24"/>
              </w:rPr>
              <w:t>《排污单位自行监测技术指南 总则》（HJ 819-2017）</w:t>
            </w:r>
            <w:r>
              <w:rPr>
                <w:rFonts w:hint="default" w:ascii="Times New Roman" w:hAnsi="Times New Roman" w:eastAsia="宋体" w:cs="Times New Roman"/>
                <w:color w:val="auto"/>
                <w:spacing w:val="-5"/>
                <w:sz w:val="24"/>
                <w:szCs w:val="24"/>
                <w:lang w:eastAsia="zh-CN"/>
              </w:rPr>
              <w:t>、《</w:t>
            </w:r>
            <w:r>
              <w:rPr>
                <w:rFonts w:hint="default" w:ascii="Times New Roman" w:hAnsi="Times New Roman" w:eastAsia="宋体" w:cs="Times New Roman"/>
                <w:color w:val="auto"/>
                <w:spacing w:val="-5"/>
                <w:sz w:val="24"/>
                <w:szCs w:val="24"/>
              </w:rPr>
              <w:t>大气污染治理工程技术导则</w:t>
            </w:r>
            <w:r>
              <w:rPr>
                <w:rFonts w:hint="default" w:ascii="Times New Roman" w:hAnsi="Times New Roman" w:eastAsia="宋体" w:cs="Times New Roman"/>
                <w:color w:val="auto"/>
                <w:spacing w:val="-5"/>
                <w:sz w:val="24"/>
                <w:szCs w:val="24"/>
                <w:lang w:eastAsia="zh-CN"/>
              </w:rPr>
              <w:t>》</w:t>
            </w:r>
            <w:r>
              <w:rPr>
                <w:rFonts w:hint="default" w:ascii="Times New Roman" w:hAnsi="Times New Roman" w:eastAsia="宋体" w:cs="Times New Roman"/>
                <w:color w:val="auto"/>
                <w:spacing w:val="-5"/>
                <w:sz w:val="24"/>
                <w:szCs w:val="24"/>
              </w:rPr>
              <w:t>（HJ 2000-2010）</w:t>
            </w:r>
            <w:r>
              <w:rPr>
                <w:rFonts w:hint="eastAsia" w:ascii="Times New Roman" w:hAnsi="Times New Roman" w:eastAsia="宋体" w:cs="Times New Roman"/>
                <w:color w:val="auto"/>
                <w:spacing w:val="-5"/>
                <w:sz w:val="24"/>
                <w:szCs w:val="24"/>
                <w:lang w:eastAsia="zh-CN"/>
              </w:rPr>
              <w:t>、《吸附法工业有机废气治理工程技术规范》(HJ 2026—2013)</w:t>
            </w:r>
            <w:r>
              <w:rPr>
                <w:rFonts w:hint="default" w:ascii="Times New Roman" w:hAnsi="Times New Roman" w:eastAsia="宋体" w:cs="Times New Roman"/>
                <w:color w:val="auto"/>
                <w:spacing w:val="-5"/>
                <w:sz w:val="24"/>
                <w:szCs w:val="24"/>
              </w:rPr>
              <w:t>中相关标准，本项目涉及的废气治理技术对比如下表所示。</w:t>
            </w:r>
          </w:p>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cs="Times New Roman"/>
                <w:b/>
                <w:bCs/>
                <w:color w:val="auto"/>
                <w:sz w:val="21"/>
                <w:szCs w:val="21"/>
                <w:lang w:val="en-US" w:eastAsia="zh-CN"/>
              </w:rPr>
              <w:t>6</w:t>
            </w:r>
            <w:r>
              <w:rPr>
                <w:rFonts w:hint="default" w:ascii="Times New Roman" w:hAnsi="Times New Roman" w:eastAsia="宋体" w:cs="Times New Roman"/>
                <w:b/>
                <w:bCs/>
                <w:color w:val="auto"/>
                <w:sz w:val="21"/>
                <w:szCs w:val="21"/>
              </w:rPr>
              <w:t xml:space="preserve">  污染防治可行技术对比分析</w:t>
            </w:r>
          </w:p>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3760"/>
              <w:gridCol w:w="2496"/>
              <w:gridCol w:w="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285" w:type="dxa"/>
                  <w:noWrap w:val="0"/>
                  <w:vAlign w:val="center"/>
                </w:tcPr>
                <w:p>
                  <w:pPr>
                    <w:pStyle w:val="16"/>
                    <w:spacing w:after="0"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产排污环节</w:t>
                  </w:r>
                </w:p>
              </w:tc>
              <w:tc>
                <w:tcPr>
                  <w:tcW w:w="3750" w:type="dxa"/>
                  <w:noWrap w:val="0"/>
                  <w:vAlign w:val="center"/>
                </w:tcPr>
                <w:p>
                  <w:pPr>
                    <w:pStyle w:val="16"/>
                    <w:spacing w:after="0"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可行技术</w:t>
                  </w:r>
                </w:p>
              </w:tc>
              <w:tc>
                <w:tcPr>
                  <w:tcW w:w="2490" w:type="dxa"/>
                  <w:noWrap w:val="0"/>
                  <w:vAlign w:val="center"/>
                </w:tcPr>
                <w:p>
                  <w:pPr>
                    <w:pStyle w:val="16"/>
                    <w:spacing w:after="0"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本项目内容</w:t>
                  </w:r>
                </w:p>
              </w:tc>
              <w:tc>
                <w:tcPr>
                  <w:tcW w:w="915" w:type="dxa"/>
                  <w:noWrap w:val="0"/>
                  <w:vAlign w:val="center"/>
                </w:tcPr>
                <w:p>
                  <w:pPr>
                    <w:pStyle w:val="16"/>
                    <w:spacing w:after="0"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85" w:type="dxa"/>
                  <w:noWrap w:val="0"/>
                  <w:vAlign w:val="center"/>
                </w:tcPr>
                <w:p>
                  <w:pPr>
                    <w:pStyle w:val="16"/>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切割粉尘</w:t>
                  </w:r>
                </w:p>
              </w:tc>
              <w:tc>
                <w:tcPr>
                  <w:tcW w:w="3750" w:type="dxa"/>
                  <w:noWrap w:val="0"/>
                  <w:vAlign w:val="center"/>
                </w:tcPr>
                <w:p>
                  <w:pPr>
                    <w:pStyle w:val="16"/>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除尘设备，袋式除尘、湿式除尘</w:t>
                  </w:r>
                </w:p>
              </w:tc>
              <w:tc>
                <w:tcPr>
                  <w:tcW w:w="2490" w:type="dxa"/>
                  <w:noWrap w:val="0"/>
                  <w:vAlign w:val="center"/>
                </w:tcPr>
                <w:p>
                  <w:pPr>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布袋除尘</w:t>
                  </w:r>
                </w:p>
              </w:tc>
              <w:tc>
                <w:tcPr>
                  <w:tcW w:w="915" w:type="dxa"/>
                  <w:noWrap w:val="0"/>
                  <w:vAlign w:val="center"/>
                </w:tcPr>
                <w:p>
                  <w:pPr>
                    <w:pStyle w:val="16"/>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85" w:type="dxa"/>
                  <w:noWrap w:val="0"/>
                  <w:vAlign w:val="center"/>
                </w:tcPr>
                <w:p>
                  <w:pPr>
                    <w:pStyle w:val="16"/>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焊接粉尘</w:t>
                  </w:r>
                </w:p>
              </w:tc>
              <w:tc>
                <w:tcPr>
                  <w:tcW w:w="3750" w:type="dxa"/>
                  <w:noWrap w:val="0"/>
                  <w:vAlign w:val="center"/>
                </w:tcPr>
                <w:p>
                  <w:pPr>
                    <w:pStyle w:val="16"/>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烟尘净化器、袋式除尘</w:t>
                  </w:r>
                </w:p>
              </w:tc>
              <w:tc>
                <w:tcPr>
                  <w:tcW w:w="2490" w:type="dxa"/>
                  <w:noWrap w:val="0"/>
                  <w:vAlign w:val="center"/>
                </w:tcPr>
                <w:p>
                  <w:pPr>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布袋除尘</w:t>
                  </w:r>
                </w:p>
              </w:tc>
              <w:tc>
                <w:tcPr>
                  <w:tcW w:w="915" w:type="dxa"/>
                  <w:noWrap w:val="0"/>
                  <w:vAlign w:val="center"/>
                </w:tcPr>
                <w:p>
                  <w:pPr>
                    <w:pStyle w:val="16"/>
                    <w:spacing w:after="0"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85"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抛丸粉尘</w:t>
                  </w:r>
                </w:p>
              </w:tc>
              <w:tc>
                <w:tcPr>
                  <w:tcW w:w="3750"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除尘设备，袋式除尘、湿式除尘</w:t>
                  </w:r>
                </w:p>
              </w:tc>
              <w:tc>
                <w:tcPr>
                  <w:tcW w:w="2490" w:type="dxa"/>
                  <w:noWrap w:val="0"/>
                  <w:vAlign w:val="center"/>
                </w:tcPr>
                <w:p>
                  <w:pPr>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布袋除尘</w:t>
                  </w:r>
                </w:p>
              </w:tc>
              <w:tc>
                <w:tcPr>
                  <w:tcW w:w="915"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85"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喷漆废气</w:t>
                  </w:r>
                </w:p>
              </w:tc>
              <w:tc>
                <w:tcPr>
                  <w:tcW w:w="3750"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有机废气治理设施、活性炭吸附、吸附/浓缩+热力燃烧/催化燃烧</w:t>
                  </w:r>
                </w:p>
              </w:tc>
              <w:tc>
                <w:tcPr>
                  <w:tcW w:w="2490"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过滤棉</w:t>
                  </w:r>
                  <w:r>
                    <w:rPr>
                      <w:rFonts w:hint="default" w:ascii="Times New Roman" w:hAnsi="Times New Roman" w:eastAsia="宋体" w:cs="Times New Roman"/>
                      <w:color w:val="auto"/>
                      <w:sz w:val="21"/>
                      <w:szCs w:val="21"/>
                    </w:rPr>
                    <w:t>+二级活性炭吸附</w:t>
                  </w:r>
                </w:p>
              </w:tc>
              <w:tc>
                <w:tcPr>
                  <w:tcW w:w="915" w:type="dxa"/>
                  <w:noWrap w:val="0"/>
                  <w:vAlign w:val="center"/>
                </w:tcPr>
                <w:p>
                  <w:pPr>
                    <w:pStyle w:val="16"/>
                    <w:spacing w:after="0" w:line="240" w:lineRule="auto"/>
                    <w:ind w:left="0" w:lef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符合</w:t>
                  </w:r>
                </w:p>
              </w:tc>
            </w:tr>
          </w:tbl>
          <w:p>
            <w:pPr>
              <w:pStyle w:val="12"/>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综上，本项目废气治理措施均为可行技术，废气可以实现稳定达标排放。因此，本项目大气防治措施是可行的。</w:t>
            </w:r>
          </w:p>
          <w:p>
            <w:pPr>
              <w:pStyle w:val="5"/>
              <w:spacing w:before="0" w:after="0" w:line="360" w:lineRule="auto"/>
              <w:ind w:leftChars="202" w:hanging="10" w:hangingChars="4"/>
              <w:rPr>
                <w:rFonts w:ascii="宋体" w:hAnsi="宋体" w:eastAsia="宋体"/>
                <w:color w:val="auto"/>
                <w:sz w:val="24"/>
                <w:szCs w:val="24"/>
              </w:rPr>
            </w:pPr>
            <w:r>
              <w:rPr>
                <w:rFonts w:hint="eastAsia" w:hAnsi="宋体" w:cs="宋体"/>
                <w:color w:val="auto"/>
                <w:sz w:val="24"/>
                <w:szCs w:val="24"/>
                <w:lang w:bidi="en-US"/>
              </w:rPr>
              <w:t>1</w:t>
            </w:r>
            <w:r>
              <w:rPr>
                <w:rFonts w:hint="eastAsia" w:ascii="宋体" w:hAnsi="宋体" w:eastAsia="宋体"/>
                <w:color w:val="auto"/>
                <w:sz w:val="24"/>
                <w:szCs w:val="24"/>
              </w:rPr>
              <w:t>.4废气排放达标分析</w:t>
            </w:r>
          </w:p>
          <w:p>
            <w:pPr>
              <w:spacing w:line="360" w:lineRule="auto"/>
              <w:ind w:firstLine="480" w:firstLineChars="200"/>
              <w:rPr>
                <w:color w:val="auto"/>
                <w:sz w:val="24"/>
                <w:szCs w:val="24"/>
              </w:rPr>
            </w:pPr>
            <w:r>
              <w:rPr>
                <w:color w:val="auto"/>
                <w:sz w:val="24"/>
                <w:szCs w:val="24"/>
              </w:rPr>
              <w:t>根据项目所在区域环境质量现状可知，区域内常规污染物PM</w:t>
            </w:r>
            <w:r>
              <w:rPr>
                <w:color w:val="auto"/>
                <w:sz w:val="24"/>
                <w:szCs w:val="24"/>
                <w:vertAlign w:val="subscript"/>
              </w:rPr>
              <w:t>10</w:t>
            </w:r>
            <w:r>
              <w:rPr>
                <w:color w:val="auto"/>
                <w:sz w:val="24"/>
                <w:szCs w:val="24"/>
              </w:rPr>
              <w:t>、PM</w:t>
            </w:r>
            <w:r>
              <w:rPr>
                <w:color w:val="auto"/>
                <w:sz w:val="24"/>
                <w:szCs w:val="24"/>
                <w:vertAlign w:val="subscript"/>
              </w:rPr>
              <w:t>2.5</w:t>
            </w:r>
            <w:r>
              <w:rPr>
                <w:color w:val="auto"/>
                <w:sz w:val="24"/>
                <w:szCs w:val="24"/>
              </w:rPr>
              <w:t>年平均浓度、O</w:t>
            </w:r>
            <w:r>
              <w:rPr>
                <w:color w:val="auto"/>
                <w:sz w:val="24"/>
                <w:szCs w:val="24"/>
                <w:vertAlign w:val="subscript"/>
              </w:rPr>
              <w:t>3</w:t>
            </w:r>
            <w:r>
              <w:rPr>
                <w:color w:val="auto"/>
                <w:sz w:val="24"/>
                <w:szCs w:val="24"/>
              </w:rPr>
              <w:t>最大8h平均浓度均不能满足《环境空气质量标准》（GB3095-2012）二级标。项目排放的污染物能够达到</w:t>
            </w:r>
            <w:r>
              <w:rPr>
                <w:color w:val="auto"/>
                <w:kern w:val="24"/>
                <w:sz w:val="24"/>
                <w:szCs w:val="24"/>
              </w:rPr>
              <w:t>《大气污染物综合排放标准》（GB16297-1996</w:t>
            </w:r>
            <w:r>
              <w:rPr>
                <w:rFonts w:hint="eastAsia"/>
                <w:color w:val="auto"/>
                <w:kern w:val="24"/>
                <w:sz w:val="24"/>
                <w:szCs w:val="24"/>
              </w:rPr>
              <w:t>）相关限值</w:t>
            </w:r>
            <w:r>
              <w:rPr>
                <w:color w:val="auto"/>
                <w:sz w:val="24"/>
                <w:szCs w:val="24"/>
              </w:rPr>
              <w:t>要求。本项目废气治理技术为可行技术，因此项目排放的废气对周围环境的影响较小。综上，本项目排放的废气能够满足相关要求，对环境空气影响相对较小。</w:t>
            </w:r>
          </w:p>
          <w:p>
            <w:pPr>
              <w:pStyle w:val="5"/>
              <w:spacing w:before="0" w:after="0" w:line="360" w:lineRule="auto"/>
              <w:ind w:leftChars="202" w:hanging="10" w:hangingChars="4"/>
              <w:rPr>
                <w:rFonts w:ascii="宋体" w:hAnsi="宋体" w:eastAsia="宋体"/>
                <w:color w:val="auto"/>
                <w:sz w:val="24"/>
                <w:szCs w:val="24"/>
              </w:rPr>
            </w:pPr>
            <w:r>
              <w:rPr>
                <w:rFonts w:hint="eastAsia" w:hAnsi="宋体" w:cs="宋体"/>
                <w:color w:val="auto"/>
                <w:sz w:val="24"/>
                <w:szCs w:val="24"/>
                <w:lang w:bidi="en-US"/>
              </w:rPr>
              <w:t>1.5</w:t>
            </w:r>
            <w:r>
              <w:rPr>
                <w:rFonts w:ascii="宋体" w:hAnsi="宋体" w:eastAsia="宋体"/>
                <w:color w:val="auto"/>
                <w:sz w:val="24"/>
                <w:szCs w:val="24"/>
              </w:rPr>
              <w:t>废</w:t>
            </w:r>
            <w:r>
              <w:rPr>
                <w:rFonts w:hint="eastAsia" w:ascii="宋体" w:hAnsi="宋体" w:eastAsia="宋体"/>
                <w:color w:val="auto"/>
                <w:sz w:val="24"/>
                <w:szCs w:val="24"/>
              </w:rPr>
              <w:t>气</w:t>
            </w:r>
            <w:r>
              <w:rPr>
                <w:rFonts w:ascii="宋体" w:hAnsi="宋体" w:eastAsia="宋体"/>
                <w:color w:val="auto"/>
                <w:sz w:val="24"/>
                <w:szCs w:val="24"/>
              </w:rPr>
              <w:t>污染物自行监测计划</w:t>
            </w:r>
          </w:p>
          <w:p>
            <w:pPr>
              <w:pStyle w:val="55"/>
              <w:spacing w:line="360" w:lineRule="auto"/>
              <w:ind w:firstLine="480"/>
              <w:rPr>
                <w:rFonts w:hint="default" w:ascii="Times New Roman" w:hAnsi="Times New Roman" w:cs="Times New Roman"/>
                <w:b/>
                <w:bCs/>
                <w:color w:val="auto"/>
                <w:sz w:val="24"/>
                <w:szCs w:val="24"/>
                <w:lang w:bidi="en-US"/>
              </w:rPr>
            </w:pPr>
            <w:r>
              <w:rPr>
                <w:rFonts w:hint="default" w:ascii="Times New Roman" w:hAnsi="Times New Roman" w:cs="Times New Roman"/>
                <w:color w:val="auto"/>
                <w:sz w:val="24"/>
                <w:szCs w:val="24"/>
              </w:rPr>
              <w:t>根据《排污单位自行监测技术指南 总则》（HJ819-2017）、《排污许可证申请与核发技术规范 总则》</w:t>
            </w:r>
            <w:r>
              <w:rPr>
                <w:rFonts w:hint="default" w:ascii="Times New Roman" w:hAnsi="Times New Roman" w:cs="Times New Roman"/>
                <w:b w:val="0"/>
                <w:bCs w:val="0"/>
                <w:color w:val="auto"/>
                <w:sz w:val="24"/>
                <w:szCs w:val="24"/>
              </w:rPr>
              <w:t>（HJ942-2018）</w:t>
            </w:r>
            <w:r>
              <w:rPr>
                <w:rFonts w:hint="default" w:ascii="Times New Roman" w:hAnsi="Times New Roman" w:cs="Times New Roman"/>
                <w:color w:val="auto"/>
                <w:sz w:val="24"/>
                <w:szCs w:val="24"/>
              </w:rPr>
              <w:t>、</w:t>
            </w:r>
            <w:r>
              <w:rPr>
                <w:rFonts w:hint="default" w:ascii="Times New Roman" w:hAnsi="Times New Roman" w:cs="Times New Roman"/>
                <w:b w:val="0"/>
                <w:bCs w:val="0"/>
                <w:color w:val="auto"/>
                <w:sz w:val="24"/>
                <w:szCs w:val="24"/>
              </w:rPr>
              <w:t>《排污单位自行监测技术指南 涂装》（HJ 1086—2020），</w:t>
            </w:r>
            <w:r>
              <w:rPr>
                <w:rFonts w:hint="default" w:ascii="Times New Roman" w:hAnsi="Times New Roman" w:cs="Times New Roman"/>
                <w:color w:val="auto"/>
                <w:sz w:val="24"/>
                <w:szCs w:val="24"/>
              </w:rPr>
              <w:t>废气自行监测计划见下表。</w:t>
            </w:r>
          </w:p>
          <w:p>
            <w:pPr>
              <w:adjustRightInd w:val="0"/>
              <w:snapToGrid w:val="0"/>
              <w:spacing w:line="240" w:lineRule="auto"/>
              <w:jc w:val="center"/>
              <w:rPr>
                <w:rFonts w:hint="default" w:ascii="Times New Roman" w:hAnsi="Times New Roman" w:cs="Times New Roman"/>
                <w:b/>
                <w:bCs/>
                <w:color w:val="auto"/>
                <w:sz w:val="24"/>
                <w:lang w:bidi="en-US"/>
              </w:rPr>
            </w:pPr>
            <w:r>
              <w:rPr>
                <w:rFonts w:hint="default" w:ascii="Times New Roman" w:hAnsi="Times New Roman" w:cs="Times New Roman"/>
                <w:b/>
                <w:bCs/>
                <w:color w:val="auto"/>
                <w:sz w:val="24"/>
                <w:szCs w:val="24"/>
                <w:lang w:bidi="en-US"/>
              </w:rPr>
              <w:t>表4-</w:t>
            </w:r>
            <w:r>
              <w:rPr>
                <w:rFonts w:hint="eastAsia" w:cs="Times New Roman"/>
                <w:b/>
                <w:bCs/>
                <w:color w:val="auto"/>
                <w:sz w:val="24"/>
                <w:szCs w:val="24"/>
                <w:lang w:val="en-US" w:eastAsia="zh-CN" w:bidi="en-US"/>
              </w:rPr>
              <w:t>7</w:t>
            </w:r>
            <w:r>
              <w:rPr>
                <w:rFonts w:hint="default" w:ascii="Times New Roman" w:hAnsi="Times New Roman" w:cs="Times New Roman"/>
                <w:b/>
                <w:bCs/>
                <w:color w:val="auto"/>
                <w:sz w:val="24"/>
                <w:szCs w:val="24"/>
                <w:lang w:bidi="en-US"/>
              </w:rPr>
              <w:t xml:space="preserve">  有组织废气排放监测点位、监测指标及最低监测频次</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382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60" w:type="dxa"/>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3825" w:type="dxa"/>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监测指标</w:t>
                  </w:r>
                </w:p>
              </w:tc>
              <w:tc>
                <w:tcPr>
                  <w:tcW w:w="1950" w:type="dxa"/>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DA001排气筒/下料工段</w:t>
                  </w:r>
                </w:p>
              </w:tc>
              <w:tc>
                <w:tcPr>
                  <w:tcW w:w="3825"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950"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DA002排气筒/焊接工段</w:t>
                  </w:r>
                </w:p>
              </w:tc>
              <w:tc>
                <w:tcPr>
                  <w:tcW w:w="3825"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950"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DA003排气筒/</w:t>
                  </w:r>
                  <w:r>
                    <w:rPr>
                      <w:rFonts w:hint="default" w:ascii="Times New Roman" w:hAnsi="Times New Roman" w:cs="Times New Roman"/>
                      <w:color w:val="auto"/>
                      <w:szCs w:val="21"/>
                      <w:lang w:val="en-US" w:eastAsia="zh-CN"/>
                    </w:rPr>
                    <w:t>抛丸</w:t>
                  </w:r>
                  <w:r>
                    <w:rPr>
                      <w:rFonts w:hint="default" w:ascii="Times New Roman" w:hAnsi="Times New Roman" w:cs="Times New Roman"/>
                      <w:color w:val="auto"/>
                      <w:szCs w:val="21"/>
                    </w:rPr>
                    <w:t>工段</w:t>
                  </w:r>
                </w:p>
              </w:tc>
              <w:tc>
                <w:tcPr>
                  <w:tcW w:w="3825"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950"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DA004排气筒/喷漆、晾干</w:t>
                  </w:r>
                </w:p>
              </w:tc>
              <w:tc>
                <w:tcPr>
                  <w:tcW w:w="3825"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非甲烷总烃、颗粒物</w:t>
                  </w:r>
                </w:p>
              </w:tc>
              <w:tc>
                <w:tcPr>
                  <w:tcW w:w="1950"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r>
          </w:tbl>
          <w:p>
            <w:pPr>
              <w:adjustRightInd w:val="0"/>
              <w:snapToGrid w:val="0"/>
              <w:jc w:val="center"/>
              <w:rPr>
                <w:rFonts w:hint="default" w:ascii="Times New Roman" w:hAnsi="Times New Roman" w:cs="Times New Roman"/>
                <w:b/>
                <w:bCs/>
                <w:color w:val="auto"/>
                <w:sz w:val="24"/>
                <w:szCs w:val="24"/>
                <w:lang w:bidi="en-US"/>
              </w:rPr>
            </w:pPr>
          </w:p>
          <w:p>
            <w:pPr>
              <w:adjustRightInd w:val="0"/>
              <w:snapToGrid w:val="0"/>
              <w:spacing w:line="240" w:lineRule="auto"/>
              <w:jc w:val="center"/>
              <w:rPr>
                <w:rFonts w:hint="default" w:ascii="Times New Roman" w:hAnsi="Times New Roman" w:cs="Times New Roman"/>
                <w:b/>
                <w:bCs/>
                <w:color w:val="auto"/>
                <w:sz w:val="24"/>
                <w:szCs w:val="24"/>
                <w:lang w:bidi="en-US"/>
              </w:rPr>
            </w:pPr>
            <w:r>
              <w:rPr>
                <w:rFonts w:hint="default" w:ascii="Times New Roman" w:hAnsi="Times New Roman" w:cs="Times New Roman"/>
                <w:b/>
                <w:bCs/>
                <w:color w:val="auto"/>
                <w:sz w:val="24"/>
                <w:szCs w:val="24"/>
                <w:lang w:bidi="en-US"/>
              </w:rPr>
              <w:t>表4-</w:t>
            </w:r>
            <w:r>
              <w:rPr>
                <w:rFonts w:hint="eastAsia" w:cs="Times New Roman"/>
                <w:b/>
                <w:bCs/>
                <w:color w:val="auto"/>
                <w:sz w:val="24"/>
                <w:szCs w:val="24"/>
                <w:lang w:val="en-US" w:eastAsia="zh-CN" w:bidi="en-US"/>
              </w:rPr>
              <w:t>8</w:t>
            </w:r>
            <w:r>
              <w:rPr>
                <w:rFonts w:hint="default" w:ascii="Times New Roman" w:hAnsi="Times New Roman" w:cs="Times New Roman"/>
                <w:b/>
                <w:bCs/>
                <w:color w:val="auto"/>
                <w:sz w:val="24"/>
                <w:szCs w:val="24"/>
                <w:lang w:bidi="en-US"/>
              </w:rPr>
              <w:t xml:space="preserve">  无组织废气排放监测点位、监测指标及最低监测频次</w:t>
            </w:r>
          </w:p>
          <w:tbl>
            <w:tblPr>
              <w:tblStyle w:val="35"/>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384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3" w:type="dxa"/>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3847" w:type="dxa"/>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监测指标</w:t>
                  </w:r>
                </w:p>
              </w:tc>
              <w:tc>
                <w:tcPr>
                  <w:tcW w:w="1968" w:type="dxa"/>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6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厂界</w:t>
                  </w:r>
                </w:p>
              </w:tc>
              <w:tc>
                <w:tcPr>
                  <w:tcW w:w="384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非甲烷总烃、颗粒物</w:t>
                  </w:r>
                </w:p>
              </w:tc>
              <w:tc>
                <w:tcPr>
                  <w:tcW w:w="196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r>
          </w:tbl>
          <w:p>
            <w:pPr>
              <w:spacing w:line="360" w:lineRule="auto"/>
              <w:rPr>
                <w:rFonts w:hint="eastAsia"/>
                <w:b/>
                <w:bCs/>
                <w:color w:val="auto"/>
                <w:sz w:val="24"/>
                <w:szCs w:val="24"/>
              </w:rPr>
            </w:pPr>
          </w:p>
          <w:p>
            <w:pPr>
              <w:spacing w:line="360" w:lineRule="auto"/>
              <w:rPr>
                <w:b/>
                <w:bCs/>
                <w:color w:val="auto"/>
                <w:sz w:val="24"/>
                <w:szCs w:val="24"/>
              </w:rPr>
            </w:pPr>
            <w:r>
              <w:rPr>
                <w:rFonts w:hint="eastAsia"/>
                <w:b/>
                <w:bCs/>
                <w:color w:val="auto"/>
                <w:sz w:val="24"/>
                <w:szCs w:val="24"/>
              </w:rPr>
              <w:t>2、废水</w:t>
            </w:r>
          </w:p>
          <w:p>
            <w:pPr>
              <w:adjustRightInd w:val="0"/>
              <w:snapToGrid w:val="0"/>
              <w:spacing w:line="360" w:lineRule="auto"/>
              <w:ind w:firstLine="482" w:firstLineChars="200"/>
              <w:outlineLvl w:val="3"/>
              <w:rPr>
                <w:b/>
                <w:bCs/>
                <w:color w:val="auto"/>
                <w:sz w:val="24"/>
                <w:szCs w:val="24"/>
              </w:rPr>
            </w:pPr>
            <w:r>
              <w:rPr>
                <w:rFonts w:hint="eastAsia"/>
                <w:b/>
                <w:bCs/>
                <w:color w:val="auto"/>
                <w:sz w:val="24"/>
                <w:szCs w:val="24"/>
              </w:rPr>
              <w:t>2.1、给水、排水平衡</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kern w:val="24"/>
                <w:sz w:val="24"/>
                <w:szCs w:val="24"/>
              </w:rPr>
              <w:t>项目营运期用水主要为职工生活用水。</w:t>
            </w:r>
            <w:r>
              <w:rPr>
                <w:rFonts w:hint="default" w:ascii="Times New Roman" w:hAnsi="Times New Roman" w:cs="Times New Roman"/>
                <w:color w:val="auto"/>
                <w:sz w:val="24"/>
                <w:szCs w:val="24"/>
              </w:rPr>
              <w:t>本项目劳动定员1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0人，</w:t>
            </w:r>
            <w:r>
              <w:rPr>
                <w:rFonts w:hint="eastAsia" w:cs="Times New Roman"/>
                <w:color w:val="auto"/>
                <w:sz w:val="24"/>
                <w:szCs w:val="24"/>
                <w:lang w:val="en-US" w:eastAsia="zh-CN"/>
              </w:rPr>
              <w:t>其中厂区内工作人员50人，厂区外安装施工人员100人，</w:t>
            </w:r>
            <w:r>
              <w:rPr>
                <w:rFonts w:hint="default" w:ascii="Times New Roman" w:hAnsi="Times New Roman" w:cs="Times New Roman"/>
                <w:color w:val="auto"/>
                <w:sz w:val="24"/>
                <w:szCs w:val="24"/>
              </w:rPr>
              <w:t>年工作天数为300天，均不在厂区内食宿。人员平均每人用水量按60L/d计</w:t>
            </w:r>
            <w:r>
              <w:rPr>
                <w:rFonts w:hint="eastAsia" w:cs="Times New Roman"/>
                <w:color w:val="auto"/>
                <w:sz w:val="24"/>
                <w:szCs w:val="24"/>
                <w:lang w:eastAsia="zh-CN"/>
              </w:rPr>
              <w:t>，</w:t>
            </w:r>
            <w:r>
              <w:rPr>
                <w:rFonts w:hint="eastAsia" w:cs="Times New Roman"/>
                <w:color w:val="auto"/>
                <w:sz w:val="24"/>
                <w:szCs w:val="24"/>
                <w:lang w:val="en-US" w:eastAsia="zh-CN"/>
              </w:rPr>
              <w:t>厂区外安装施工人员100人不在厂区内工作，本项目仅计算厂区内工作人员50人的生活用水</w:t>
            </w:r>
            <w:r>
              <w:rPr>
                <w:rFonts w:hint="default" w:ascii="Times New Roman" w:hAnsi="Times New Roman" w:cs="Times New Roman"/>
                <w:color w:val="auto"/>
                <w:sz w:val="24"/>
                <w:szCs w:val="24"/>
              </w:rPr>
              <w:t>。则生活用水量为</w:t>
            </w:r>
            <w:r>
              <w:rPr>
                <w:rFonts w:hint="eastAsia" w:cs="Times New Roman"/>
                <w:color w:val="auto"/>
                <w:sz w:val="24"/>
                <w:szCs w:val="24"/>
                <w:lang w:val="en-US" w:eastAsia="zh-CN"/>
              </w:rPr>
              <w:t>9</w:t>
            </w:r>
            <w:r>
              <w:rPr>
                <w:rFonts w:hint="default" w:ascii="Times New Roman" w:hAnsi="Times New Roman" w:cs="Times New Roman"/>
                <w:color w:val="auto"/>
                <w:sz w:val="24"/>
                <w:szCs w:val="24"/>
              </w:rPr>
              <w:t>00t/a。生活污水产生量按用水量80%计，则产生量为</w:t>
            </w:r>
            <w:r>
              <w:rPr>
                <w:rFonts w:hint="eastAsia" w:cs="Times New Roman"/>
                <w:color w:val="auto"/>
                <w:sz w:val="24"/>
                <w:szCs w:val="24"/>
                <w:lang w:val="en-US" w:eastAsia="zh-CN"/>
              </w:rPr>
              <w:t>72</w:t>
            </w:r>
            <w:r>
              <w:rPr>
                <w:rFonts w:hint="default" w:ascii="Times New Roman" w:hAnsi="Times New Roman" w:cs="Times New Roman"/>
                <w:color w:val="auto"/>
                <w:sz w:val="24"/>
                <w:szCs w:val="24"/>
              </w:rPr>
              <w:t>0t/a。水量平衡图详见图4-2。</w:t>
            </w:r>
          </w:p>
          <w:p>
            <w:pPr>
              <w:adjustRightInd w:val="0"/>
              <w:snapToGrid w:val="0"/>
              <w:spacing w:line="240" w:lineRule="auto"/>
              <w:ind w:left="2100"/>
              <w:rPr>
                <w:rFonts w:hAnsi="宋体" w:cs="宋体"/>
                <w:b/>
                <w:bCs/>
                <w:color w:val="auto"/>
                <w:sz w:val="24"/>
                <w:szCs w:val="24"/>
                <w:lang w:bidi="en-US"/>
              </w:rPr>
            </w:pPr>
            <w:r>
              <w:rPr>
                <w:rFonts w:hint="eastAsia" w:hAnsi="宋体" w:cs="宋体"/>
                <w:b/>
                <w:bCs/>
                <w:color w:val="auto"/>
                <w:sz w:val="24"/>
                <w:szCs w:val="24"/>
                <w:lang w:bidi="en-US"/>
              </w:rPr>
              <w:t>表4-</w:t>
            </w:r>
            <w:r>
              <w:rPr>
                <w:rFonts w:hint="eastAsia" w:hAnsi="宋体" w:cs="宋体"/>
                <w:b/>
                <w:bCs/>
                <w:color w:val="auto"/>
                <w:sz w:val="24"/>
                <w:szCs w:val="24"/>
                <w:lang w:val="en-US" w:eastAsia="zh-CN" w:bidi="en-US"/>
              </w:rPr>
              <w:t>9</w:t>
            </w:r>
            <w:r>
              <w:rPr>
                <w:rFonts w:hint="eastAsia" w:hAnsi="宋体" w:cs="宋体"/>
                <w:b/>
                <w:bCs/>
                <w:color w:val="auto"/>
                <w:sz w:val="24"/>
                <w:szCs w:val="24"/>
                <w:lang w:bidi="en-US"/>
              </w:rPr>
              <w:t xml:space="preserve">   项目给水、排水量核算一览表</w:t>
            </w:r>
          </w:p>
          <w:tbl>
            <w:tblPr>
              <w:tblStyle w:val="34"/>
              <w:tblW w:w="8407"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148"/>
              <w:gridCol w:w="1366"/>
              <w:gridCol w:w="1433"/>
              <w:gridCol w:w="1507"/>
              <w:gridCol w:w="792"/>
              <w:gridCol w:w="1039"/>
              <w:gridCol w:w="112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用水项目</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用水指标</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用水量</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产污</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系数</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污水排放量</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11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新鲜水用量t/d</w:t>
                  </w:r>
                </w:p>
              </w:tc>
              <w:tc>
                <w:tcPr>
                  <w:tcW w:w="15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年用水量t/a</w:t>
                  </w: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日排放量t/d</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年排放量t/a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生活用水</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60L/人·d</w:t>
                  </w:r>
                </w:p>
              </w:tc>
              <w:tc>
                <w:tcPr>
                  <w:tcW w:w="1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3</w:t>
                  </w:r>
                </w:p>
              </w:tc>
              <w:tc>
                <w:tcPr>
                  <w:tcW w:w="15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w:t>
                  </w:r>
                  <w:r>
                    <w:rPr>
                      <w:rFonts w:hint="eastAsia" w:ascii="Times New Roman" w:hAnsi="Times New Roman" w:cs="Times New Roman"/>
                      <w:color w:val="auto"/>
                      <w:szCs w:val="21"/>
                      <w:lang w:val="en-US" w:eastAsia="zh-CN"/>
                    </w:rPr>
                    <w:t>00</w:t>
                  </w: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0.8</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2.4</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720</w:t>
                  </w:r>
                </w:p>
              </w:tc>
            </w:tr>
          </w:tbl>
          <w:p>
            <w:pPr>
              <w:spacing w:line="480" w:lineRule="exact"/>
              <w:rPr>
                <w:color w:val="auto"/>
                <w:sz w:val="24"/>
              </w:rPr>
            </w:pPr>
            <w:r>
              <w:rPr>
                <w:rFonts w:hint="eastAsia"/>
                <w:b/>
                <w:bCs/>
                <w:color w:val="auto"/>
                <w:sz w:val="24"/>
              </w:rPr>
              <w:t xml:space="preserve">    </w:t>
            </w:r>
          </w:p>
          <w:p>
            <w:pPr>
              <w:pStyle w:val="30"/>
              <w:rPr>
                <w:b/>
                <w:bCs/>
                <w:snapToGrid w:val="0"/>
                <w:color w:val="auto"/>
                <w:szCs w:val="21"/>
              </w:rPr>
            </w:pPr>
            <w:r>
              <w:rPr>
                <w:color w:val="auto"/>
              </w:rPr>
              <mc:AlternateContent>
                <mc:Choice Requires="wps">
                  <w:drawing>
                    <wp:anchor distT="0" distB="0" distL="114300" distR="114300" simplePos="0" relativeHeight="251665408" behindDoc="0" locked="0" layoutInCell="1" allowOverlap="1">
                      <wp:simplePos x="0" y="0"/>
                      <wp:positionH relativeFrom="column">
                        <wp:posOffset>4205605</wp:posOffset>
                      </wp:positionH>
                      <wp:positionV relativeFrom="paragraph">
                        <wp:posOffset>187325</wp:posOffset>
                      </wp:positionV>
                      <wp:extent cx="1004570" cy="7112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04570" cy="711200"/>
                              </a:xfrm>
                              <a:prstGeom prst="rect">
                                <a:avLst/>
                              </a:prstGeom>
                              <a:noFill/>
                              <a:ln>
                                <a:noFill/>
                              </a:ln>
                            </wps:spPr>
                            <wps:txbx>
                              <w:txbxContent>
                                <w:p>
                                  <w:pPr>
                                    <w:rPr>
                                      <w:rFonts w:hint="eastAsia" w:eastAsia="宋体"/>
                                      <w:bCs/>
                                      <w:szCs w:val="21"/>
                                      <w:lang w:val="en-US" w:eastAsia="zh-CN"/>
                                    </w:rPr>
                                  </w:pPr>
                                  <w:r>
                                    <w:rPr>
                                      <w:color w:val="000000" w:themeColor="text1"/>
                                      <w:szCs w:val="21"/>
                                      <w14:textFill>
                                        <w14:solidFill>
                                          <w14:schemeClr w14:val="tx1"/>
                                        </w14:solidFill>
                                      </w14:textFill>
                                    </w:rPr>
                                    <w:t>接管进入</w:t>
                                  </w:r>
                                  <w:r>
                                    <w:rPr>
                                      <w:rFonts w:hint="eastAsia"/>
                                      <w:color w:val="000000" w:themeColor="text1"/>
                                      <w:szCs w:val="21"/>
                                      <w14:textFill>
                                        <w14:solidFill>
                                          <w14:schemeClr w14:val="tx1"/>
                                        </w14:solidFill>
                                      </w14:textFill>
                                    </w:rPr>
                                    <w:t>龙湖污水处理厂</w:t>
                                  </w:r>
                                  <w:r>
                                    <w:rPr>
                                      <w:color w:val="000000" w:themeColor="text1"/>
                                      <w:szCs w:val="21"/>
                                      <w14:textFill>
                                        <w14:solidFill>
                                          <w14:schemeClr w14:val="tx1"/>
                                        </w14:solidFill>
                                      </w14:textFill>
                                    </w:rPr>
                                    <w:t>中处理</w:t>
                                  </w:r>
                                </w:p>
                              </w:txbxContent>
                            </wps:txbx>
                            <wps:bodyPr wrap="square" lIns="91439" tIns="45720" rIns="91439" bIns="45720" upright="1">
                              <a:noAutofit/>
                            </wps:bodyPr>
                          </wps:wsp>
                        </a:graphicData>
                      </a:graphic>
                    </wp:anchor>
                  </w:drawing>
                </mc:Choice>
                <mc:Fallback>
                  <w:pict>
                    <v:shape id="_x0000_s1026" o:spid="_x0000_s1026" o:spt="202" type="#_x0000_t202" style="position:absolute;left:0pt;margin-left:331.15pt;margin-top:14.75pt;height:56pt;width:79.1pt;z-index:251665408;mso-width-relative:page;mso-height-relative:page;" filled="f" stroked="f" coordsize="21600,21600" o:gfxdata="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fMIBdkAAAAKAQAADwAAAAAA&#10;AAABACAAAAAiAAAAZHJzL2Rvd25yZXYueG1sUEsBAhQAFAAAAAgAh07iQAf2PnnZAQAArAMAAA4A&#10;AAAAAAAAAQAgAAAAKAEAAGRycy9lMm9Eb2MueG1sUEsFBgAAAAAGAAYAWQEAAHMFAAAAAA==&#10;">
                      <v:fill on="f" focussize="0,0"/>
                      <v:stroke on="f"/>
                      <v:imagedata o:title=""/>
                      <o:lock v:ext="edit" aspectratio="f"/>
                      <v:textbox inset="7.19992125984252pt,1.27mm,7.19992125984252pt,1.27mm">
                        <w:txbxContent>
                          <w:p>
                            <w:pPr>
                              <w:rPr>
                                <w:rFonts w:hint="eastAsia" w:eastAsia="宋体"/>
                                <w:bCs/>
                                <w:szCs w:val="21"/>
                                <w:lang w:val="en-US" w:eastAsia="zh-CN"/>
                              </w:rPr>
                            </w:pPr>
                            <w:r>
                              <w:rPr>
                                <w:color w:val="000000" w:themeColor="text1"/>
                                <w:szCs w:val="21"/>
                                <w14:textFill>
                                  <w14:solidFill>
                                    <w14:schemeClr w14:val="tx1"/>
                                  </w14:solidFill>
                                </w14:textFill>
                              </w:rPr>
                              <w:t>接管进入</w:t>
                            </w:r>
                            <w:r>
                              <w:rPr>
                                <w:rFonts w:hint="eastAsia"/>
                                <w:color w:val="000000" w:themeColor="text1"/>
                                <w:szCs w:val="21"/>
                                <w14:textFill>
                                  <w14:solidFill>
                                    <w14:schemeClr w14:val="tx1"/>
                                  </w14:solidFill>
                                </w14:textFill>
                              </w:rPr>
                              <w:t>龙湖污水处理厂</w:t>
                            </w:r>
                            <w:r>
                              <w:rPr>
                                <w:color w:val="000000" w:themeColor="text1"/>
                                <w:szCs w:val="21"/>
                                <w14:textFill>
                                  <w14:solidFill>
                                    <w14:schemeClr w14:val="tx1"/>
                                  </w14:solidFill>
                                </w14:textFill>
                              </w:rPr>
                              <w:t>中处理</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2474595</wp:posOffset>
                      </wp:positionH>
                      <wp:positionV relativeFrom="paragraph">
                        <wp:posOffset>307975</wp:posOffset>
                      </wp:positionV>
                      <wp:extent cx="630555" cy="307340"/>
                      <wp:effectExtent l="0" t="0" r="0" b="0"/>
                      <wp:wrapNone/>
                      <wp:docPr id="12" name="文本框 12"/>
                      <wp:cNvGraphicFramePr/>
                      <a:graphic xmlns:a="http://schemas.openxmlformats.org/drawingml/2006/main">
                        <a:graphicData uri="http://schemas.microsoft.com/office/word/2010/wordprocessingShape">
                          <wps:wsp>
                            <wps:cNvSpPr txBox="1"/>
                            <wps:spPr>
                              <a:xfrm>
                                <a:off x="3628390" y="2877820"/>
                                <a:ext cx="630555" cy="307340"/>
                              </a:xfrm>
                              <a:prstGeom prst="rect">
                                <a:avLst/>
                              </a:prstGeom>
                              <a:noFill/>
                              <a:ln>
                                <a:noFill/>
                              </a:ln>
                            </wps:spPr>
                            <wps:txbx>
                              <w:txbxContent>
                                <w:p>
                                  <w:pPr>
                                    <w:rPr>
                                      <w:rFonts w:hint="default" w:eastAsia="宋体"/>
                                      <w:szCs w:val="21"/>
                                      <w:lang w:val="en-US" w:eastAsia="zh-CN"/>
                                    </w:rPr>
                                  </w:pPr>
                                  <w:r>
                                    <w:rPr>
                                      <w:rFonts w:hint="eastAsia"/>
                                      <w:szCs w:val="21"/>
                                      <w:lang w:val="en-US" w:eastAsia="zh-CN"/>
                                    </w:rPr>
                                    <w:t>720</w:t>
                                  </w:r>
                                </w:p>
                              </w:txbxContent>
                            </wps:txbx>
                            <wps:bodyPr lIns="91439" tIns="45720" rIns="91439" bIns="45720" upright="1"/>
                          </wps:wsp>
                        </a:graphicData>
                      </a:graphic>
                    </wp:anchor>
                  </w:drawing>
                </mc:Choice>
                <mc:Fallback>
                  <w:pict>
                    <v:shape id="_x0000_s1026" o:spid="_x0000_s1026" o:spt="202" type="#_x0000_t202" style="position:absolute;left:0pt;margin-left:194.85pt;margin-top:24.25pt;height:24.2pt;width:49.65pt;z-index:251663360;mso-width-relative:page;mso-height-relative:page;" filled="f" stroked="f" coordsize="21600,21600" o:gfxdata="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gWrFTZAAAACQEAAA8AAAAAAAAAAQAgAAAA&#10;IgAAAGRycy9kb3ducmV2LnhtbFBLAQIUABQAAAAIAIdO4kAxkQWf0QEAAI8DAAAOAAAAAAAAAAEA&#10;IAAAACgBAABkcnMvZTJvRG9jLnhtbFBLBQYAAAAABgAGAFkBAABrBQAAAAA=&#10;">
                      <v:fill on="f" focussize="0,0"/>
                      <v:stroke on="f"/>
                      <v:imagedata o:title=""/>
                      <o:lock v:ext="edit" aspectratio="f"/>
                      <v:textbox inset="7.19992125984252pt,1.27mm,7.19992125984252pt,1.27mm">
                        <w:txbxContent>
                          <w:p>
                            <w:pPr>
                              <w:rPr>
                                <w:rFonts w:hint="default" w:eastAsia="宋体"/>
                                <w:szCs w:val="21"/>
                                <w:lang w:val="en-US" w:eastAsia="zh-CN"/>
                              </w:rPr>
                            </w:pPr>
                            <w:r>
                              <w:rPr>
                                <w:rFonts w:hint="eastAsia"/>
                                <w:szCs w:val="21"/>
                                <w:lang w:val="en-US" w:eastAsia="zh-CN"/>
                              </w:rPr>
                              <w:t>720</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3733800</wp:posOffset>
                      </wp:positionH>
                      <wp:positionV relativeFrom="paragraph">
                        <wp:posOffset>273685</wp:posOffset>
                      </wp:positionV>
                      <wp:extent cx="569595" cy="307340"/>
                      <wp:effectExtent l="0" t="0" r="0" b="0"/>
                      <wp:wrapNone/>
                      <wp:docPr id="11" name="文本框 11"/>
                      <wp:cNvGraphicFramePr/>
                      <a:graphic xmlns:a="http://schemas.openxmlformats.org/drawingml/2006/main">
                        <a:graphicData uri="http://schemas.microsoft.com/office/word/2010/wordprocessingShape">
                          <wps:wsp>
                            <wps:cNvSpPr txBox="1"/>
                            <wps:spPr>
                              <a:xfrm>
                                <a:off x="4853305" y="2834640"/>
                                <a:ext cx="569595" cy="307340"/>
                              </a:xfrm>
                              <a:prstGeom prst="rect">
                                <a:avLst/>
                              </a:prstGeom>
                              <a:noFill/>
                              <a:ln>
                                <a:noFill/>
                              </a:ln>
                            </wps:spPr>
                            <wps:txbx>
                              <w:txbxContent>
                                <w:p>
                                  <w:pPr>
                                    <w:rPr>
                                      <w:rFonts w:hint="default" w:eastAsia="宋体"/>
                                      <w:lang w:val="en-US" w:eastAsia="zh-CN"/>
                                    </w:rPr>
                                  </w:pPr>
                                  <w:r>
                                    <w:rPr>
                                      <w:rFonts w:hint="eastAsia"/>
                                      <w:szCs w:val="21"/>
                                      <w:lang w:val="en-US" w:eastAsia="zh-CN"/>
                                    </w:rPr>
                                    <w:t>720</w:t>
                                  </w:r>
                                </w:p>
                              </w:txbxContent>
                            </wps:txbx>
                            <wps:bodyPr lIns="91439" tIns="45720" rIns="91439" bIns="45720" upright="1"/>
                          </wps:wsp>
                        </a:graphicData>
                      </a:graphic>
                    </wp:anchor>
                  </w:drawing>
                </mc:Choice>
                <mc:Fallback>
                  <w:pict>
                    <v:shape id="_x0000_s1026" o:spid="_x0000_s1026" o:spt="202" type="#_x0000_t202" style="position:absolute;left:0pt;margin-left:294pt;margin-top:21.55pt;height:24.2pt;width:44.85pt;z-index:251662336;mso-width-relative:page;mso-height-relative:page;" filled="f" stroked="f" coordsize="21600,21600" o:gfxdata="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d8IszZAAAACQEAAA8AAAAAAAAAAQAgAAAA&#10;IgAAAGRycy9kb3ducmV2LnhtbFBLAQIUABQAAAAIAIdO4kDleZgY0QEAAI8DAAAOAAAAAAAAAAEA&#10;IAAAACgBAABkcnMvZTJvRG9jLnhtbFBLBQYAAAAABgAGAFkBAABrBQAAAAA=&#10;">
                      <v:fill on="f" focussize="0,0"/>
                      <v:stroke on="f"/>
                      <v:imagedata o:title=""/>
                      <o:lock v:ext="edit" aspectratio="f"/>
                      <v:textbox inset="7.19992125984252pt,1.27mm,7.19992125984252pt,1.27mm">
                        <w:txbxContent>
                          <w:p>
                            <w:pPr>
                              <w:rPr>
                                <w:rFonts w:hint="default" w:eastAsia="宋体"/>
                                <w:lang w:val="en-US" w:eastAsia="zh-CN"/>
                              </w:rPr>
                            </w:pPr>
                            <w:r>
                              <w:rPr>
                                <w:rFonts w:hint="eastAsia"/>
                                <w:szCs w:val="21"/>
                                <w:lang w:val="en-US" w:eastAsia="zh-CN"/>
                              </w:rPr>
                              <w:t>720</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413385</wp:posOffset>
                      </wp:positionH>
                      <wp:positionV relativeFrom="paragraph">
                        <wp:posOffset>379730</wp:posOffset>
                      </wp:positionV>
                      <wp:extent cx="830580" cy="278765"/>
                      <wp:effectExtent l="0" t="0" r="0" b="0"/>
                      <wp:wrapNone/>
                      <wp:docPr id="22" name="文本框 22"/>
                      <wp:cNvGraphicFramePr/>
                      <a:graphic xmlns:a="http://schemas.openxmlformats.org/drawingml/2006/main">
                        <a:graphicData uri="http://schemas.microsoft.com/office/word/2010/wordprocessingShape">
                          <wps:wsp>
                            <wps:cNvSpPr txBox="1"/>
                            <wps:spPr>
                              <a:xfrm>
                                <a:off x="1571625" y="3764280"/>
                                <a:ext cx="830580" cy="278765"/>
                              </a:xfrm>
                              <a:prstGeom prst="rect">
                                <a:avLst/>
                              </a:prstGeom>
                              <a:noFill/>
                              <a:ln>
                                <a:noFill/>
                              </a:ln>
                            </wps:spPr>
                            <wps:txbx>
                              <w:txbxContent>
                                <w:p>
                                  <w:pPr>
                                    <w:jc w:val="center"/>
                                    <w:rPr>
                                      <w:bCs/>
                                      <w:szCs w:val="21"/>
                                    </w:rPr>
                                  </w:pPr>
                                  <w:r>
                                    <w:rPr>
                                      <w:rFonts w:hint="eastAsia"/>
                                      <w:bCs/>
                                      <w:szCs w:val="21"/>
                                    </w:rPr>
                                    <w:t>新鲜水</w:t>
                                  </w:r>
                                </w:p>
                                <w:p>
                                  <w:pPr>
                                    <w:jc w:val="center"/>
                                    <w:rPr>
                                      <w:rFonts w:ascii="仿宋" w:hAnsi="仿宋" w:eastAsia="仿宋"/>
                                      <w:bCs/>
                                      <w:szCs w:val="21"/>
                                    </w:rPr>
                                  </w:pPr>
                                </w:p>
                              </w:txbxContent>
                            </wps:txbx>
                            <wps:bodyPr lIns="91439" tIns="45720" rIns="91439" bIns="45720" upright="1"/>
                          </wps:wsp>
                        </a:graphicData>
                      </a:graphic>
                    </wp:anchor>
                  </w:drawing>
                </mc:Choice>
                <mc:Fallback>
                  <w:pict>
                    <v:shape id="_x0000_s1026" o:spid="_x0000_s1026" o:spt="202" type="#_x0000_t202" style="position:absolute;left:0pt;margin-left:32.55pt;margin-top:29.9pt;height:21.95pt;width:65.4pt;z-index:251668480;mso-width-relative:page;mso-height-relative:page;" filled="f" stroked="f" coordsize="21600,21600" o:gfxdata="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eCV9gAAAAJAQAADwAAAAAAAAABACAAAAAi&#10;AAAAZHJzL2Rvd25yZXYueG1sUEsBAhQAFAAAAAgAh07iQD2ADM3RAQAAjwMAAA4AAAAAAAAAAQAg&#10;AAAAJwEAAGRycy9lMm9Eb2MueG1sUEsFBgAAAAAGAAYAWQEAAGoFAAAAAA==&#10;">
                      <v:fill on="f" focussize="0,0"/>
                      <v:stroke on="f"/>
                      <v:imagedata o:title=""/>
                      <o:lock v:ext="edit" aspectratio="f"/>
                      <v:textbox inset="7.19992125984252pt,1.27mm,7.19992125984252pt,1.27mm">
                        <w:txbxContent>
                          <w:p>
                            <w:pPr>
                              <w:jc w:val="center"/>
                              <w:rPr>
                                <w:bCs/>
                                <w:szCs w:val="21"/>
                              </w:rPr>
                            </w:pPr>
                            <w:r>
                              <w:rPr>
                                <w:rFonts w:hint="eastAsia"/>
                                <w:bCs/>
                                <w:szCs w:val="21"/>
                              </w:rPr>
                              <w:t>新鲜水</w:t>
                            </w:r>
                          </w:p>
                          <w:p>
                            <w:pPr>
                              <w:jc w:val="center"/>
                              <w:rPr>
                                <w:rFonts w:ascii="仿宋" w:hAnsi="仿宋" w:eastAsia="仿宋"/>
                                <w:bCs/>
                                <w:szCs w:val="21"/>
                              </w:rPr>
                            </w:pP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1135380</wp:posOffset>
                      </wp:positionH>
                      <wp:positionV relativeFrom="paragraph">
                        <wp:posOffset>281940</wp:posOffset>
                      </wp:positionV>
                      <wp:extent cx="721995" cy="307340"/>
                      <wp:effectExtent l="0" t="0" r="0" b="0"/>
                      <wp:wrapNone/>
                      <wp:docPr id="10" name="文本框 10"/>
                      <wp:cNvGraphicFramePr/>
                      <a:graphic xmlns:a="http://schemas.openxmlformats.org/drawingml/2006/main">
                        <a:graphicData uri="http://schemas.microsoft.com/office/word/2010/wordprocessingShape">
                          <wps:wsp>
                            <wps:cNvSpPr txBox="1"/>
                            <wps:spPr>
                              <a:xfrm>
                                <a:off x="2399030" y="2843530"/>
                                <a:ext cx="721995" cy="307340"/>
                              </a:xfrm>
                              <a:prstGeom prst="rect">
                                <a:avLst/>
                              </a:prstGeom>
                              <a:noFill/>
                              <a:ln>
                                <a:noFill/>
                              </a:ln>
                            </wps:spPr>
                            <wps:txbx>
                              <w:txbxContent>
                                <w:p>
                                  <w:pPr>
                                    <w:rPr>
                                      <w:rFonts w:hint="default" w:eastAsia="宋体"/>
                                      <w:szCs w:val="21"/>
                                      <w:lang w:val="en-US" w:eastAsia="zh-CN"/>
                                    </w:rPr>
                                  </w:pPr>
                                  <w:r>
                                    <w:rPr>
                                      <w:rFonts w:hint="eastAsia"/>
                                      <w:szCs w:val="21"/>
                                      <w:lang w:val="en-US" w:eastAsia="zh-CN"/>
                                    </w:rPr>
                                    <w:t>900</w:t>
                                  </w:r>
                                </w:p>
                              </w:txbxContent>
                            </wps:txbx>
                            <wps:bodyPr lIns="91439" tIns="45720" rIns="91439" bIns="45720" upright="1"/>
                          </wps:wsp>
                        </a:graphicData>
                      </a:graphic>
                    </wp:anchor>
                  </w:drawing>
                </mc:Choice>
                <mc:Fallback>
                  <w:pict>
                    <v:shape id="_x0000_s1026" o:spid="_x0000_s1026" o:spt="202" type="#_x0000_t202" style="position:absolute;left:0pt;margin-left:89.4pt;margin-top:22.2pt;height:24.2pt;width:56.85pt;z-index:251661312;mso-width-relative:page;mso-height-relative:page;" filled="f" stroked="f" coordsize="21600,21600" o:gfxdata="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RjwwdkAAAAJAQAADwAAAAAAAAABACAAAAAi&#10;AAAAZHJzL2Rvd25yZXYueG1sUEsBAhQAFAAAAAgAh07iQCHgR57QAQAAjwMAAA4AAAAAAAAAAQAg&#10;AAAAKAEAAGRycy9lMm9Eb2MueG1sUEsFBgAAAAAGAAYAWQEAAGoFAAAAAA==&#10;">
                      <v:fill on="f" focussize="0,0"/>
                      <v:stroke on="f"/>
                      <v:imagedata o:title=""/>
                      <o:lock v:ext="edit" aspectratio="f"/>
                      <v:textbox inset="7.19992125984252pt,1.27mm,7.19992125984252pt,1.27mm">
                        <w:txbxContent>
                          <w:p>
                            <w:pPr>
                              <w:rPr>
                                <w:rFonts w:hint="default" w:eastAsia="宋体"/>
                                <w:szCs w:val="21"/>
                                <w:lang w:val="en-US" w:eastAsia="zh-CN"/>
                              </w:rPr>
                            </w:pPr>
                            <w:r>
                              <w:rPr>
                                <w:rFonts w:hint="eastAsia"/>
                                <w:szCs w:val="21"/>
                                <w:lang w:val="en-US" w:eastAsia="zh-CN"/>
                              </w:rPr>
                              <w:t>900</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2173605</wp:posOffset>
                      </wp:positionH>
                      <wp:positionV relativeFrom="paragraph">
                        <wp:posOffset>13335</wp:posOffset>
                      </wp:positionV>
                      <wp:extent cx="559435" cy="297815"/>
                      <wp:effectExtent l="0" t="0" r="0" b="0"/>
                      <wp:wrapNone/>
                      <wp:docPr id="13" name="文本框 13"/>
                      <wp:cNvGraphicFramePr/>
                      <a:graphic xmlns:a="http://schemas.openxmlformats.org/drawingml/2006/main">
                        <a:graphicData uri="http://schemas.microsoft.com/office/word/2010/wordprocessingShape">
                          <wps:wsp>
                            <wps:cNvSpPr txBox="1"/>
                            <wps:spPr>
                              <a:xfrm>
                                <a:off x="3379470" y="2564765"/>
                                <a:ext cx="559435" cy="297815"/>
                              </a:xfrm>
                              <a:prstGeom prst="rect">
                                <a:avLst/>
                              </a:prstGeom>
                              <a:noFill/>
                              <a:ln>
                                <a:noFill/>
                              </a:ln>
                            </wps:spPr>
                            <wps:txbx>
                              <w:txbxContent>
                                <w:p>
                                  <w:pPr>
                                    <w:spacing w:line="160" w:lineRule="atLeast"/>
                                    <w:rPr>
                                      <w:rFonts w:hint="default" w:eastAsia="仿宋"/>
                                      <w:szCs w:val="21"/>
                                      <w:lang w:val="en-US" w:eastAsia="zh-CN"/>
                                    </w:rPr>
                                  </w:pPr>
                                  <w:r>
                                    <w:rPr>
                                      <w:rFonts w:hint="eastAsia" w:eastAsia="仿宋"/>
                                      <w:szCs w:val="21"/>
                                      <w:lang w:val="en-US" w:eastAsia="zh-CN"/>
                                    </w:rPr>
                                    <w:t>180</w:t>
                                  </w:r>
                                </w:p>
                              </w:txbxContent>
                            </wps:txbx>
                            <wps:bodyPr lIns="91439" tIns="45720" rIns="91439" bIns="45720" upright="1"/>
                          </wps:wsp>
                        </a:graphicData>
                      </a:graphic>
                    </wp:anchor>
                  </w:drawing>
                </mc:Choice>
                <mc:Fallback>
                  <w:pict>
                    <v:shape id="_x0000_s1026" o:spid="_x0000_s1026" o:spt="202" type="#_x0000_t202" style="position:absolute;left:0pt;margin-left:171.15pt;margin-top:1.05pt;height:23.45pt;width:44.05pt;z-index:251664384;mso-width-relative:page;mso-height-relative:page;" filled="f" stroked="f" coordsize="21600,21600" o:gfxdata="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RxmjzYAAAACAEAAA8AAAAAAAAAAQAgAAAA&#10;IgAAAGRycy9kb3ducmV2LnhtbFBLAQIUABQAAAAIAIdO4kBzPof40gEAAI8DAAAOAAAAAAAAAAEA&#10;IAAAACcBAABkcnMvZTJvRG9jLnhtbFBLBQYAAAAABgAGAFkBAABrBQAAAAA=&#10;">
                      <v:fill on="f" focussize="0,0"/>
                      <v:stroke on="f"/>
                      <v:imagedata o:title=""/>
                      <o:lock v:ext="edit" aspectratio="f"/>
                      <v:textbox inset="7.19992125984252pt,1.27mm,7.19992125984252pt,1.27mm">
                        <w:txbxContent>
                          <w:p>
                            <w:pPr>
                              <w:spacing w:line="160" w:lineRule="atLeast"/>
                              <w:rPr>
                                <w:rFonts w:hint="default" w:eastAsia="仿宋"/>
                                <w:szCs w:val="21"/>
                                <w:lang w:val="en-US" w:eastAsia="zh-CN"/>
                              </w:rPr>
                            </w:pPr>
                            <w:r>
                              <w:rPr>
                                <w:rFonts w:hint="eastAsia" w:eastAsia="仿宋"/>
                                <w:szCs w:val="21"/>
                                <w:lang w:val="en-US" w:eastAsia="zh-CN"/>
                              </w:rPr>
                              <w:t>180</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1632585</wp:posOffset>
                      </wp:positionH>
                      <wp:positionV relativeFrom="paragraph">
                        <wp:posOffset>389890</wp:posOffset>
                      </wp:positionV>
                      <wp:extent cx="809625" cy="288290"/>
                      <wp:effectExtent l="4445" t="4445" r="5080" b="12065"/>
                      <wp:wrapNone/>
                      <wp:docPr id="16" name="文本框 16"/>
                      <wp:cNvGraphicFramePr/>
                      <a:graphic xmlns:a="http://schemas.openxmlformats.org/drawingml/2006/main">
                        <a:graphicData uri="http://schemas.microsoft.com/office/word/2010/wordprocessingShape">
                          <wps:wsp>
                            <wps:cNvSpPr txBox="1"/>
                            <wps:spPr>
                              <a:xfrm>
                                <a:off x="2838450" y="2950845"/>
                                <a:ext cx="809625" cy="288290"/>
                              </a:xfrm>
                              <a:prstGeom prst="rect">
                                <a:avLst/>
                              </a:prstGeom>
                              <a:noFill/>
                              <a:ln w="9525" cap="flat" cmpd="sng">
                                <a:solidFill>
                                  <a:srgbClr val="000000"/>
                                </a:solidFill>
                                <a:prstDash val="solid"/>
                                <a:miter/>
                                <a:headEnd type="none" w="med" len="med"/>
                                <a:tailEnd type="none" w="med" len="med"/>
                              </a:ln>
                            </wps:spPr>
                            <wps:txbx>
                              <w:txbxContent>
                                <w:p>
                                  <w:pPr>
                                    <w:jc w:val="center"/>
                                    <w:rPr>
                                      <w:bCs/>
                                      <w:szCs w:val="21"/>
                                    </w:rPr>
                                  </w:pPr>
                                  <w:r>
                                    <w:rPr>
                                      <w:rFonts w:hint="eastAsia"/>
                                      <w:bCs/>
                                      <w:szCs w:val="21"/>
                                    </w:rPr>
                                    <w:t>生活用水</w:t>
                                  </w:r>
                                </w:p>
                              </w:txbxContent>
                            </wps:txbx>
                            <wps:bodyPr lIns="91439" tIns="45720" rIns="91439" bIns="45720" upright="1"/>
                          </wps:wsp>
                        </a:graphicData>
                      </a:graphic>
                    </wp:anchor>
                  </w:drawing>
                </mc:Choice>
                <mc:Fallback>
                  <w:pict>
                    <v:shape id="_x0000_s1026" o:spid="_x0000_s1026" o:spt="202" type="#_x0000_t202" style="position:absolute;left:0pt;margin-left:128.55pt;margin-top:30.7pt;height:22.7pt;width:63.75pt;z-index:251667456;mso-width-relative:page;mso-height-relative:page;" filled="f" stroked="t" coordsize="21600,21600" o:gfxdata="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INOwbXAAAACgEAAA8AAAAAAAAAAQAgAAAAIgAAAGRycy9kb3ducmV2LnhtbFBLAQIUABQA&#10;AAAIAIdO4kDv6jIxKgIAAE4EAAAOAAAAAAAAAAEAIAAAACYBAABkcnMvZTJvRG9jLnhtbFBLBQYA&#10;AAAABgAGAFkBAADCBQAAAAA=&#10;">
                      <v:fill on="f" focussize="0,0"/>
                      <v:stroke color="#000000" joinstyle="miter"/>
                      <v:imagedata o:title=""/>
                      <o:lock v:ext="edit" aspectratio="f"/>
                      <v:textbox inset="7.19992125984252pt,1.27mm,7.19992125984252pt,1.27mm">
                        <w:txbxContent>
                          <w:p>
                            <w:pPr>
                              <w:jc w:val="center"/>
                              <w:rPr>
                                <w:bCs/>
                                <w:szCs w:val="21"/>
                              </w:rPr>
                            </w:pPr>
                            <w:r>
                              <w:rPr>
                                <w:rFonts w:hint="eastAsia"/>
                                <w:bCs/>
                                <w:szCs w:val="21"/>
                              </w:rPr>
                              <w:t>生活用水</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2964180</wp:posOffset>
                      </wp:positionH>
                      <wp:positionV relativeFrom="paragraph">
                        <wp:posOffset>394335</wp:posOffset>
                      </wp:positionV>
                      <wp:extent cx="751205" cy="283845"/>
                      <wp:effectExtent l="4445" t="4445" r="6350" b="16510"/>
                      <wp:wrapNone/>
                      <wp:docPr id="15" name="文本框 15"/>
                      <wp:cNvGraphicFramePr/>
                      <a:graphic xmlns:a="http://schemas.openxmlformats.org/drawingml/2006/main">
                        <a:graphicData uri="http://schemas.microsoft.com/office/word/2010/wordprocessingShape">
                          <wps:wsp>
                            <wps:cNvSpPr txBox="1"/>
                            <wps:spPr>
                              <a:xfrm>
                                <a:off x="4170045" y="2955290"/>
                                <a:ext cx="751205" cy="283845"/>
                              </a:xfrm>
                              <a:prstGeom prst="rect">
                                <a:avLst/>
                              </a:prstGeom>
                              <a:noFill/>
                              <a:ln w="9525" cap="flat" cmpd="sng">
                                <a:solidFill>
                                  <a:srgbClr val="000000"/>
                                </a:solidFill>
                                <a:prstDash val="solid"/>
                                <a:miter/>
                                <a:headEnd type="none" w="med" len="med"/>
                                <a:tailEnd type="none" w="med" len="med"/>
                              </a:ln>
                            </wps:spPr>
                            <wps:txbx>
                              <w:txbxContent>
                                <w:p>
                                  <w:pPr>
                                    <w:jc w:val="center"/>
                                    <w:rPr>
                                      <w:bCs/>
                                      <w:szCs w:val="21"/>
                                    </w:rPr>
                                  </w:pPr>
                                  <w:r>
                                    <w:rPr>
                                      <w:rFonts w:hint="eastAsia"/>
                                      <w:bCs/>
                                      <w:szCs w:val="21"/>
                                    </w:rPr>
                                    <w:t>化粪池</w:t>
                                  </w:r>
                                </w:p>
                              </w:txbxContent>
                            </wps:txbx>
                            <wps:bodyPr lIns="91439" tIns="45720" rIns="91439" bIns="45720" upright="1"/>
                          </wps:wsp>
                        </a:graphicData>
                      </a:graphic>
                    </wp:anchor>
                  </w:drawing>
                </mc:Choice>
                <mc:Fallback>
                  <w:pict>
                    <v:shape id="_x0000_s1026" o:spid="_x0000_s1026" o:spt="202" type="#_x0000_t202" style="position:absolute;left:0pt;margin-left:233.4pt;margin-top:31.05pt;height:22.35pt;width:59.15pt;z-index:251666432;mso-width-relative:page;mso-height-relative:page;" filled="f" stroked="t" coordsize="21600,21600" o:gfxdata="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7gbgS1gAAAAoBAAAPAAAAAAAAAAEAIAAAACIAAABkcnMvZG93bnJldi54bWxQSwECFAAUAAAA&#10;CACHTuJAX8OcVikCAABOBAAADgAAAAAAAAABACAAAAAlAQAAZHJzL2Uyb0RvYy54bWxQSwUGAAAA&#10;AAYABgBZAQAAwAUAAAAA&#10;">
                      <v:fill on="f" focussize="0,0"/>
                      <v:stroke color="#000000" joinstyle="miter"/>
                      <v:imagedata o:title=""/>
                      <o:lock v:ext="edit" aspectratio="f"/>
                      <v:textbox inset="7.19992125984252pt,1.27mm,7.19992125984252pt,1.27mm">
                        <w:txbxContent>
                          <w:p>
                            <w:pPr>
                              <w:jc w:val="center"/>
                              <w:rPr>
                                <w:bCs/>
                                <w:szCs w:val="21"/>
                              </w:rPr>
                            </w:pPr>
                            <w:r>
                              <w:rPr>
                                <w:rFonts w:hint="eastAsia"/>
                                <w:bCs/>
                                <w:szCs w:val="21"/>
                              </w:rPr>
                              <w:t>化粪池</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1896745</wp:posOffset>
                      </wp:positionH>
                      <wp:positionV relativeFrom="paragraph">
                        <wp:posOffset>112395</wp:posOffset>
                      </wp:positionV>
                      <wp:extent cx="348615" cy="274320"/>
                      <wp:effectExtent l="3810" t="0" r="9525" b="11430"/>
                      <wp:wrapNone/>
                      <wp:docPr id="9" name="任意多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3102610" y="2673350"/>
                                <a:ext cx="348615" cy="274320"/>
                              </a:xfrm>
                              <a:custGeom>
                                <a:avLst/>
                                <a:gdLst/>
                                <a:ahLst/>
                                <a:cxnLst/>
                                <a:rect l="0" t="0" r="0" b="0"/>
                                <a:pathLst>
                                  <a:path w="360" h="435">
                                    <a:moveTo>
                                      <a:pt x="0" y="435"/>
                                    </a:moveTo>
                                    <a:cubicBezTo>
                                      <a:pt x="75" y="307"/>
                                      <a:pt x="150" y="180"/>
                                      <a:pt x="180" y="165"/>
                                    </a:cubicBezTo>
                                    <a:cubicBezTo>
                                      <a:pt x="210" y="150"/>
                                      <a:pt x="150" y="372"/>
                                      <a:pt x="180" y="345"/>
                                    </a:cubicBezTo>
                                    <a:cubicBezTo>
                                      <a:pt x="210" y="318"/>
                                      <a:pt x="322" y="47"/>
                                      <a:pt x="360" y="0"/>
                                    </a:cubicBezTo>
                                  </a:path>
                                </a:pathLst>
                              </a:custGeom>
                              <a:noFill/>
                              <a:ln w="9525" cap="flat" cmpd="sng">
                                <a:solidFill>
                                  <a:srgbClr val="000000"/>
                                </a:solidFill>
                                <a:prstDash val="dash"/>
                                <a:bevel/>
                                <a:headEnd type="none" w="med" len="med"/>
                                <a:tailEnd type="triangle" w="sm" len="lg"/>
                              </a:ln>
                            </wps:spPr>
                            <wps:bodyPr upright="1"/>
                          </wps:wsp>
                        </a:graphicData>
                      </a:graphic>
                    </wp:anchor>
                  </w:drawing>
                </mc:Choice>
                <mc:Fallback>
                  <w:pict>
                    <v:shape id="_x0000_s1026" o:spid="_x0000_s1026" o:spt="100" style="position:absolute;left:0pt;margin-left:149.35pt;margin-top:8.85pt;height:21.6pt;width:27.45pt;z-index:251660288;mso-width-relative:page;mso-height-relative:page;" filled="f" stroked="t" coordsize="360,435" o:gfxdata="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F5O/yvZAAAACQEAAA8AAAAAAAAAAQAg&#10;AAAAIgAAAGRycy9kb3ducmV2LnhtbFBLAQIUABQAAAAIAIdO4kC0dh9buAIAAO4FAAAOAAAAAAAA&#10;AAEAIAAAACgBAABkcnMvZTJvRG9jLnhtbFBLBQYAAAAABgAGAFkBAABSBgAAAAA=&#10;" path="m0,435c75,307,150,180,180,165c210,150,150,372,180,345c210,318,322,47,360,0e">
                      <v:fill on="f" focussize="0,0"/>
                      <v:stroke color="#000000" joinstyle="bevel" dashstyle="dash" endarrow="block" endarrowwidth="narrow" endarrowlength="long"/>
                      <v:imagedata o:title=""/>
                      <o:lock v:ext="edit" aspectratio="t"/>
                    </v:shape>
                  </w:pict>
                </mc:Fallback>
              </mc:AlternateContent>
            </w:r>
          </w:p>
          <w:p>
            <w:pPr>
              <w:adjustRightInd w:val="0"/>
              <w:snapToGrid w:val="0"/>
              <w:spacing w:line="360" w:lineRule="auto"/>
              <w:jc w:val="center"/>
              <w:rPr>
                <w:b/>
                <w:bCs/>
                <w:snapToGrid w:val="0"/>
                <w:color w:val="auto"/>
                <w:szCs w:val="21"/>
              </w:rPr>
            </w:pPr>
            <w:r>
              <w:rPr>
                <w:color w:val="auto"/>
              </w:rPr>
              <mc:AlternateContent>
                <mc:Choice Requires="wps">
                  <w:drawing>
                    <wp:anchor distT="0" distB="0" distL="114300" distR="114300" simplePos="0" relativeHeight="251669504" behindDoc="0" locked="0" layoutInCell="1" allowOverlap="1">
                      <wp:simplePos x="0" y="0"/>
                      <wp:positionH relativeFrom="column">
                        <wp:posOffset>1179830</wp:posOffset>
                      </wp:positionH>
                      <wp:positionV relativeFrom="paragraph">
                        <wp:posOffset>82550</wp:posOffset>
                      </wp:positionV>
                      <wp:extent cx="450215" cy="8255"/>
                      <wp:effectExtent l="0" t="31115" r="6985" b="36830"/>
                      <wp:wrapNone/>
                      <wp:docPr id="23" name="直接连接符 23"/>
                      <wp:cNvGraphicFramePr/>
                      <a:graphic xmlns:a="http://schemas.openxmlformats.org/drawingml/2006/main">
                        <a:graphicData uri="http://schemas.microsoft.com/office/word/2010/wordprocessingShape">
                          <wps:wsp>
                            <wps:cNvCnPr/>
                            <wps:spPr>
                              <a:xfrm>
                                <a:off x="1978025" y="3757930"/>
                                <a:ext cx="450215" cy="825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_x0000_s1026" o:spid="_x0000_s1026" o:spt="20" style="position:absolute;left:0pt;margin-left:92.9pt;margin-top:6.5pt;height:0.65pt;width:35.45pt;z-index:251669504;mso-width-relative:page;mso-height-relative:page;" filled="f" stroked="t" coordsize="21600,21600" o:gfxdata="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LIubZAAAACQEAAA8AAAAAAAAAAQAgAAAAIgAA&#10;AGRycy9kb3ducmV2LnhtbFBLAQIUABQAAAAIAIdO4kAp50+KBwIAAPYDAAAOAAAAAAAAAAEAIAAA&#10;ACgBAABkcnMvZTJvRG9jLnhtbFBLBQYAAAAABgAGAFkBAACh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3710305</wp:posOffset>
                      </wp:positionH>
                      <wp:positionV relativeFrom="paragraph">
                        <wp:posOffset>54610</wp:posOffset>
                      </wp:positionV>
                      <wp:extent cx="475615" cy="1270"/>
                      <wp:effectExtent l="0" t="36830" r="635" b="38100"/>
                      <wp:wrapNone/>
                      <wp:docPr id="24" name="直接连接符 24"/>
                      <wp:cNvGraphicFramePr/>
                      <a:graphic xmlns:a="http://schemas.openxmlformats.org/drawingml/2006/main">
                        <a:graphicData uri="http://schemas.microsoft.com/office/word/2010/wordprocessingShape">
                          <wps:wsp>
                            <wps:cNvCnPr/>
                            <wps:spPr>
                              <a:xfrm>
                                <a:off x="4916170" y="3088005"/>
                                <a:ext cx="475615" cy="127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_x0000_s1026" o:spid="_x0000_s1026" o:spt="20" style="position:absolute;left:0pt;margin-left:292.15pt;margin-top:4.3pt;height:0.1pt;width:37.45pt;z-index:251670528;mso-width-relative:page;mso-height-relative:page;" filled="f" stroked="t" coordsize="21600,21600" o:gfxdata="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uqZn9cAAAAHAQAADwAAAAAAAAABACAAAAAiAAAA&#10;ZHJzL2Rvd25yZXYueG1sUEsBAhQAFAAAAAgAh07iQPUw09QIAgAA9gMAAA4AAAAAAAAAAQAgAAAA&#10;JgEAAGRycy9lMm9Eb2MueG1sUEsFBgAAAAAGAAYAWQEAAKAFAAAAAA==&#10;">
                      <v:fill on="f" focussize="0,0"/>
                      <v:stroke color="#000000" joinstyle="round" endarrow="block"/>
                      <v:imagedata o:title=""/>
                      <o:lock v:ext="edit" aspectratio="f"/>
                    </v:line>
                  </w:pict>
                </mc:Fallback>
              </mc:AlternateContent>
            </w:r>
            <w:r>
              <w:rPr>
                <w:color w:val="auto"/>
                <w:szCs w:val="22"/>
              </w:rPr>
              <mc:AlternateContent>
                <mc:Choice Requires="wps">
                  <w:drawing>
                    <wp:anchor distT="0" distB="0" distL="114300" distR="114300" simplePos="0" relativeHeight="251659264" behindDoc="0" locked="0" layoutInCell="1" allowOverlap="1">
                      <wp:simplePos x="0" y="0"/>
                      <wp:positionH relativeFrom="column">
                        <wp:posOffset>2440940</wp:posOffset>
                      </wp:positionH>
                      <wp:positionV relativeFrom="paragraph">
                        <wp:posOffset>72390</wp:posOffset>
                      </wp:positionV>
                      <wp:extent cx="516255" cy="635"/>
                      <wp:effectExtent l="0" t="37465" r="17145" b="38100"/>
                      <wp:wrapNone/>
                      <wp:docPr id="8" name="直接箭头连接符 8"/>
                      <wp:cNvGraphicFramePr/>
                      <a:graphic xmlns:a="http://schemas.openxmlformats.org/drawingml/2006/main">
                        <a:graphicData uri="http://schemas.microsoft.com/office/word/2010/wordprocessingShape">
                          <wps:wsp>
                            <wps:cNvCnPr/>
                            <wps:spPr>
                              <a:xfrm>
                                <a:off x="0" y="0"/>
                                <a:ext cx="516255" cy="6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92.2pt;margin-top:5.7pt;height:0.05pt;width:40.65pt;z-index:251659264;mso-width-relative:page;mso-height-relative:page;" filled="f" stroked="t" coordsize="21600,21600" o:gfxdata="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1HDAtoAAAAJAQAADwAAAAAAAAABACAAAAAi&#10;AAAAZHJzL2Rvd25yZXYueG1sUEsBAhQAFAAAAAgAh07iQMsjpKcIAgAA+wMAAA4AAAAAAAAAAQAg&#10;AAAAKQEAAGRycy9lMm9Eb2MueG1sUEsFBgAAAAAGAAYAWQEAAKMFAAAAAA==&#10;">
                      <v:fill on="f" focussize="0,0"/>
                      <v:stroke color="#000000" joinstyle="round" endarrow="block"/>
                      <v:imagedata o:title=""/>
                      <o:lock v:ext="edit" aspectratio="f"/>
                    </v:shape>
                  </w:pict>
                </mc:Fallback>
              </mc:AlternateContent>
            </w:r>
          </w:p>
          <w:p>
            <w:pPr>
              <w:adjustRightInd w:val="0"/>
              <w:snapToGrid w:val="0"/>
              <w:spacing w:line="360" w:lineRule="auto"/>
              <w:jc w:val="center"/>
              <w:rPr>
                <w:b/>
                <w:bCs/>
                <w:snapToGrid w:val="0"/>
                <w:color w:val="auto"/>
                <w:szCs w:val="21"/>
              </w:rPr>
            </w:pPr>
          </w:p>
          <w:p>
            <w:pPr>
              <w:adjustRightInd w:val="0"/>
              <w:snapToGrid w:val="0"/>
              <w:spacing w:line="360" w:lineRule="auto"/>
              <w:jc w:val="center"/>
              <w:rPr>
                <w:rFonts w:hAnsi="宋体" w:cs="宋体"/>
                <w:b/>
                <w:bCs/>
                <w:color w:val="auto"/>
                <w:sz w:val="24"/>
                <w:lang w:bidi="en-US"/>
              </w:rPr>
            </w:pPr>
            <w:r>
              <w:rPr>
                <w:rFonts w:hint="eastAsia" w:hAnsi="宋体" w:cs="宋体"/>
                <w:b/>
                <w:bCs/>
                <w:color w:val="auto"/>
                <w:sz w:val="24"/>
                <w:lang w:bidi="en-US"/>
              </w:rPr>
              <w:t>图4-2  本项目水平衡图(单位</w:t>
            </w:r>
            <w:r>
              <w:rPr>
                <w:rFonts w:hint="eastAsia" w:hAnsi="宋体" w:cs="宋体"/>
                <w:b/>
                <w:bCs/>
                <w:color w:val="auto"/>
                <w:sz w:val="24"/>
                <w:lang w:eastAsia="zh-CN" w:bidi="en-US"/>
              </w:rPr>
              <w:t>：</w:t>
            </w:r>
            <w:r>
              <w:rPr>
                <w:rFonts w:hint="eastAsia" w:hAnsi="宋体" w:cs="宋体"/>
                <w:b/>
                <w:bCs/>
                <w:color w:val="auto"/>
                <w:sz w:val="24"/>
                <w:lang w:bidi="en-US"/>
              </w:rPr>
              <w:t xml:space="preserve"> m</w:t>
            </w:r>
            <w:r>
              <w:rPr>
                <w:rFonts w:hint="eastAsia" w:hAnsi="宋体" w:cs="宋体"/>
                <w:b/>
                <w:bCs/>
                <w:color w:val="auto"/>
                <w:sz w:val="24"/>
                <w:vertAlign w:val="superscript"/>
                <w:lang w:bidi="en-US"/>
              </w:rPr>
              <w:t>3</w:t>
            </w:r>
            <w:r>
              <w:rPr>
                <w:rFonts w:hint="eastAsia" w:hAnsi="宋体" w:cs="宋体"/>
                <w:b/>
                <w:bCs/>
                <w:color w:val="auto"/>
                <w:sz w:val="24"/>
                <w:lang w:bidi="en-US"/>
              </w:rPr>
              <w:t>/a)</w:t>
            </w:r>
          </w:p>
          <w:p>
            <w:pPr>
              <w:spacing w:line="360" w:lineRule="auto"/>
              <w:ind w:firstLine="482" w:firstLineChars="200"/>
              <w:rPr>
                <w:color w:val="auto"/>
                <w:sz w:val="24"/>
                <w:szCs w:val="24"/>
              </w:rPr>
            </w:pPr>
            <w:r>
              <w:rPr>
                <w:rFonts w:hint="eastAsia"/>
                <w:b/>
                <w:bCs/>
                <w:color w:val="auto"/>
                <w:sz w:val="24"/>
                <w:szCs w:val="24"/>
              </w:rPr>
              <w:t>2.2、废水污染物产生及排放情况</w:t>
            </w:r>
          </w:p>
          <w:p>
            <w:pPr>
              <w:spacing w:line="360" w:lineRule="auto"/>
              <w:ind w:firstLine="480" w:firstLineChars="200"/>
              <w:rPr>
                <w:rFonts w:hAnsi="宋体" w:cs="宋体"/>
                <w:b/>
                <w:bCs/>
                <w:color w:val="auto"/>
                <w:sz w:val="24"/>
                <w:szCs w:val="24"/>
                <w:lang w:bidi="en-US"/>
              </w:rPr>
            </w:pPr>
            <w:r>
              <w:rPr>
                <w:rFonts w:hint="eastAsia"/>
                <w:color w:val="auto"/>
                <w:sz w:val="24"/>
                <w:szCs w:val="24"/>
              </w:rPr>
              <w:t>项目产生的生活污水经化粪池</w:t>
            </w:r>
            <w:r>
              <w:rPr>
                <w:rFonts w:hint="eastAsia"/>
                <w:color w:val="auto"/>
                <w:kern w:val="24"/>
                <w:sz w:val="24"/>
                <w:szCs w:val="24"/>
              </w:rPr>
              <w:t>预处理后</w:t>
            </w:r>
            <w:r>
              <w:rPr>
                <w:rFonts w:hint="eastAsia"/>
                <w:color w:val="auto"/>
                <w:sz w:val="24"/>
                <w:szCs w:val="24"/>
              </w:rPr>
              <w:t>经厂区总排口排入杜集经济开发区污水管网，进</w:t>
            </w:r>
            <w:r>
              <w:rPr>
                <w:rFonts w:hint="eastAsia"/>
                <w:color w:val="auto"/>
                <w:kern w:val="24"/>
                <w:sz w:val="24"/>
                <w:szCs w:val="24"/>
              </w:rPr>
              <w:t>入龙湖污水处理厂进行深度处理。</w:t>
            </w:r>
          </w:p>
          <w:p>
            <w:pPr>
              <w:adjustRightInd w:val="0"/>
              <w:snapToGrid w:val="0"/>
              <w:spacing w:line="240" w:lineRule="auto"/>
              <w:ind w:left="2100"/>
              <w:jc w:val="left"/>
              <w:rPr>
                <w:rFonts w:hAnsi="宋体" w:cs="宋体"/>
                <w:b/>
                <w:bCs/>
                <w:color w:val="auto"/>
                <w:sz w:val="24"/>
                <w:szCs w:val="24"/>
                <w:lang w:bidi="en-US"/>
              </w:rPr>
            </w:pPr>
            <w:r>
              <w:rPr>
                <w:rFonts w:hint="eastAsia" w:hAnsi="宋体" w:cs="宋体"/>
                <w:b/>
                <w:bCs/>
                <w:color w:val="auto"/>
                <w:sz w:val="24"/>
                <w:szCs w:val="24"/>
                <w:lang w:bidi="en-US"/>
              </w:rPr>
              <w:t>表4-</w:t>
            </w:r>
            <w:r>
              <w:rPr>
                <w:rFonts w:hint="eastAsia" w:hAnsi="宋体" w:cs="宋体"/>
                <w:b/>
                <w:bCs/>
                <w:color w:val="auto"/>
                <w:sz w:val="24"/>
                <w:szCs w:val="24"/>
                <w:lang w:val="en-US" w:eastAsia="zh-CN" w:bidi="en-US"/>
              </w:rPr>
              <w:t>10</w:t>
            </w:r>
            <w:r>
              <w:rPr>
                <w:rFonts w:hint="eastAsia" w:hAnsi="宋体" w:cs="宋体"/>
                <w:b/>
                <w:bCs/>
                <w:color w:val="auto"/>
                <w:sz w:val="24"/>
                <w:szCs w:val="24"/>
                <w:lang w:bidi="en-US"/>
              </w:rPr>
              <w:t xml:space="preserve">  项目废水污染物产生及排放情况表</w:t>
            </w:r>
          </w:p>
          <w:tbl>
            <w:tblPr>
              <w:tblStyle w:val="34"/>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21"/>
              <w:gridCol w:w="1060"/>
              <w:gridCol w:w="859"/>
              <w:gridCol w:w="119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废水类型</w:t>
                  </w:r>
                </w:p>
              </w:tc>
              <w:tc>
                <w:tcPr>
                  <w:tcW w:w="2921"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4204"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jc w:val="center"/>
                    <w:rPr>
                      <w:rFonts w:hint="default" w:ascii="Times New Roman" w:hAnsi="Times New Roman" w:cs="Times New Roman"/>
                      <w:color w:val="auto"/>
                      <w:szCs w:val="21"/>
                    </w:rPr>
                  </w:pPr>
                </w:p>
              </w:tc>
              <w:tc>
                <w:tcPr>
                  <w:tcW w:w="2921" w:type="dxa"/>
                  <w:vMerge w:val="continue"/>
                  <w:vAlign w:val="center"/>
                </w:tcPr>
                <w:p>
                  <w:pPr>
                    <w:jc w:val="center"/>
                    <w:rPr>
                      <w:rFonts w:hint="default" w:ascii="Times New Roman" w:hAnsi="Times New Roman" w:cs="Times New Roman"/>
                      <w:color w:val="auto"/>
                      <w:szCs w:val="21"/>
                    </w:rPr>
                  </w:pPr>
                </w:p>
              </w:tc>
              <w:tc>
                <w:tcPr>
                  <w:tcW w:w="106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8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119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SS</w:t>
                  </w:r>
                </w:p>
              </w:tc>
              <w:tc>
                <w:tcPr>
                  <w:tcW w:w="10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生活污水 720t/a</w:t>
                  </w:r>
                </w:p>
              </w:tc>
              <w:tc>
                <w:tcPr>
                  <w:tcW w:w="292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污染物产生浓度（mg/L）</w:t>
                  </w:r>
                </w:p>
              </w:tc>
              <w:tc>
                <w:tcPr>
                  <w:tcW w:w="1060"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859"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1193"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220</w:t>
                  </w:r>
                </w:p>
              </w:tc>
              <w:tc>
                <w:tcPr>
                  <w:tcW w:w="1092"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jc w:val="center"/>
                    <w:rPr>
                      <w:rFonts w:hint="default" w:ascii="Times New Roman" w:hAnsi="Times New Roman" w:cs="Times New Roman"/>
                      <w:color w:val="auto"/>
                      <w:szCs w:val="21"/>
                    </w:rPr>
                  </w:pPr>
                </w:p>
              </w:tc>
              <w:tc>
                <w:tcPr>
                  <w:tcW w:w="292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污染物产生量（t/a）</w:t>
                  </w:r>
                </w:p>
              </w:tc>
              <w:tc>
                <w:tcPr>
                  <w:tcW w:w="1060"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0.252</w:t>
                  </w:r>
                </w:p>
              </w:tc>
              <w:tc>
                <w:tcPr>
                  <w:tcW w:w="859"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0.180</w:t>
                  </w:r>
                </w:p>
              </w:tc>
              <w:tc>
                <w:tcPr>
                  <w:tcW w:w="1193"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0.158</w:t>
                  </w:r>
                </w:p>
              </w:tc>
              <w:tc>
                <w:tcPr>
                  <w:tcW w:w="1092"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continue"/>
                  <w:vAlign w:val="center"/>
                </w:tcPr>
                <w:p>
                  <w:pPr>
                    <w:jc w:val="center"/>
                    <w:rPr>
                      <w:rFonts w:hint="default" w:ascii="Times New Roman" w:hAnsi="Times New Roman" w:cs="Times New Roman"/>
                      <w:color w:val="auto"/>
                      <w:szCs w:val="21"/>
                    </w:rPr>
                  </w:pPr>
                </w:p>
              </w:tc>
              <w:tc>
                <w:tcPr>
                  <w:tcW w:w="292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污染物排放浓度（mg/L）</w:t>
                  </w:r>
                </w:p>
              </w:tc>
              <w:tc>
                <w:tcPr>
                  <w:tcW w:w="1060"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297.5</w:t>
                  </w:r>
                </w:p>
              </w:tc>
              <w:tc>
                <w:tcPr>
                  <w:tcW w:w="859"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232.5</w:t>
                  </w:r>
                </w:p>
              </w:tc>
              <w:tc>
                <w:tcPr>
                  <w:tcW w:w="1193"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154</w:t>
                  </w:r>
                </w:p>
              </w:tc>
              <w:tc>
                <w:tcPr>
                  <w:tcW w:w="1092"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jc w:val="center"/>
                    <w:rPr>
                      <w:rFonts w:hint="default" w:ascii="Times New Roman" w:hAnsi="Times New Roman" w:cs="Times New Roman"/>
                      <w:color w:val="auto"/>
                      <w:szCs w:val="21"/>
                    </w:rPr>
                  </w:pPr>
                </w:p>
              </w:tc>
              <w:tc>
                <w:tcPr>
                  <w:tcW w:w="292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污染物排放量（t/a）</w:t>
                  </w:r>
                </w:p>
              </w:tc>
              <w:tc>
                <w:tcPr>
                  <w:tcW w:w="1060"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0.214</w:t>
                  </w:r>
                </w:p>
              </w:tc>
              <w:tc>
                <w:tcPr>
                  <w:tcW w:w="859"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0.167</w:t>
                  </w:r>
                </w:p>
              </w:tc>
              <w:tc>
                <w:tcPr>
                  <w:tcW w:w="1193"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0.111</w:t>
                  </w:r>
                </w:p>
              </w:tc>
              <w:tc>
                <w:tcPr>
                  <w:tcW w:w="1092"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192" w:type="dxa"/>
                  <w:gridSpan w:val="2"/>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《污水综合排放标准》（GB8978-1996）表4中三级标准</w:t>
                  </w:r>
                </w:p>
              </w:tc>
              <w:tc>
                <w:tcPr>
                  <w:tcW w:w="106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500</w:t>
                  </w:r>
                </w:p>
              </w:tc>
              <w:tc>
                <w:tcPr>
                  <w:tcW w:w="8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300</w:t>
                  </w:r>
                </w:p>
              </w:tc>
              <w:tc>
                <w:tcPr>
                  <w:tcW w:w="119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400</w:t>
                  </w:r>
                </w:p>
              </w:tc>
              <w:tc>
                <w:tcPr>
                  <w:tcW w:w="10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19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龙湖污水处理厂接管标准</w:t>
                  </w:r>
                </w:p>
              </w:tc>
              <w:tc>
                <w:tcPr>
                  <w:tcW w:w="106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500</w:t>
                  </w:r>
                </w:p>
              </w:tc>
              <w:tc>
                <w:tcPr>
                  <w:tcW w:w="8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200</w:t>
                  </w:r>
                </w:p>
              </w:tc>
              <w:tc>
                <w:tcPr>
                  <w:tcW w:w="119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250</w:t>
                  </w:r>
                </w:p>
              </w:tc>
              <w:tc>
                <w:tcPr>
                  <w:tcW w:w="10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龙湖污水处理厂</w:t>
                  </w:r>
                  <w:r>
                    <w:rPr>
                      <w:rFonts w:hint="default" w:ascii="Times New Roman" w:hAnsi="Times New Roman" w:cs="Times New Roman"/>
                      <w:color w:val="auto"/>
                      <w:szCs w:val="21"/>
                    </w:rPr>
                    <w:t>排放标准</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mg/L</w:t>
                  </w:r>
                  <w:r>
                    <w:rPr>
                      <w:rFonts w:hint="default" w:ascii="Times New Roman" w:hAnsi="Times New Roman" w:cs="Times New Roman"/>
                      <w:color w:val="auto"/>
                      <w:kern w:val="0"/>
                      <w:szCs w:val="21"/>
                    </w:rPr>
                    <w:t>）</w:t>
                  </w:r>
                </w:p>
              </w:tc>
              <w:tc>
                <w:tcPr>
                  <w:tcW w:w="106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c>
                <w:tcPr>
                  <w:tcW w:w="8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19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0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最终排放量（t/a）</w:t>
                  </w:r>
                </w:p>
              </w:tc>
              <w:tc>
                <w:tcPr>
                  <w:tcW w:w="1060"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0.036</w:t>
                  </w:r>
                </w:p>
              </w:tc>
              <w:tc>
                <w:tcPr>
                  <w:tcW w:w="859"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0.007</w:t>
                  </w:r>
                </w:p>
              </w:tc>
              <w:tc>
                <w:tcPr>
                  <w:tcW w:w="1193" w:type="dxa"/>
                  <w:vAlign w:val="center"/>
                </w:tcPr>
                <w:p>
                  <w:pPr>
                    <w:keepNext w:val="0"/>
                    <w:keepLines w:val="0"/>
                    <w:widowControl/>
                    <w:suppressLineNumbers w:val="0"/>
                    <w:jc w:val="center"/>
                    <w:textAlignment w:val="center"/>
                    <w:rPr>
                      <w:rFonts w:hint="default" w:ascii="Times New Roman" w:hAnsi="Times New Roman" w:cs="Times New Roman"/>
                      <w:color w:val="auto"/>
                      <w:szCs w:val="21"/>
                    </w:rPr>
                  </w:pPr>
                  <w:r>
                    <w:rPr>
                      <w:rFonts w:hint="default" w:ascii="Times New Roman" w:hAnsi="Times New Roman" w:eastAsia="宋体" w:cs="Times New Roman"/>
                      <w:i w:val="0"/>
                      <w:iCs w:val="0"/>
                      <w:color w:val="auto"/>
                      <w:kern w:val="0"/>
                      <w:sz w:val="22"/>
                      <w:szCs w:val="22"/>
                      <w:u w:val="none"/>
                      <w:lang w:val="en-US" w:eastAsia="zh-CN" w:bidi="ar"/>
                    </w:rPr>
                    <w:t>0.007</w:t>
                  </w:r>
                </w:p>
              </w:tc>
              <w:tc>
                <w:tcPr>
                  <w:tcW w:w="1092" w:type="dxa"/>
                  <w:vAlign w:val="center"/>
                </w:tcPr>
                <w:p>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eastAsia="宋体" w:cs="Times New Roman"/>
                      <w:i w:val="0"/>
                      <w:iCs w:val="0"/>
                      <w:color w:val="auto"/>
                      <w:kern w:val="0"/>
                      <w:sz w:val="22"/>
                      <w:szCs w:val="22"/>
                      <w:u w:val="none"/>
                      <w:lang w:val="en-US" w:eastAsia="zh-CN" w:bidi="ar"/>
                    </w:rPr>
                    <w:t>0.00</w:t>
                  </w:r>
                  <w:r>
                    <w:rPr>
                      <w:rFonts w:hint="eastAsia" w:ascii="Times New Roman" w:hAnsi="Times New Roman" w:eastAsia="宋体" w:cs="Times New Roman"/>
                      <w:i w:val="0"/>
                      <w:iCs w:val="0"/>
                      <w:color w:val="auto"/>
                      <w:kern w:val="0"/>
                      <w:sz w:val="22"/>
                      <w:szCs w:val="22"/>
                      <w:u w:val="none"/>
                      <w:lang w:val="en-US" w:eastAsia="zh-CN" w:bidi="ar"/>
                    </w:rPr>
                    <w:t>4</w:t>
                  </w:r>
                </w:p>
              </w:tc>
            </w:tr>
          </w:tbl>
          <w:p>
            <w:pPr>
              <w:spacing w:line="360" w:lineRule="auto"/>
              <w:ind w:firstLine="464" w:firstLineChars="200"/>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由上表可知，项目废水经处理后能够满足</w:t>
            </w:r>
            <w:r>
              <w:rPr>
                <w:rFonts w:hint="default" w:ascii="Times New Roman" w:hAnsi="Times New Roman" w:cs="Times New Roman"/>
                <w:color w:val="auto"/>
                <w:sz w:val="24"/>
                <w:szCs w:val="24"/>
              </w:rPr>
              <w:t>《污水综合排放标准》（GB8978-1996）表4中三级标准和龙湖污水处理厂接管标准</w:t>
            </w:r>
            <w:r>
              <w:rPr>
                <w:rFonts w:hint="default" w:ascii="Times New Roman" w:hAnsi="Times New Roman" w:cs="Times New Roman"/>
                <w:color w:val="auto"/>
                <w:spacing w:val="-4"/>
                <w:sz w:val="24"/>
                <w:szCs w:val="24"/>
              </w:rPr>
              <w:t>，经</w:t>
            </w:r>
            <w:r>
              <w:rPr>
                <w:rFonts w:hint="default" w:ascii="Times New Roman" w:hAnsi="Times New Roman" w:cs="Times New Roman"/>
                <w:color w:val="auto"/>
                <w:sz w:val="24"/>
                <w:szCs w:val="24"/>
              </w:rPr>
              <w:t>龙湖污水处理厂处理后，满足《城镇污水处理厂污染物排放标准》（GB18918-2002）中一级A标准，</w:t>
            </w:r>
            <w:r>
              <w:rPr>
                <w:rFonts w:hint="default" w:ascii="Times New Roman" w:hAnsi="Times New Roman" w:cs="Times New Roman"/>
                <w:color w:val="auto"/>
                <w:spacing w:val="-4"/>
                <w:sz w:val="24"/>
                <w:szCs w:val="24"/>
              </w:rPr>
              <w:t>本项目对周围水环境产生影响较小。</w:t>
            </w:r>
          </w:p>
          <w:p>
            <w:pPr>
              <w:adjustRightInd w:val="0"/>
              <w:snapToGrid w:val="0"/>
              <w:spacing w:line="360" w:lineRule="auto"/>
              <w:ind w:firstLine="482" w:firstLineChars="200"/>
              <w:jc w:val="left"/>
              <w:rPr>
                <w:b/>
                <w:bCs/>
                <w:color w:val="auto"/>
                <w:sz w:val="24"/>
                <w:szCs w:val="24"/>
              </w:rPr>
            </w:pPr>
            <w:r>
              <w:rPr>
                <w:rFonts w:hint="eastAsia"/>
                <w:b/>
                <w:bCs/>
                <w:color w:val="auto"/>
                <w:sz w:val="24"/>
                <w:szCs w:val="24"/>
              </w:rPr>
              <w:t>2.3、建设项目废水污染物排放信息表</w:t>
            </w:r>
          </w:p>
          <w:p>
            <w:pPr>
              <w:adjustRightInd w:val="0"/>
              <w:snapToGrid w:val="0"/>
              <w:spacing w:line="360" w:lineRule="auto"/>
              <w:ind w:firstLine="480" w:firstLineChars="200"/>
              <w:jc w:val="left"/>
              <w:rPr>
                <w:rFonts w:hint="default" w:ascii="Times New Roman" w:hAnsi="Times New Roman" w:eastAsia="宋体" w:cs="Times New Roman"/>
                <w:b/>
                <w:bCs/>
                <w:color w:val="auto"/>
                <w:sz w:val="24"/>
                <w:szCs w:val="24"/>
                <w:lang w:bidi="en-US"/>
              </w:rPr>
            </w:pPr>
            <w:r>
              <w:rPr>
                <w:rFonts w:hint="default" w:ascii="Times New Roman" w:hAnsi="Times New Roman" w:eastAsia="宋体" w:cs="Times New Roman"/>
                <w:color w:val="auto"/>
                <w:sz w:val="24"/>
                <w:szCs w:val="24"/>
              </w:rPr>
              <w:t>①废水类别、污染物及治理设施信息表</w:t>
            </w:r>
          </w:p>
          <w:p>
            <w:pPr>
              <w:adjustRightInd w:val="0"/>
              <w:snapToGrid w:val="0"/>
              <w:spacing w:line="240" w:lineRule="auto"/>
              <w:ind w:left="2100"/>
              <w:rPr>
                <w:rFonts w:hint="default" w:ascii="Times New Roman" w:hAnsi="Times New Roman" w:eastAsia="宋体" w:cs="Times New Roman"/>
                <w:b/>
                <w:bCs/>
                <w:color w:val="auto"/>
                <w:sz w:val="24"/>
                <w:szCs w:val="24"/>
                <w:lang w:bidi="en-US"/>
              </w:rPr>
            </w:pPr>
            <w:r>
              <w:rPr>
                <w:rFonts w:hint="default" w:ascii="Times New Roman" w:hAnsi="Times New Roman" w:eastAsia="宋体" w:cs="Times New Roman"/>
                <w:b/>
                <w:bCs/>
                <w:color w:val="auto"/>
                <w:sz w:val="24"/>
                <w:szCs w:val="24"/>
                <w:lang w:bidi="en-US"/>
              </w:rPr>
              <w:t>表4-</w:t>
            </w:r>
            <w:r>
              <w:rPr>
                <w:rFonts w:hint="default" w:ascii="Times New Roman" w:hAnsi="Times New Roman" w:eastAsia="宋体" w:cs="Times New Roman"/>
                <w:b/>
                <w:bCs/>
                <w:color w:val="auto"/>
                <w:sz w:val="24"/>
                <w:szCs w:val="24"/>
                <w:lang w:val="en-US" w:eastAsia="zh-CN" w:bidi="en-US"/>
              </w:rPr>
              <w:t>11</w:t>
            </w:r>
            <w:r>
              <w:rPr>
                <w:rFonts w:hint="default" w:ascii="Times New Roman" w:hAnsi="Times New Roman" w:eastAsia="宋体" w:cs="Times New Roman"/>
                <w:b/>
                <w:bCs/>
                <w:color w:val="auto"/>
                <w:sz w:val="24"/>
                <w:szCs w:val="24"/>
                <w:lang w:bidi="en-US"/>
              </w:rPr>
              <w:t xml:space="preserve">  废水类别、污染物及治理设施信息表</w:t>
            </w:r>
          </w:p>
          <w:tbl>
            <w:tblPr>
              <w:tblStyle w:val="35"/>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031"/>
              <w:gridCol w:w="1145"/>
              <w:gridCol w:w="715"/>
              <w:gridCol w:w="985"/>
              <w:gridCol w:w="897"/>
              <w:gridCol w:w="666"/>
              <w:gridCol w:w="881"/>
              <w:gridCol w:w="715"/>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15"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031"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1145"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排放去向</w:t>
                  </w:r>
                </w:p>
              </w:tc>
              <w:tc>
                <w:tcPr>
                  <w:tcW w:w="715"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w:t>
                  </w:r>
                </w:p>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规律</w:t>
                  </w:r>
                </w:p>
                <w:p>
                  <w:pPr>
                    <w:adjustRightInd w:val="0"/>
                    <w:snapToGrid w:val="0"/>
                    <w:jc w:val="center"/>
                    <w:rPr>
                      <w:rFonts w:hint="default" w:ascii="Times New Roman" w:hAnsi="Times New Roman" w:eastAsia="宋体" w:cs="Times New Roman"/>
                      <w:color w:val="auto"/>
                      <w:sz w:val="21"/>
                      <w:szCs w:val="21"/>
                    </w:rPr>
                  </w:pPr>
                </w:p>
              </w:tc>
              <w:tc>
                <w:tcPr>
                  <w:tcW w:w="2548" w:type="dxa"/>
                  <w:gridSpan w:val="3"/>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污染治理措施</w:t>
                  </w:r>
                </w:p>
              </w:tc>
              <w:tc>
                <w:tcPr>
                  <w:tcW w:w="881"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715"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排放口设置是否合</w:t>
                  </w:r>
                </w:p>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要求</w:t>
                  </w:r>
                </w:p>
              </w:tc>
              <w:tc>
                <w:tcPr>
                  <w:tcW w:w="604"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15"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031"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145"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715"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98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污染治理排放口编号</w:t>
                  </w:r>
                </w:p>
              </w:tc>
              <w:tc>
                <w:tcPr>
                  <w:tcW w:w="89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污染治理设施名称</w:t>
                  </w:r>
                </w:p>
              </w:tc>
              <w:tc>
                <w:tcPr>
                  <w:tcW w:w="66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w:t>
                  </w:r>
                </w:p>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设施工艺</w:t>
                  </w:r>
                </w:p>
                <w:p>
                  <w:pPr>
                    <w:adjustRightInd w:val="0"/>
                    <w:snapToGrid w:val="0"/>
                    <w:jc w:val="center"/>
                    <w:rPr>
                      <w:rFonts w:hint="default" w:ascii="Times New Roman" w:hAnsi="Times New Roman" w:eastAsia="宋体" w:cs="Times New Roman"/>
                      <w:color w:val="auto"/>
                      <w:sz w:val="21"/>
                      <w:szCs w:val="21"/>
                    </w:rPr>
                  </w:pPr>
                </w:p>
              </w:tc>
              <w:tc>
                <w:tcPr>
                  <w:tcW w:w="881"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715"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04"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w:t>
                  </w:r>
                </w:p>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w:t>
                  </w:r>
                </w:p>
              </w:tc>
              <w:tc>
                <w:tcPr>
                  <w:tcW w:w="103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COD、SS、</w:t>
                  </w:r>
                </w:p>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 xml:space="preserve"> -N、BOD</w:t>
                  </w:r>
                  <w:r>
                    <w:rPr>
                      <w:rFonts w:hint="default" w:ascii="Times New Roman" w:hAnsi="Times New Roman" w:eastAsia="宋体" w:cs="Times New Roman"/>
                      <w:color w:val="auto"/>
                      <w:sz w:val="21"/>
                      <w:szCs w:val="21"/>
                      <w:vertAlign w:val="subscript"/>
                    </w:rPr>
                    <w:t>5</w:t>
                  </w:r>
                </w:p>
              </w:tc>
              <w:tc>
                <w:tcPr>
                  <w:tcW w:w="114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排入龙湖污水处理厂</w:t>
                  </w:r>
                </w:p>
              </w:tc>
              <w:tc>
                <w:tcPr>
                  <w:tcW w:w="71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间歇</w:t>
                  </w:r>
                </w:p>
              </w:tc>
              <w:tc>
                <w:tcPr>
                  <w:tcW w:w="98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TW001</w:t>
                  </w:r>
                </w:p>
              </w:tc>
              <w:tc>
                <w:tcPr>
                  <w:tcW w:w="89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化粪池</w:t>
                  </w:r>
                </w:p>
              </w:tc>
              <w:tc>
                <w:tcPr>
                  <w:tcW w:w="666"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厌氧</w:t>
                  </w:r>
                </w:p>
              </w:tc>
              <w:tc>
                <w:tcPr>
                  <w:tcW w:w="881"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715"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c>
                <w:tcPr>
                  <w:tcW w:w="60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企业总排</w:t>
                  </w:r>
                </w:p>
              </w:tc>
            </w:tr>
          </w:tbl>
          <w:p>
            <w:pPr>
              <w:adjustRightInd w:val="0"/>
              <w:snapToGrid w:val="0"/>
              <w:spacing w:line="360" w:lineRule="auto"/>
              <w:ind w:firstLine="480"/>
              <w:jc w:val="left"/>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②废水排放口基本情况表</w:t>
            </w:r>
          </w:p>
          <w:p>
            <w:pPr>
              <w:adjustRightInd w:val="0"/>
              <w:snapToGrid w:val="0"/>
              <w:jc w:val="center"/>
              <w:rPr>
                <w:rFonts w:hint="default" w:ascii="Times New Roman" w:hAnsi="Times New Roman" w:eastAsia="宋体" w:cs="Times New Roman"/>
                <w:b/>
                <w:bCs/>
                <w:color w:val="auto"/>
                <w:sz w:val="24"/>
                <w:szCs w:val="24"/>
                <w:lang w:bidi="en-US"/>
              </w:rPr>
            </w:pPr>
            <w:r>
              <w:rPr>
                <w:rFonts w:hint="default" w:ascii="Times New Roman" w:hAnsi="Times New Roman" w:eastAsia="宋体" w:cs="Times New Roman"/>
                <w:b/>
                <w:bCs/>
                <w:color w:val="auto"/>
                <w:sz w:val="24"/>
                <w:szCs w:val="24"/>
                <w:lang w:bidi="en-US"/>
              </w:rPr>
              <w:t>表4-1</w:t>
            </w:r>
            <w:r>
              <w:rPr>
                <w:rFonts w:hint="eastAsia" w:ascii="Times New Roman" w:hAnsi="Times New Roman" w:eastAsia="宋体" w:cs="Times New Roman"/>
                <w:b/>
                <w:bCs/>
                <w:color w:val="auto"/>
                <w:sz w:val="24"/>
                <w:szCs w:val="24"/>
                <w:lang w:val="en-US" w:eastAsia="zh-CN" w:bidi="en-US"/>
              </w:rPr>
              <w:t>2</w:t>
            </w:r>
            <w:r>
              <w:rPr>
                <w:rFonts w:hint="default" w:ascii="Times New Roman" w:hAnsi="Times New Roman" w:eastAsia="宋体" w:cs="Times New Roman"/>
                <w:b/>
                <w:bCs/>
                <w:color w:val="auto"/>
                <w:sz w:val="24"/>
                <w:szCs w:val="24"/>
                <w:lang w:bidi="en-US"/>
              </w:rPr>
              <w:t xml:space="preserve">  废水间接排放口基本情况表</w:t>
            </w:r>
          </w:p>
          <w:tbl>
            <w:tblPr>
              <w:tblStyle w:val="3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214"/>
              <w:gridCol w:w="1109"/>
              <w:gridCol w:w="808"/>
              <w:gridCol w:w="623"/>
              <w:gridCol w:w="637"/>
              <w:gridCol w:w="722"/>
              <w:gridCol w:w="91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1"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2323" w:type="dxa"/>
                  <w:gridSpan w:val="2"/>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排放口地理坐标a</w:t>
                  </w:r>
                </w:p>
              </w:tc>
              <w:tc>
                <w:tcPr>
                  <w:tcW w:w="808"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废水排放量</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万t/a）</w:t>
                  </w:r>
                </w:p>
              </w:tc>
              <w:tc>
                <w:tcPr>
                  <w:tcW w:w="623"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排放规律</w:t>
                  </w:r>
                </w:p>
              </w:tc>
              <w:tc>
                <w:tcPr>
                  <w:tcW w:w="637"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间歇排放时段</w:t>
                  </w:r>
                </w:p>
              </w:tc>
              <w:tc>
                <w:tcPr>
                  <w:tcW w:w="3113" w:type="dxa"/>
                  <w:gridSpan w:val="3"/>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1"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21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经度</w:t>
                  </w:r>
                </w:p>
              </w:tc>
              <w:tc>
                <w:tcPr>
                  <w:tcW w:w="1109"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p>
              </w:tc>
              <w:tc>
                <w:tcPr>
                  <w:tcW w:w="808"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23"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37"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722"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名称b</w:t>
                  </w:r>
                </w:p>
              </w:tc>
              <w:tc>
                <w:tcPr>
                  <w:tcW w:w="91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14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81"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1214"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116.824053</w:t>
                  </w:r>
                </w:p>
              </w:tc>
              <w:tc>
                <w:tcPr>
                  <w:tcW w:w="1109"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34.053677</w:t>
                  </w:r>
                </w:p>
              </w:tc>
              <w:tc>
                <w:tcPr>
                  <w:tcW w:w="808" w:type="dxa"/>
                  <w:vMerge w:val="restart"/>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720</w:t>
                  </w:r>
                </w:p>
              </w:tc>
              <w:tc>
                <w:tcPr>
                  <w:tcW w:w="623"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间歇</w:t>
                  </w:r>
                </w:p>
              </w:tc>
              <w:tc>
                <w:tcPr>
                  <w:tcW w:w="637"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22" w:type="dxa"/>
                  <w:vMerge w:val="restart"/>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龙湖污水处理厂</w:t>
                  </w:r>
                </w:p>
              </w:tc>
              <w:tc>
                <w:tcPr>
                  <w:tcW w:w="91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4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81"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214"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109"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808"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23"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37"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722"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91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4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81"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214"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109"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808"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23"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37"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722"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91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4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81"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214"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1109"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808"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23"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637"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722" w:type="dxa"/>
                  <w:vMerge w:val="continue"/>
                  <w:vAlign w:val="center"/>
                </w:tcPr>
                <w:p>
                  <w:pPr>
                    <w:adjustRightInd w:val="0"/>
                    <w:snapToGrid w:val="0"/>
                    <w:jc w:val="center"/>
                    <w:rPr>
                      <w:rFonts w:hint="default" w:ascii="Times New Roman" w:hAnsi="Times New Roman" w:eastAsia="宋体" w:cs="Times New Roman"/>
                      <w:color w:val="auto"/>
                      <w:sz w:val="21"/>
                      <w:szCs w:val="21"/>
                    </w:rPr>
                  </w:pPr>
                </w:p>
              </w:tc>
              <w:tc>
                <w:tcPr>
                  <w:tcW w:w="917"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474" w:type="dxa"/>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bl>
          <w:p>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 对于排至厂外公共污水处理系统的排放口，指废水排出厂界处经纬度坐标。</w:t>
            </w:r>
          </w:p>
          <w:p>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 指厂外城镇或工业污水集中处理设施名称，如×××生活污水处理厂。</w:t>
            </w:r>
          </w:p>
          <w:p>
            <w:pPr>
              <w:adjustRightInd w:val="0"/>
              <w:snapToGrid w:val="0"/>
              <w:ind w:left="2100"/>
              <w:rPr>
                <w:rFonts w:hint="default" w:ascii="Times New Roman" w:hAnsi="Times New Roman" w:eastAsia="宋体" w:cs="Times New Roman"/>
                <w:b/>
                <w:bCs/>
                <w:color w:val="auto"/>
                <w:sz w:val="24"/>
                <w:szCs w:val="24"/>
                <w:lang w:bidi="en-US"/>
              </w:rPr>
            </w:pPr>
            <w:r>
              <w:rPr>
                <w:rFonts w:hint="default" w:ascii="Times New Roman" w:hAnsi="Times New Roman" w:eastAsia="宋体" w:cs="Times New Roman"/>
                <w:b/>
                <w:bCs/>
                <w:color w:val="auto"/>
                <w:sz w:val="24"/>
                <w:szCs w:val="24"/>
                <w:lang w:bidi="en-US"/>
              </w:rPr>
              <w:t>表4-1</w:t>
            </w:r>
            <w:r>
              <w:rPr>
                <w:rFonts w:hint="eastAsia" w:ascii="Times New Roman" w:hAnsi="Times New Roman" w:eastAsia="宋体" w:cs="Times New Roman"/>
                <w:b/>
                <w:bCs/>
                <w:color w:val="auto"/>
                <w:sz w:val="24"/>
                <w:szCs w:val="24"/>
                <w:lang w:val="en-US" w:eastAsia="zh-CN" w:bidi="en-US"/>
              </w:rPr>
              <w:t>3</w:t>
            </w:r>
            <w:r>
              <w:rPr>
                <w:rFonts w:hint="default" w:ascii="Times New Roman" w:hAnsi="Times New Roman" w:eastAsia="宋体" w:cs="Times New Roman"/>
                <w:b/>
                <w:bCs/>
                <w:color w:val="auto"/>
                <w:sz w:val="24"/>
                <w:szCs w:val="24"/>
                <w:lang w:bidi="en-US"/>
              </w:rPr>
              <w:t xml:space="preserve">   废水污染物排放执行标准表</w:t>
            </w:r>
          </w:p>
          <w:tbl>
            <w:tblPr>
              <w:tblStyle w:val="35"/>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330"/>
              <w:gridCol w:w="287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restart"/>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1330" w:type="dxa"/>
                  <w:vMerge w:val="restart"/>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5820" w:type="dxa"/>
                  <w:gridSpan w:val="2"/>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国家或地方污染物排放标准及其他按规定商定的排放协议a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1330"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2877"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2943"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restart"/>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1330" w:type="dxa"/>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2877" w:type="dxa"/>
                  <w:vMerge w:val="restart"/>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《污水综合排放标准》（GB8978-1996）表4中三级标准及龙湖污水处理厂接管限值</w:t>
                  </w:r>
                </w:p>
              </w:tc>
              <w:tc>
                <w:tcPr>
                  <w:tcW w:w="2943" w:type="dxa"/>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1330" w:type="dxa"/>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2877"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2943"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1330"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BOD</w:t>
                  </w:r>
                  <w:r>
                    <w:rPr>
                      <w:rFonts w:hint="default" w:ascii="Times New Roman" w:hAnsi="Times New Roman" w:eastAsia="宋体" w:cs="Times New Roman"/>
                      <w:color w:val="auto"/>
                      <w:sz w:val="21"/>
                      <w:szCs w:val="21"/>
                      <w:vertAlign w:val="subscript"/>
                    </w:rPr>
                    <w:t>5</w:t>
                  </w:r>
                </w:p>
              </w:tc>
              <w:tc>
                <w:tcPr>
                  <w:tcW w:w="2877"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2943" w:type="dxa"/>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1330" w:type="dxa"/>
                  <w:vAlign w:val="center"/>
                </w:tcPr>
                <w:p>
                  <w:pPr>
                    <w:adjustRightInd w:val="0"/>
                    <w:snapToGrid w:val="0"/>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2877"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2943"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1"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1330"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2877" w:type="dxa"/>
                  <w:vMerge w:val="continue"/>
                  <w:vAlign w:val="center"/>
                </w:tcPr>
                <w:p>
                  <w:pPr>
                    <w:pStyle w:val="14"/>
                    <w:spacing w:before="0" w:after="0" w:line="320" w:lineRule="exact"/>
                    <w:jc w:val="center"/>
                    <w:rPr>
                      <w:rFonts w:hint="default" w:ascii="Times New Roman" w:hAnsi="Times New Roman" w:eastAsia="宋体" w:cs="Times New Roman"/>
                      <w:color w:val="auto"/>
                      <w:sz w:val="21"/>
                      <w:szCs w:val="21"/>
                    </w:rPr>
                  </w:pPr>
                </w:p>
              </w:tc>
              <w:tc>
                <w:tcPr>
                  <w:tcW w:w="2943" w:type="dxa"/>
                  <w:vAlign w:val="center"/>
                </w:tcPr>
                <w:p>
                  <w:pPr>
                    <w:pStyle w:val="14"/>
                    <w:spacing w:before="0" w:after="0"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r>
          </w:tbl>
          <w:p>
            <w:pPr>
              <w:spacing w:line="360" w:lineRule="auto"/>
              <w:ind w:firstLine="466" w:firstLineChars="200"/>
              <w:rPr>
                <w:b/>
                <w:bCs/>
                <w:color w:val="auto"/>
                <w:spacing w:val="-4"/>
                <w:sz w:val="24"/>
                <w:szCs w:val="24"/>
              </w:rPr>
            </w:pPr>
            <w:r>
              <w:rPr>
                <w:rFonts w:hint="eastAsia"/>
                <w:b/>
                <w:bCs/>
                <w:color w:val="auto"/>
                <w:spacing w:val="-4"/>
                <w:sz w:val="24"/>
                <w:szCs w:val="24"/>
              </w:rPr>
              <w:t>2.4、</w:t>
            </w:r>
            <w:r>
              <w:rPr>
                <w:rFonts w:hint="eastAsia" w:hAnsi="宋体"/>
                <w:b/>
                <w:bCs/>
                <w:color w:val="auto"/>
                <w:sz w:val="24"/>
                <w:szCs w:val="24"/>
              </w:rPr>
              <w:t>接管可行性分析</w:t>
            </w:r>
          </w:p>
          <w:p>
            <w:pPr>
              <w:spacing w:line="360" w:lineRule="auto"/>
              <w:ind w:firstLine="480" w:firstLineChars="200"/>
              <w:rPr>
                <w:color w:val="auto"/>
                <w:sz w:val="24"/>
                <w:szCs w:val="24"/>
              </w:rPr>
            </w:pPr>
            <w:r>
              <w:rPr>
                <w:rFonts w:hint="eastAsia"/>
                <w:color w:val="auto"/>
                <w:sz w:val="24"/>
                <w:szCs w:val="24"/>
              </w:rPr>
              <w:t>项目运营期废水主要为职工生活污水。项目排水实行雨污分流制，雨水经厂区雨水管网排入开发区雨水管网。生活污水经现有厂区化粪池预处理后进入开发区污水管网，后排入开发区污水处理厂处理达标后排放，因此本项目废水属间接排放。 根据《环境影响评价技术导则-地表水环境》（HJ2.3-2018）中间接排放建设项目评级等级三级B，因此本项目地表水环境影响评价等级为三级B。其评价范围应符合以下要求：a) 应满足其依托污水处理设施环境可行性分析的要求；b) 涉及地表水环境风险的，应覆盖环境风险影响范围所及的水环境保护目标水域。本项目不涉及地表水环境风险，仅对依托污水处理设施环境可行性分析。</w:t>
            </w:r>
          </w:p>
          <w:p>
            <w:pPr>
              <w:spacing w:line="360" w:lineRule="auto"/>
              <w:ind w:firstLine="480" w:firstLineChars="200"/>
              <w:rPr>
                <w:color w:val="auto"/>
                <w:sz w:val="24"/>
                <w:szCs w:val="24"/>
              </w:rPr>
            </w:pPr>
            <w:r>
              <w:rPr>
                <w:rFonts w:hint="eastAsia"/>
                <w:color w:val="auto"/>
                <w:sz w:val="24"/>
                <w:szCs w:val="24"/>
              </w:rPr>
              <w:t>龙湖污水处理厂：</w:t>
            </w:r>
          </w:p>
          <w:p>
            <w:pPr>
              <w:spacing w:line="360" w:lineRule="auto"/>
              <w:ind w:firstLine="480" w:firstLineChars="200"/>
              <w:rPr>
                <w:color w:val="auto"/>
                <w:sz w:val="24"/>
                <w:szCs w:val="24"/>
              </w:rPr>
            </w:pPr>
            <w:r>
              <w:rPr>
                <w:rFonts w:hint="eastAsia"/>
                <w:color w:val="auto"/>
                <w:sz w:val="24"/>
                <w:szCs w:val="24"/>
              </w:rPr>
              <w:t>①污水处理厂概况</w:t>
            </w:r>
          </w:p>
          <w:p>
            <w:pPr>
              <w:spacing w:line="360" w:lineRule="auto"/>
              <w:ind w:firstLine="480" w:firstLineChars="200"/>
              <w:rPr>
                <w:rFonts w:hint="eastAsia"/>
                <w:color w:val="auto"/>
                <w:sz w:val="24"/>
                <w:szCs w:val="24"/>
              </w:rPr>
            </w:pPr>
            <w:r>
              <w:rPr>
                <w:rFonts w:hint="eastAsia"/>
                <w:color w:val="auto"/>
                <w:sz w:val="24"/>
                <w:szCs w:val="24"/>
              </w:rPr>
              <w:t>龙湖污水处理厂于 2018 年建设，龙湖污水处理厂采用较为先进的污水处理工艺， 其设计规模为 2 万立方米/日。</w:t>
            </w:r>
          </w:p>
          <w:p>
            <w:pPr>
              <w:spacing w:line="360" w:lineRule="auto"/>
              <w:jc w:val="center"/>
              <w:rPr>
                <w:rFonts w:hint="eastAsia" w:eastAsia="宋体"/>
                <w:color w:val="auto"/>
                <w:szCs w:val="21"/>
                <w:lang w:eastAsia="zh-CN"/>
              </w:rPr>
            </w:pPr>
            <w:r>
              <w:rPr>
                <w:rFonts w:hint="eastAsia" w:eastAsia="宋体"/>
                <w:color w:val="auto"/>
                <w:szCs w:val="21"/>
                <w:lang w:eastAsia="zh-CN"/>
              </w:rPr>
              <w:drawing>
                <wp:inline distT="0" distB="0" distL="114300" distR="114300">
                  <wp:extent cx="4615815" cy="2358390"/>
                  <wp:effectExtent l="0" t="0" r="13335" b="3810"/>
                  <wp:docPr id="27" name="图片 27" descr="167349308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73493086061"/>
                          <pic:cNvPicPr>
                            <a:picLocks noChangeAspect="1"/>
                          </pic:cNvPicPr>
                        </pic:nvPicPr>
                        <pic:blipFill>
                          <a:blip r:embed="rId10"/>
                          <a:stretch>
                            <a:fillRect/>
                          </a:stretch>
                        </pic:blipFill>
                        <pic:spPr>
                          <a:xfrm>
                            <a:off x="0" y="0"/>
                            <a:ext cx="4615815" cy="2358390"/>
                          </a:xfrm>
                          <a:prstGeom prst="rect">
                            <a:avLst/>
                          </a:prstGeom>
                        </pic:spPr>
                      </pic:pic>
                    </a:graphicData>
                  </a:graphic>
                </wp:inline>
              </w:drawing>
            </w:r>
          </w:p>
          <w:p>
            <w:pPr>
              <w:adjustRightInd w:val="0"/>
              <w:snapToGrid w:val="0"/>
              <w:spacing w:line="360" w:lineRule="auto"/>
              <w:jc w:val="center"/>
              <w:rPr>
                <w:rFonts w:hint="eastAsia" w:hAnsi="宋体" w:cs="宋体"/>
                <w:b/>
                <w:bCs/>
                <w:color w:val="auto"/>
                <w:sz w:val="24"/>
                <w:lang w:val="en-US" w:eastAsia="zh-CN" w:bidi="en-US"/>
              </w:rPr>
            </w:pPr>
            <w:r>
              <w:rPr>
                <w:rFonts w:hint="eastAsia" w:hAnsi="宋体" w:cs="宋体"/>
                <w:b/>
                <w:bCs/>
                <w:color w:val="auto"/>
                <w:sz w:val="24"/>
                <w:lang w:bidi="en-US"/>
              </w:rPr>
              <w:t>图4-</w:t>
            </w:r>
            <w:r>
              <w:rPr>
                <w:rFonts w:hint="eastAsia" w:hAnsi="宋体" w:cs="宋体"/>
                <w:b/>
                <w:bCs/>
                <w:color w:val="auto"/>
                <w:sz w:val="24"/>
                <w:lang w:val="en-US" w:eastAsia="zh-CN" w:bidi="en-US"/>
              </w:rPr>
              <w:t>3</w:t>
            </w:r>
            <w:r>
              <w:rPr>
                <w:rFonts w:hint="eastAsia" w:hAnsi="宋体" w:cs="宋体"/>
                <w:b/>
                <w:bCs/>
                <w:color w:val="auto"/>
                <w:sz w:val="24"/>
                <w:lang w:bidi="en-US"/>
              </w:rPr>
              <w:t xml:space="preserve">  </w:t>
            </w:r>
            <w:r>
              <w:rPr>
                <w:rFonts w:hint="eastAsia" w:hAnsi="宋体" w:cs="宋体"/>
                <w:b/>
                <w:bCs/>
                <w:color w:val="auto"/>
                <w:sz w:val="24"/>
                <w:lang w:val="en-US" w:eastAsia="zh-CN" w:bidi="en-US"/>
              </w:rPr>
              <w:t>龙湖污水处理厂处理工艺</w:t>
            </w:r>
          </w:p>
          <w:p>
            <w:pPr>
              <w:spacing w:line="360" w:lineRule="auto"/>
              <w:ind w:firstLine="480" w:firstLineChars="200"/>
              <w:rPr>
                <w:color w:val="auto"/>
                <w:sz w:val="24"/>
                <w:szCs w:val="24"/>
              </w:rPr>
            </w:pPr>
            <w:r>
              <w:rPr>
                <w:rFonts w:hint="eastAsia"/>
                <w:color w:val="auto"/>
                <w:sz w:val="24"/>
                <w:szCs w:val="24"/>
              </w:rPr>
              <w:t>②水质分析</w:t>
            </w:r>
          </w:p>
          <w:p>
            <w:pPr>
              <w:spacing w:line="360" w:lineRule="auto"/>
              <w:ind w:firstLine="480" w:firstLineChars="200"/>
              <w:rPr>
                <w:color w:val="auto"/>
                <w:sz w:val="24"/>
                <w:szCs w:val="24"/>
              </w:rPr>
            </w:pPr>
            <w:r>
              <w:rPr>
                <w:rFonts w:hint="eastAsia"/>
                <w:color w:val="auto"/>
                <w:sz w:val="24"/>
                <w:szCs w:val="24"/>
              </w:rPr>
              <w:t>本项目废水为生活污水，经化粪池处理的生活污水满足污水处理厂接管标准的要求。即本项目排放的废水不会影响污水厂的处理效果。</w:t>
            </w:r>
          </w:p>
          <w:p>
            <w:pPr>
              <w:spacing w:line="360" w:lineRule="auto"/>
              <w:ind w:firstLine="480" w:firstLineChars="200"/>
              <w:rPr>
                <w:color w:val="auto"/>
                <w:sz w:val="24"/>
                <w:szCs w:val="24"/>
              </w:rPr>
            </w:pPr>
            <w:r>
              <w:rPr>
                <w:rFonts w:hint="eastAsia"/>
                <w:color w:val="auto"/>
                <w:sz w:val="24"/>
                <w:szCs w:val="24"/>
              </w:rPr>
              <w:t>根据水质分析，本项目接管可行。</w:t>
            </w:r>
          </w:p>
          <w:p>
            <w:pPr>
              <w:spacing w:line="360" w:lineRule="auto"/>
              <w:ind w:firstLine="480" w:firstLineChars="200"/>
              <w:rPr>
                <w:color w:val="auto"/>
                <w:sz w:val="24"/>
                <w:szCs w:val="24"/>
              </w:rPr>
            </w:pPr>
            <w:r>
              <w:rPr>
                <w:rFonts w:hint="eastAsia"/>
                <w:color w:val="auto"/>
                <w:sz w:val="24"/>
                <w:szCs w:val="24"/>
              </w:rPr>
              <w:t>③水量分析</w:t>
            </w:r>
          </w:p>
          <w:p>
            <w:pPr>
              <w:spacing w:line="360" w:lineRule="auto"/>
              <w:ind w:firstLine="480" w:firstLineChars="200"/>
              <w:rPr>
                <w:color w:val="auto"/>
                <w:sz w:val="24"/>
                <w:szCs w:val="24"/>
              </w:rPr>
            </w:pPr>
            <w:r>
              <w:rPr>
                <w:rFonts w:hint="eastAsia"/>
                <w:color w:val="auto"/>
                <w:sz w:val="24"/>
                <w:szCs w:val="24"/>
              </w:rPr>
              <w:t>本项目排入龙湖污水处理厂的水量为</w:t>
            </w:r>
            <w:r>
              <w:rPr>
                <w:rFonts w:hint="eastAsia"/>
                <w:color w:val="auto"/>
                <w:sz w:val="24"/>
                <w:szCs w:val="24"/>
                <w:lang w:val="en-US" w:eastAsia="zh-CN"/>
              </w:rPr>
              <w:t>72</w:t>
            </w:r>
            <w:r>
              <w:rPr>
                <w:rFonts w:hint="eastAsia"/>
                <w:color w:val="auto"/>
                <w:sz w:val="24"/>
                <w:szCs w:val="24"/>
              </w:rPr>
              <w:t>0t/a，龙湖污水处理厂目前处理能力20000m</w:t>
            </w:r>
            <w:r>
              <w:rPr>
                <w:rFonts w:hint="eastAsia"/>
                <w:color w:val="auto"/>
                <w:sz w:val="24"/>
                <w:szCs w:val="24"/>
                <w:vertAlign w:val="superscript"/>
              </w:rPr>
              <w:t>3</w:t>
            </w:r>
            <w:r>
              <w:rPr>
                <w:rFonts w:hint="eastAsia"/>
                <w:color w:val="auto"/>
                <w:sz w:val="24"/>
                <w:szCs w:val="24"/>
              </w:rPr>
              <w:t>/d且尚有余量。从水量分析，本项目接管可行。</w:t>
            </w:r>
          </w:p>
          <w:p>
            <w:pPr>
              <w:spacing w:line="360" w:lineRule="auto"/>
              <w:ind w:firstLine="480" w:firstLineChars="200"/>
              <w:rPr>
                <w:color w:val="auto"/>
                <w:sz w:val="24"/>
                <w:szCs w:val="24"/>
              </w:rPr>
            </w:pPr>
            <w:r>
              <w:rPr>
                <w:rFonts w:hint="eastAsia"/>
                <w:color w:val="auto"/>
                <w:sz w:val="24"/>
                <w:szCs w:val="24"/>
              </w:rPr>
              <w:t>④服务范围</w:t>
            </w:r>
          </w:p>
          <w:p>
            <w:pPr>
              <w:spacing w:line="360" w:lineRule="auto"/>
              <w:ind w:firstLine="480" w:firstLineChars="200"/>
              <w:rPr>
                <w:color w:val="auto"/>
                <w:sz w:val="24"/>
                <w:szCs w:val="24"/>
              </w:rPr>
            </w:pPr>
            <w:r>
              <w:rPr>
                <w:rFonts w:hint="eastAsia"/>
                <w:color w:val="auto"/>
                <w:sz w:val="24"/>
                <w:szCs w:val="24"/>
              </w:rPr>
              <w:t>本项目位于龙湖污水处理厂的服务范围内。</w:t>
            </w:r>
          </w:p>
          <w:p>
            <w:pPr>
              <w:spacing w:line="360" w:lineRule="auto"/>
              <w:ind w:firstLine="480" w:firstLineChars="200"/>
              <w:rPr>
                <w:color w:val="auto"/>
                <w:sz w:val="24"/>
                <w:szCs w:val="24"/>
              </w:rPr>
            </w:pPr>
            <w:r>
              <w:rPr>
                <w:rFonts w:hint="eastAsia"/>
                <w:color w:val="auto"/>
                <w:sz w:val="24"/>
                <w:szCs w:val="24"/>
              </w:rPr>
              <w:t>综上所述，本项目废水接管进龙湖污水处理厂，从接管水质水量、管网铺设、等方面均是可行的。</w:t>
            </w:r>
          </w:p>
          <w:p>
            <w:pPr>
              <w:adjustRightInd w:val="0"/>
              <w:snapToGrid w:val="0"/>
              <w:spacing w:line="360" w:lineRule="auto"/>
              <w:ind w:firstLine="464" w:firstLineChars="200"/>
              <w:jc w:val="left"/>
              <w:rPr>
                <w:rFonts w:hint="eastAsia"/>
                <w:b/>
                <w:bCs/>
                <w:color w:val="auto"/>
                <w:spacing w:val="-4"/>
                <w:sz w:val="24"/>
                <w:szCs w:val="24"/>
              </w:rPr>
            </w:pPr>
            <w:r>
              <w:rPr>
                <w:color w:val="auto"/>
                <w:spacing w:val="-4"/>
                <w:sz w:val="24"/>
                <w:szCs w:val="24"/>
              </w:rPr>
              <w:t>根据以上分析，在落实本环评提出的处理措施后，本项目对周边水环境影响较小</w:t>
            </w:r>
            <w:r>
              <w:rPr>
                <w:rFonts w:hint="eastAsia"/>
                <w:color w:val="auto"/>
                <w:spacing w:val="-4"/>
                <w:sz w:val="24"/>
                <w:szCs w:val="24"/>
              </w:rPr>
              <w:t>。</w:t>
            </w:r>
          </w:p>
          <w:p>
            <w:pPr>
              <w:adjustRightInd w:val="0"/>
              <w:snapToGrid w:val="0"/>
              <w:spacing w:line="360" w:lineRule="auto"/>
              <w:ind w:firstLine="466" w:firstLineChars="200"/>
              <w:jc w:val="left"/>
              <w:rPr>
                <w:b/>
                <w:color w:val="auto"/>
                <w:sz w:val="24"/>
                <w:szCs w:val="24"/>
              </w:rPr>
            </w:pPr>
            <w:r>
              <w:rPr>
                <w:rFonts w:hint="eastAsia"/>
                <w:b/>
                <w:bCs/>
                <w:color w:val="auto"/>
                <w:spacing w:val="-4"/>
                <w:sz w:val="24"/>
                <w:szCs w:val="24"/>
              </w:rPr>
              <w:t>2.</w:t>
            </w:r>
            <w:r>
              <w:rPr>
                <w:rFonts w:hint="eastAsia"/>
                <w:b/>
                <w:bCs/>
                <w:color w:val="auto"/>
                <w:spacing w:val="-4"/>
                <w:sz w:val="24"/>
                <w:szCs w:val="24"/>
                <w:lang w:val="en-US" w:eastAsia="zh-CN"/>
              </w:rPr>
              <w:t>5</w:t>
            </w:r>
            <w:r>
              <w:rPr>
                <w:rFonts w:hint="eastAsia"/>
                <w:b/>
                <w:bCs/>
                <w:color w:val="auto"/>
                <w:spacing w:val="-4"/>
                <w:sz w:val="24"/>
                <w:szCs w:val="24"/>
              </w:rPr>
              <w:t>、</w:t>
            </w:r>
            <w:r>
              <w:rPr>
                <w:b/>
                <w:color w:val="auto"/>
                <w:sz w:val="24"/>
                <w:szCs w:val="24"/>
              </w:rPr>
              <w:t>地表水环境影响分析</w:t>
            </w:r>
          </w:p>
          <w:p>
            <w:pPr>
              <w:spacing w:line="360" w:lineRule="auto"/>
              <w:ind w:firstLine="480" w:firstLineChars="200"/>
              <w:rPr>
                <w:bCs/>
                <w:color w:val="auto"/>
                <w:sz w:val="24"/>
                <w:szCs w:val="24"/>
                <w:highlight w:val="none"/>
              </w:rPr>
            </w:pPr>
            <w:r>
              <w:rPr>
                <w:rFonts w:hint="eastAsia"/>
                <w:bCs/>
                <w:color w:val="auto"/>
                <w:sz w:val="24"/>
                <w:szCs w:val="24"/>
                <w:highlight w:val="none"/>
              </w:rPr>
              <w:t>本项目运营期无生产废水，仅产生生活污水。生活污水经化粪池预处理达到接管标准，接入杜集经济开发区污水管网，排入龙湖污水处理厂集中处理，处理后尾水达到《城镇污水处理厂污染物排放标准》（GB18918-2002）一级A标准后排放至龙河。</w:t>
            </w:r>
          </w:p>
          <w:p>
            <w:pPr>
              <w:spacing w:line="360" w:lineRule="auto"/>
              <w:ind w:firstLine="466" w:firstLineChars="200"/>
              <w:rPr>
                <w:b/>
                <w:color w:val="auto"/>
                <w:kern w:val="0"/>
                <w:sz w:val="24"/>
                <w:szCs w:val="24"/>
                <w:highlight w:val="none"/>
              </w:rPr>
            </w:pPr>
            <w:r>
              <w:rPr>
                <w:rFonts w:hint="eastAsia"/>
                <w:b/>
                <w:bCs/>
                <w:color w:val="auto"/>
                <w:spacing w:val="-4"/>
                <w:sz w:val="24"/>
                <w:szCs w:val="24"/>
                <w:highlight w:val="none"/>
              </w:rPr>
              <w:t>2.</w:t>
            </w:r>
            <w:r>
              <w:rPr>
                <w:rFonts w:hint="eastAsia"/>
                <w:b/>
                <w:bCs/>
                <w:color w:val="auto"/>
                <w:spacing w:val="-4"/>
                <w:sz w:val="24"/>
                <w:szCs w:val="24"/>
                <w:highlight w:val="none"/>
                <w:lang w:val="en-US" w:eastAsia="zh-CN"/>
              </w:rPr>
              <w:t>6</w:t>
            </w:r>
            <w:r>
              <w:rPr>
                <w:rFonts w:hint="eastAsia"/>
                <w:b/>
                <w:bCs/>
                <w:color w:val="auto"/>
                <w:spacing w:val="-4"/>
                <w:sz w:val="24"/>
                <w:szCs w:val="24"/>
                <w:highlight w:val="none"/>
              </w:rPr>
              <w:t>、</w:t>
            </w:r>
            <w:r>
              <w:rPr>
                <w:b/>
                <w:color w:val="auto"/>
                <w:kern w:val="0"/>
                <w:sz w:val="24"/>
                <w:szCs w:val="24"/>
                <w:highlight w:val="none"/>
              </w:rPr>
              <w:t>废水污染物自行监测计划</w:t>
            </w:r>
          </w:p>
          <w:p>
            <w:pPr>
              <w:spacing w:line="360" w:lineRule="auto"/>
              <w:ind w:firstLine="480" w:firstLineChars="200"/>
              <w:rPr>
                <w:b/>
                <w:color w:val="auto"/>
                <w:kern w:val="0"/>
                <w:sz w:val="24"/>
                <w:szCs w:val="24"/>
              </w:rPr>
            </w:pPr>
            <w:r>
              <w:rPr>
                <w:color w:val="auto"/>
                <w:kern w:val="0"/>
                <w:sz w:val="24"/>
                <w:szCs w:val="24"/>
              </w:rPr>
              <w:t>根据《排污单位自行监测技术指南 总则》（HJ819-2017），结合《环境影响评价技术导则 地表水环境》（HJ2.3-2018）附录G.4，项目环境监测计划及记录信息表如下：</w:t>
            </w:r>
          </w:p>
          <w:p>
            <w:pPr>
              <w:pStyle w:val="55"/>
              <w:spacing w:line="360" w:lineRule="auto"/>
              <w:ind w:firstLine="0"/>
              <w:jc w:val="center"/>
              <w:rPr>
                <w:b/>
                <w:bCs/>
                <w:color w:val="auto"/>
                <w:szCs w:val="24"/>
              </w:rPr>
            </w:pPr>
            <w:r>
              <w:rPr>
                <w:b/>
                <w:color w:val="auto"/>
                <w:kern w:val="0"/>
                <w:sz w:val="24"/>
                <w:szCs w:val="24"/>
              </w:rPr>
              <w:t>表</w:t>
            </w:r>
            <w:r>
              <w:rPr>
                <w:rFonts w:hint="eastAsia"/>
                <w:b/>
                <w:color w:val="auto"/>
                <w:kern w:val="0"/>
                <w:sz w:val="24"/>
                <w:szCs w:val="24"/>
              </w:rPr>
              <w:t>4-1</w:t>
            </w:r>
            <w:r>
              <w:rPr>
                <w:rFonts w:hint="eastAsia"/>
                <w:b/>
                <w:color w:val="auto"/>
                <w:kern w:val="0"/>
                <w:sz w:val="24"/>
                <w:szCs w:val="24"/>
                <w:lang w:val="en-US" w:eastAsia="zh-CN"/>
              </w:rPr>
              <w:t>4</w:t>
            </w:r>
            <w:r>
              <w:rPr>
                <w:rFonts w:hint="eastAsia"/>
                <w:b/>
                <w:color w:val="auto"/>
                <w:kern w:val="0"/>
                <w:sz w:val="24"/>
                <w:szCs w:val="24"/>
              </w:rPr>
              <w:t xml:space="preserve"> </w:t>
            </w:r>
            <w:r>
              <w:rPr>
                <w:b/>
                <w:color w:val="auto"/>
                <w:kern w:val="0"/>
                <w:sz w:val="24"/>
                <w:szCs w:val="24"/>
              </w:rPr>
              <w:t xml:space="preserve"> </w:t>
            </w:r>
            <w:r>
              <w:rPr>
                <w:rFonts w:hint="eastAsia"/>
                <w:b/>
                <w:bCs/>
                <w:color w:val="auto"/>
                <w:sz w:val="24"/>
                <w:szCs w:val="24"/>
              </w:rPr>
              <w:t>废</w:t>
            </w:r>
            <w:r>
              <w:rPr>
                <w:rFonts w:hint="eastAsia" w:ascii="宋体" w:hAnsi="宋体" w:cs="宋体"/>
                <w:b/>
                <w:bCs/>
                <w:color w:val="auto"/>
                <w:sz w:val="24"/>
                <w:szCs w:val="24"/>
              </w:rPr>
              <w:t>水</w:t>
            </w:r>
            <w:r>
              <w:rPr>
                <w:rFonts w:hint="eastAsia"/>
                <w:b/>
                <w:bCs/>
                <w:color w:val="auto"/>
                <w:sz w:val="24"/>
                <w:szCs w:val="24"/>
              </w:rPr>
              <w:t>监测计划内容一览表</w:t>
            </w:r>
          </w:p>
          <w:tbl>
            <w:tblPr>
              <w:tblStyle w:val="35"/>
              <w:tblW w:w="84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7"/>
              <w:gridCol w:w="1167"/>
              <w:gridCol w:w="1186"/>
              <w:gridCol w:w="1104"/>
              <w:gridCol w:w="1106"/>
              <w:gridCol w:w="31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tcBorders>
                    <w:tl2br w:val="nil"/>
                    <w:tr2bl w:val="nil"/>
                  </w:tcBorders>
                  <w:vAlign w:val="center"/>
                </w:tcPr>
                <w:p>
                  <w:pPr>
                    <w:pStyle w:val="55"/>
                    <w:spacing w:line="240" w:lineRule="auto"/>
                    <w:ind w:firstLine="0"/>
                    <w:jc w:val="center"/>
                    <w:rPr>
                      <w:b/>
                      <w:bCs/>
                      <w:color w:val="auto"/>
                      <w:sz w:val="21"/>
                      <w:szCs w:val="21"/>
                    </w:rPr>
                  </w:pPr>
                  <w:r>
                    <w:rPr>
                      <w:rFonts w:hint="eastAsia"/>
                      <w:b/>
                      <w:bCs/>
                      <w:color w:val="auto"/>
                      <w:sz w:val="21"/>
                      <w:szCs w:val="21"/>
                    </w:rPr>
                    <w:t>项目</w:t>
                  </w:r>
                </w:p>
              </w:tc>
              <w:tc>
                <w:tcPr>
                  <w:tcW w:w="1167" w:type="dxa"/>
                  <w:tcBorders>
                    <w:tl2br w:val="nil"/>
                    <w:tr2bl w:val="nil"/>
                  </w:tcBorders>
                  <w:vAlign w:val="center"/>
                </w:tcPr>
                <w:p>
                  <w:pPr>
                    <w:pStyle w:val="55"/>
                    <w:spacing w:line="240" w:lineRule="auto"/>
                    <w:ind w:firstLine="0"/>
                    <w:jc w:val="center"/>
                    <w:rPr>
                      <w:b/>
                      <w:bCs/>
                      <w:color w:val="auto"/>
                      <w:sz w:val="21"/>
                      <w:szCs w:val="21"/>
                    </w:rPr>
                  </w:pPr>
                  <w:r>
                    <w:rPr>
                      <w:rFonts w:hint="eastAsia"/>
                      <w:b/>
                      <w:bCs/>
                      <w:color w:val="auto"/>
                      <w:sz w:val="21"/>
                      <w:szCs w:val="21"/>
                    </w:rPr>
                    <w:t>监测点位</w:t>
                  </w:r>
                </w:p>
              </w:tc>
              <w:tc>
                <w:tcPr>
                  <w:tcW w:w="1186" w:type="dxa"/>
                  <w:tcBorders>
                    <w:tl2br w:val="nil"/>
                    <w:tr2bl w:val="nil"/>
                  </w:tcBorders>
                  <w:vAlign w:val="center"/>
                </w:tcPr>
                <w:p>
                  <w:pPr>
                    <w:pStyle w:val="55"/>
                    <w:spacing w:line="240" w:lineRule="auto"/>
                    <w:ind w:firstLine="0"/>
                    <w:jc w:val="center"/>
                    <w:rPr>
                      <w:b/>
                      <w:bCs/>
                      <w:color w:val="auto"/>
                      <w:sz w:val="21"/>
                      <w:szCs w:val="21"/>
                    </w:rPr>
                  </w:pPr>
                  <w:r>
                    <w:rPr>
                      <w:rFonts w:hint="eastAsia"/>
                      <w:b/>
                      <w:bCs/>
                      <w:color w:val="auto"/>
                      <w:sz w:val="21"/>
                      <w:szCs w:val="21"/>
                    </w:rPr>
                    <w:t>监测因子</w:t>
                  </w:r>
                </w:p>
              </w:tc>
              <w:tc>
                <w:tcPr>
                  <w:tcW w:w="1104" w:type="dxa"/>
                  <w:tcBorders>
                    <w:tl2br w:val="nil"/>
                    <w:tr2bl w:val="nil"/>
                  </w:tcBorders>
                  <w:vAlign w:val="center"/>
                </w:tcPr>
                <w:p>
                  <w:pPr>
                    <w:pStyle w:val="55"/>
                    <w:spacing w:line="240" w:lineRule="auto"/>
                    <w:ind w:firstLine="0"/>
                    <w:jc w:val="center"/>
                    <w:rPr>
                      <w:b/>
                      <w:bCs/>
                      <w:color w:val="auto"/>
                      <w:sz w:val="21"/>
                      <w:szCs w:val="21"/>
                    </w:rPr>
                  </w:pPr>
                  <w:r>
                    <w:rPr>
                      <w:rFonts w:hint="eastAsia"/>
                      <w:b/>
                      <w:bCs/>
                      <w:color w:val="auto"/>
                      <w:sz w:val="21"/>
                      <w:szCs w:val="21"/>
                    </w:rPr>
                    <w:t>取样位置</w:t>
                  </w:r>
                </w:p>
              </w:tc>
              <w:tc>
                <w:tcPr>
                  <w:tcW w:w="1106" w:type="dxa"/>
                  <w:tcBorders>
                    <w:tl2br w:val="nil"/>
                    <w:tr2bl w:val="nil"/>
                  </w:tcBorders>
                  <w:vAlign w:val="center"/>
                </w:tcPr>
                <w:p>
                  <w:pPr>
                    <w:pStyle w:val="55"/>
                    <w:spacing w:line="240" w:lineRule="auto"/>
                    <w:ind w:firstLine="0"/>
                    <w:jc w:val="center"/>
                    <w:rPr>
                      <w:b/>
                      <w:bCs/>
                      <w:color w:val="auto"/>
                      <w:sz w:val="21"/>
                      <w:szCs w:val="21"/>
                    </w:rPr>
                  </w:pPr>
                  <w:r>
                    <w:rPr>
                      <w:rFonts w:hint="eastAsia"/>
                      <w:b/>
                      <w:bCs/>
                      <w:color w:val="auto"/>
                      <w:sz w:val="21"/>
                      <w:szCs w:val="21"/>
                    </w:rPr>
                    <w:t>监测频率</w:t>
                  </w:r>
                </w:p>
              </w:tc>
              <w:tc>
                <w:tcPr>
                  <w:tcW w:w="3147" w:type="dxa"/>
                  <w:tcBorders>
                    <w:tl2br w:val="nil"/>
                    <w:tr2bl w:val="nil"/>
                  </w:tcBorders>
                  <w:vAlign w:val="center"/>
                </w:tcPr>
                <w:p>
                  <w:pPr>
                    <w:pStyle w:val="55"/>
                    <w:spacing w:line="240" w:lineRule="auto"/>
                    <w:ind w:firstLine="0"/>
                    <w:jc w:val="center"/>
                    <w:rPr>
                      <w:b/>
                      <w:bCs/>
                      <w:color w:val="auto"/>
                      <w:sz w:val="21"/>
                      <w:szCs w:val="21"/>
                    </w:rPr>
                  </w:pPr>
                  <w:r>
                    <w:rPr>
                      <w:rFonts w:hint="eastAsia"/>
                      <w:b/>
                      <w:bCs/>
                      <w:color w:val="auto"/>
                      <w:sz w:val="21"/>
                      <w:szCs w:val="21"/>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7" w:type="dxa"/>
                  <w:vMerge w:val="restart"/>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生活污水</w:t>
                  </w:r>
                </w:p>
              </w:tc>
              <w:tc>
                <w:tcPr>
                  <w:tcW w:w="1167" w:type="dxa"/>
                  <w:vMerge w:val="restart"/>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DW001</w:t>
                  </w:r>
                </w:p>
              </w:tc>
              <w:tc>
                <w:tcPr>
                  <w:tcW w:w="1186" w:type="dxa"/>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pH</w:t>
                  </w:r>
                </w:p>
              </w:tc>
              <w:tc>
                <w:tcPr>
                  <w:tcW w:w="1104" w:type="dxa"/>
                  <w:vMerge w:val="restart"/>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DW001出水口</w:t>
                  </w:r>
                </w:p>
              </w:tc>
              <w:tc>
                <w:tcPr>
                  <w:tcW w:w="1106" w:type="dxa"/>
                  <w:vMerge w:val="restart"/>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1次/年</w:t>
                  </w:r>
                </w:p>
              </w:tc>
              <w:tc>
                <w:tcPr>
                  <w:tcW w:w="3147" w:type="dxa"/>
                  <w:vMerge w:val="restart"/>
                  <w:tcBorders>
                    <w:tl2br w:val="nil"/>
                    <w:tr2bl w:val="nil"/>
                  </w:tcBorders>
                  <w:vAlign w:val="center"/>
                </w:tcPr>
                <w:p>
                  <w:pPr>
                    <w:pStyle w:val="55"/>
                    <w:spacing w:line="240" w:lineRule="auto"/>
                    <w:ind w:firstLine="0"/>
                    <w:jc w:val="center"/>
                    <w:rPr>
                      <w:color w:val="auto"/>
                      <w:sz w:val="21"/>
                      <w:szCs w:val="21"/>
                    </w:rPr>
                  </w:pPr>
                  <w:r>
                    <w:rPr>
                      <w:color w:val="auto"/>
                      <w:sz w:val="21"/>
                      <w:szCs w:val="21"/>
                    </w:rPr>
                    <w:t>《污水综合排放标准》（GB8978-1996）表4中三级标准及</w:t>
                  </w:r>
                  <w:r>
                    <w:rPr>
                      <w:rFonts w:hint="eastAsia"/>
                      <w:bCs/>
                      <w:color w:val="auto"/>
                      <w:sz w:val="21"/>
                      <w:szCs w:val="21"/>
                    </w:rPr>
                    <w:t>龙湖污水处理厂</w:t>
                  </w:r>
                  <w:r>
                    <w:rPr>
                      <w:color w:val="auto"/>
                      <w:sz w:val="21"/>
                      <w:szCs w:val="21"/>
                    </w:rPr>
                    <w:t>接管</w:t>
                  </w:r>
                  <w:r>
                    <w:rPr>
                      <w:rFonts w:hint="eastAsia"/>
                      <w:color w:val="auto"/>
                      <w:sz w:val="21"/>
                      <w:szCs w:val="21"/>
                    </w:rPr>
                    <w:t>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7" w:type="dxa"/>
                  <w:vMerge w:val="continue"/>
                  <w:tcBorders>
                    <w:tl2br w:val="nil"/>
                    <w:tr2bl w:val="nil"/>
                  </w:tcBorders>
                  <w:vAlign w:val="center"/>
                </w:tcPr>
                <w:p>
                  <w:pPr>
                    <w:pStyle w:val="55"/>
                    <w:spacing w:line="240" w:lineRule="auto"/>
                    <w:ind w:firstLine="0"/>
                    <w:jc w:val="center"/>
                    <w:rPr>
                      <w:color w:val="auto"/>
                    </w:rPr>
                  </w:pPr>
                </w:p>
              </w:tc>
              <w:tc>
                <w:tcPr>
                  <w:tcW w:w="1167" w:type="dxa"/>
                  <w:vMerge w:val="continue"/>
                  <w:tcBorders>
                    <w:tl2br w:val="nil"/>
                    <w:tr2bl w:val="nil"/>
                  </w:tcBorders>
                  <w:vAlign w:val="center"/>
                </w:tcPr>
                <w:p>
                  <w:pPr>
                    <w:pStyle w:val="55"/>
                    <w:spacing w:line="240" w:lineRule="auto"/>
                    <w:ind w:firstLine="0"/>
                    <w:jc w:val="center"/>
                    <w:rPr>
                      <w:color w:val="auto"/>
                    </w:rPr>
                  </w:pPr>
                </w:p>
              </w:tc>
              <w:tc>
                <w:tcPr>
                  <w:tcW w:w="1186" w:type="dxa"/>
                  <w:tcBorders>
                    <w:tl2br w:val="nil"/>
                    <w:tr2bl w:val="nil"/>
                  </w:tcBorders>
                  <w:vAlign w:val="center"/>
                </w:tcPr>
                <w:p>
                  <w:pPr>
                    <w:pStyle w:val="55"/>
                    <w:spacing w:line="240" w:lineRule="auto"/>
                    <w:ind w:firstLine="0"/>
                    <w:jc w:val="center"/>
                    <w:rPr>
                      <w:color w:val="auto"/>
                    </w:rPr>
                  </w:pPr>
                  <w:r>
                    <w:rPr>
                      <w:rFonts w:hint="eastAsia"/>
                      <w:color w:val="auto"/>
                      <w:sz w:val="21"/>
                      <w:szCs w:val="21"/>
                    </w:rPr>
                    <w:t>COD</w:t>
                  </w:r>
                </w:p>
              </w:tc>
              <w:tc>
                <w:tcPr>
                  <w:tcW w:w="1104" w:type="dxa"/>
                  <w:vMerge w:val="continue"/>
                  <w:tcBorders>
                    <w:tl2br w:val="nil"/>
                    <w:tr2bl w:val="nil"/>
                  </w:tcBorders>
                  <w:vAlign w:val="center"/>
                </w:tcPr>
                <w:p>
                  <w:pPr>
                    <w:pStyle w:val="55"/>
                    <w:spacing w:line="240" w:lineRule="auto"/>
                    <w:ind w:firstLine="0"/>
                    <w:jc w:val="center"/>
                    <w:rPr>
                      <w:color w:val="auto"/>
                      <w:sz w:val="21"/>
                      <w:szCs w:val="21"/>
                    </w:rPr>
                  </w:pPr>
                </w:p>
              </w:tc>
              <w:tc>
                <w:tcPr>
                  <w:tcW w:w="1106" w:type="dxa"/>
                  <w:vMerge w:val="continue"/>
                  <w:tcBorders>
                    <w:tl2br w:val="nil"/>
                    <w:tr2bl w:val="nil"/>
                  </w:tcBorders>
                  <w:vAlign w:val="center"/>
                </w:tcPr>
                <w:p>
                  <w:pPr>
                    <w:pStyle w:val="55"/>
                    <w:spacing w:line="240" w:lineRule="auto"/>
                    <w:ind w:firstLine="0"/>
                    <w:jc w:val="center"/>
                    <w:rPr>
                      <w:color w:val="auto"/>
                      <w:sz w:val="21"/>
                      <w:szCs w:val="21"/>
                    </w:rPr>
                  </w:pPr>
                </w:p>
              </w:tc>
              <w:tc>
                <w:tcPr>
                  <w:tcW w:w="3147" w:type="dxa"/>
                  <w:vMerge w:val="continue"/>
                  <w:tcBorders>
                    <w:tl2br w:val="nil"/>
                    <w:tr2bl w:val="nil"/>
                  </w:tcBorders>
                  <w:vAlign w:val="center"/>
                </w:tcPr>
                <w:p>
                  <w:pPr>
                    <w:pStyle w:val="55"/>
                    <w:spacing w:line="240" w:lineRule="auto"/>
                    <w:ind w:firstLine="0"/>
                    <w:jc w:val="center"/>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7" w:type="dxa"/>
                  <w:vMerge w:val="continue"/>
                  <w:tcBorders>
                    <w:tl2br w:val="nil"/>
                    <w:tr2bl w:val="nil"/>
                  </w:tcBorders>
                  <w:vAlign w:val="center"/>
                </w:tcPr>
                <w:p>
                  <w:pPr>
                    <w:pStyle w:val="55"/>
                    <w:spacing w:line="240" w:lineRule="auto"/>
                    <w:ind w:firstLine="0"/>
                    <w:jc w:val="center"/>
                    <w:rPr>
                      <w:color w:val="auto"/>
                      <w:sz w:val="21"/>
                      <w:szCs w:val="21"/>
                    </w:rPr>
                  </w:pPr>
                </w:p>
              </w:tc>
              <w:tc>
                <w:tcPr>
                  <w:tcW w:w="1167" w:type="dxa"/>
                  <w:vMerge w:val="continue"/>
                  <w:tcBorders>
                    <w:tl2br w:val="nil"/>
                    <w:tr2bl w:val="nil"/>
                  </w:tcBorders>
                  <w:vAlign w:val="center"/>
                </w:tcPr>
                <w:p>
                  <w:pPr>
                    <w:pStyle w:val="55"/>
                    <w:spacing w:line="240" w:lineRule="auto"/>
                    <w:ind w:firstLine="0"/>
                    <w:jc w:val="center"/>
                    <w:rPr>
                      <w:color w:val="auto"/>
                      <w:sz w:val="21"/>
                      <w:szCs w:val="21"/>
                    </w:rPr>
                  </w:pPr>
                </w:p>
              </w:tc>
              <w:tc>
                <w:tcPr>
                  <w:tcW w:w="1186" w:type="dxa"/>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NH</w:t>
                  </w:r>
                  <w:r>
                    <w:rPr>
                      <w:rFonts w:hint="eastAsia"/>
                      <w:color w:val="auto"/>
                      <w:sz w:val="21"/>
                      <w:szCs w:val="21"/>
                      <w:vertAlign w:val="subscript"/>
                    </w:rPr>
                    <w:t>3</w:t>
                  </w:r>
                  <w:r>
                    <w:rPr>
                      <w:rFonts w:hint="eastAsia" w:ascii="宋体" w:hAnsi="宋体" w:cs="宋体"/>
                      <w:color w:val="auto"/>
                      <w:sz w:val="21"/>
                      <w:szCs w:val="21"/>
                    </w:rPr>
                    <w:t>-</w:t>
                  </w:r>
                  <w:r>
                    <w:rPr>
                      <w:rFonts w:hint="eastAsia"/>
                      <w:color w:val="auto"/>
                      <w:sz w:val="21"/>
                      <w:szCs w:val="21"/>
                    </w:rPr>
                    <w:t>N</w:t>
                  </w:r>
                </w:p>
              </w:tc>
              <w:tc>
                <w:tcPr>
                  <w:tcW w:w="1104" w:type="dxa"/>
                  <w:vMerge w:val="continue"/>
                  <w:tcBorders>
                    <w:tl2br w:val="nil"/>
                    <w:tr2bl w:val="nil"/>
                  </w:tcBorders>
                  <w:vAlign w:val="center"/>
                </w:tcPr>
                <w:p>
                  <w:pPr>
                    <w:pStyle w:val="55"/>
                    <w:spacing w:line="240" w:lineRule="auto"/>
                    <w:ind w:firstLine="0"/>
                    <w:jc w:val="center"/>
                    <w:rPr>
                      <w:color w:val="auto"/>
                      <w:sz w:val="21"/>
                      <w:szCs w:val="21"/>
                    </w:rPr>
                  </w:pPr>
                </w:p>
              </w:tc>
              <w:tc>
                <w:tcPr>
                  <w:tcW w:w="1106" w:type="dxa"/>
                  <w:vMerge w:val="continue"/>
                  <w:tcBorders>
                    <w:tl2br w:val="nil"/>
                    <w:tr2bl w:val="nil"/>
                  </w:tcBorders>
                  <w:vAlign w:val="center"/>
                </w:tcPr>
                <w:p>
                  <w:pPr>
                    <w:pStyle w:val="55"/>
                    <w:spacing w:line="240" w:lineRule="auto"/>
                    <w:ind w:firstLine="0"/>
                    <w:jc w:val="center"/>
                    <w:rPr>
                      <w:color w:val="auto"/>
                      <w:sz w:val="21"/>
                      <w:szCs w:val="21"/>
                    </w:rPr>
                  </w:pPr>
                </w:p>
              </w:tc>
              <w:tc>
                <w:tcPr>
                  <w:tcW w:w="3147" w:type="dxa"/>
                  <w:vMerge w:val="continue"/>
                  <w:tcBorders>
                    <w:tl2br w:val="nil"/>
                    <w:tr2bl w:val="nil"/>
                  </w:tcBorders>
                  <w:vAlign w:val="center"/>
                </w:tcPr>
                <w:p>
                  <w:pPr>
                    <w:pStyle w:val="55"/>
                    <w:spacing w:line="240" w:lineRule="auto"/>
                    <w:ind w:firstLine="0"/>
                    <w:jc w:val="center"/>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7" w:type="dxa"/>
                  <w:vMerge w:val="continue"/>
                  <w:tcBorders>
                    <w:tl2br w:val="nil"/>
                    <w:tr2bl w:val="nil"/>
                  </w:tcBorders>
                  <w:vAlign w:val="center"/>
                </w:tcPr>
                <w:p>
                  <w:pPr>
                    <w:pStyle w:val="55"/>
                    <w:spacing w:line="240" w:lineRule="auto"/>
                    <w:ind w:firstLine="0"/>
                    <w:jc w:val="center"/>
                    <w:rPr>
                      <w:color w:val="auto"/>
                      <w:sz w:val="21"/>
                      <w:szCs w:val="21"/>
                    </w:rPr>
                  </w:pPr>
                </w:p>
              </w:tc>
              <w:tc>
                <w:tcPr>
                  <w:tcW w:w="1167" w:type="dxa"/>
                  <w:vMerge w:val="continue"/>
                  <w:tcBorders>
                    <w:tl2br w:val="nil"/>
                    <w:tr2bl w:val="nil"/>
                  </w:tcBorders>
                  <w:vAlign w:val="center"/>
                </w:tcPr>
                <w:p>
                  <w:pPr>
                    <w:pStyle w:val="55"/>
                    <w:spacing w:line="240" w:lineRule="auto"/>
                    <w:ind w:firstLine="0"/>
                    <w:jc w:val="center"/>
                    <w:rPr>
                      <w:color w:val="auto"/>
                      <w:sz w:val="21"/>
                      <w:szCs w:val="21"/>
                    </w:rPr>
                  </w:pPr>
                </w:p>
              </w:tc>
              <w:tc>
                <w:tcPr>
                  <w:tcW w:w="1186" w:type="dxa"/>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SS</w:t>
                  </w:r>
                </w:p>
              </w:tc>
              <w:tc>
                <w:tcPr>
                  <w:tcW w:w="1104" w:type="dxa"/>
                  <w:vMerge w:val="continue"/>
                  <w:tcBorders>
                    <w:tl2br w:val="nil"/>
                    <w:tr2bl w:val="nil"/>
                  </w:tcBorders>
                  <w:vAlign w:val="center"/>
                </w:tcPr>
                <w:p>
                  <w:pPr>
                    <w:pStyle w:val="55"/>
                    <w:spacing w:line="240" w:lineRule="auto"/>
                    <w:ind w:firstLine="0"/>
                    <w:jc w:val="center"/>
                    <w:rPr>
                      <w:color w:val="auto"/>
                      <w:sz w:val="21"/>
                      <w:szCs w:val="21"/>
                    </w:rPr>
                  </w:pPr>
                </w:p>
              </w:tc>
              <w:tc>
                <w:tcPr>
                  <w:tcW w:w="1106" w:type="dxa"/>
                  <w:vMerge w:val="continue"/>
                  <w:tcBorders>
                    <w:tl2br w:val="nil"/>
                    <w:tr2bl w:val="nil"/>
                  </w:tcBorders>
                  <w:vAlign w:val="center"/>
                </w:tcPr>
                <w:p>
                  <w:pPr>
                    <w:pStyle w:val="55"/>
                    <w:spacing w:line="240" w:lineRule="auto"/>
                    <w:ind w:firstLine="0"/>
                    <w:jc w:val="center"/>
                    <w:rPr>
                      <w:color w:val="auto"/>
                      <w:sz w:val="21"/>
                      <w:szCs w:val="21"/>
                    </w:rPr>
                  </w:pPr>
                </w:p>
              </w:tc>
              <w:tc>
                <w:tcPr>
                  <w:tcW w:w="3147" w:type="dxa"/>
                  <w:vMerge w:val="continue"/>
                  <w:tcBorders>
                    <w:tl2br w:val="nil"/>
                    <w:tr2bl w:val="nil"/>
                  </w:tcBorders>
                  <w:vAlign w:val="center"/>
                </w:tcPr>
                <w:p>
                  <w:pPr>
                    <w:pStyle w:val="55"/>
                    <w:spacing w:line="240" w:lineRule="auto"/>
                    <w:ind w:firstLine="0"/>
                    <w:jc w:val="center"/>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7" w:type="dxa"/>
                  <w:vMerge w:val="continue"/>
                  <w:tcBorders>
                    <w:tl2br w:val="nil"/>
                    <w:tr2bl w:val="nil"/>
                  </w:tcBorders>
                  <w:vAlign w:val="center"/>
                </w:tcPr>
                <w:p>
                  <w:pPr>
                    <w:pStyle w:val="55"/>
                    <w:spacing w:line="240" w:lineRule="auto"/>
                    <w:ind w:firstLine="0"/>
                    <w:jc w:val="center"/>
                    <w:rPr>
                      <w:color w:val="auto"/>
                      <w:sz w:val="21"/>
                      <w:szCs w:val="21"/>
                    </w:rPr>
                  </w:pPr>
                </w:p>
              </w:tc>
              <w:tc>
                <w:tcPr>
                  <w:tcW w:w="1167" w:type="dxa"/>
                  <w:vMerge w:val="continue"/>
                  <w:tcBorders>
                    <w:tl2br w:val="nil"/>
                    <w:tr2bl w:val="nil"/>
                  </w:tcBorders>
                  <w:vAlign w:val="center"/>
                </w:tcPr>
                <w:p>
                  <w:pPr>
                    <w:pStyle w:val="55"/>
                    <w:spacing w:line="240" w:lineRule="auto"/>
                    <w:ind w:firstLine="0"/>
                    <w:jc w:val="center"/>
                    <w:rPr>
                      <w:color w:val="auto"/>
                      <w:sz w:val="21"/>
                      <w:szCs w:val="21"/>
                    </w:rPr>
                  </w:pPr>
                </w:p>
              </w:tc>
              <w:tc>
                <w:tcPr>
                  <w:tcW w:w="1186" w:type="dxa"/>
                  <w:tcBorders>
                    <w:tl2br w:val="nil"/>
                    <w:tr2bl w:val="nil"/>
                  </w:tcBorders>
                  <w:vAlign w:val="center"/>
                </w:tcPr>
                <w:p>
                  <w:pPr>
                    <w:pStyle w:val="55"/>
                    <w:spacing w:line="240" w:lineRule="auto"/>
                    <w:ind w:firstLine="0"/>
                    <w:jc w:val="center"/>
                    <w:rPr>
                      <w:color w:val="auto"/>
                      <w:sz w:val="21"/>
                      <w:szCs w:val="21"/>
                    </w:rPr>
                  </w:pPr>
                  <w:r>
                    <w:rPr>
                      <w:rFonts w:hint="eastAsia"/>
                      <w:color w:val="auto"/>
                      <w:sz w:val="21"/>
                      <w:szCs w:val="21"/>
                    </w:rPr>
                    <w:t>BOD</w:t>
                  </w:r>
                  <w:r>
                    <w:rPr>
                      <w:rFonts w:hint="eastAsia"/>
                      <w:color w:val="auto"/>
                      <w:sz w:val="21"/>
                      <w:szCs w:val="21"/>
                      <w:vertAlign w:val="subscript"/>
                    </w:rPr>
                    <w:t>5</w:t>
                  </w:r>
                </w:p>
              </w:tc>
              <w:tc>
                <w:tcPr>
                  <w:tcW w:w="1104" w:type="dxa"/>
                  <w:vMerge w:val="continue"/>
                  <w:tcBorders>
                    <w:tl2br w:val="nil"/>
                    <w:tr2bl w:val="nil"/>
                  </w:tcBorders>
                  <w:vAlign w:val="center"/>
                </w:tcPr>
                <w:p>
                  <w:pPr>
                    <w:pStyle w:val="55"/>
                    <w:spacing w:line="240" w:lineRule="auto"/>
                    <w:ind w:firstLine="0"/>
                    <w:jc w:val="center"/>
                    <w:rPr>
                      <w:color w:val="auto"/>
                      <w:sz w:val="21"/>
                      <w:szCs w:val="21"/>
                    </w:rPr>
                  </w:pPr>
                </w:p>
              </w:tc>
              <w:tc>
                <w:tcPr>
                  <w:tcW w:w="1106" w:type="dxa"/>
                  <w:vMerge w:val="continue"/>
                  <w:tcBorders>
                    <w:tl2br w:val="nil"/>
                    <w:tr2bl w:val="nil"/>
                  </w:tcBorders>
                  <w:vAlign w:val="center"/>
                </w:tcPr>
                <w:p>
                  <w:pPr>
                    <w:pStyle w:val="55"/>
                    <w:spacing w:line="240" w:lineRule="auto"/>
                    <w:ind w:firstLine="0"/>
                    <w:jc w:val="center"/>
                    <w:rPr>
                      <w:color w:val="auto"/>
                      <w:sz w:val="21"/>
                      <w:szCs w:val="21"/>
                    </w:rPr>
                  </w:pPr>
                </w:p>
              </w:tc>
              <w:tc>
                <w:tcPr>
                  <w:tcW w:w="3147" w:type="dxa"/>
                  <w:vMerge w:val="continue"/>
                  <w:tcBorders>
                    <w:tl2br w:val="nil"/>
                    <w:tr2bl w:val="nil"/>
                  </w:tcBorders>
                  <w:vAlign w:val="center"/>
                </w:tcPr>
                <w:p>
                  <w:pPr>
                    <w:pStyle w:val="55"/>
                    <w:spacing w:line="240" w:lineRule="auto"/>
                    <w:ind w:firstLine="0"/>
                    <w:jc w:val="center"/>
                    <w:rPr>
                      <w:color w:val="auto"/>
                      <w:sz w:val="21"/>
                      <w:szCs w:val="21"/>
                    </w:rPr>
                  </w:pPr>
                </w:p>
              </w:tc>
            </w:tr>
          </w:tbl>
          <w:p>
            <w:pPr>
              <w:spacing w:line="360" w:lineRule="auto"/>
              <w:ind w:firstLine="482" w:firstLineChars="200"/>
              <w:jc w:val="left"/>
              <w:rPr>
                <w:b/>
                <w:color w:val="auto"/>
                <w:sz w:val="24"/>
                <w:szCs w:val="24"/>
              </w:rPr>
            </w:pPr>
            <w:r>
              <w:rPr>
                <w:b/>
                <w:color w:val="auto"/>
                <w:sz w:val="24"/>
                <w:szCs w:val="24"/>
              </w:rPr>
              <w:t>3噪声</w:t>
            </w:r>
          </w:p>
          <w:p>
            <w:pPr>
              <w:spacing w:line="360" w:lineRule="auto"/>
              <w:ind w:left="482"/>
              <w:jc w:val="left"/>
              <w:rPr>
                <w:b/>
                <w:color w:val="auto"/>
                <w:sz w:val="24"/>
                <w:szCs w:val="24"/>
              </w:rPr>
            </w:pPr>
            <w:r>
              <w:rPr>
                <w:rFonts w:hint="eastAsia"/>
                <w:b/>
                <w:color w:val="auto"/>
                <w:sz w:val="24"/>
                <w:szCs w:val="24"/>
              </w:rPr>
              <w:t>3.1主要噪声源</w:t>
            </w:r>
          </w:p>
          <w:p>
            <w:pPr>
              <w:spacing w:line="360" w:lineRule="auto"/>
              <w:ind w:firstLine="480" w:firstLineChars="200"/>
              <w:rPr>
                <w:rFonts w:hint="default" w:ascii="Times New Roman" w:hAnsi="Times New Roman" w:cs="Times New Roman"/>
                <w:b/>
                <w:bCs/>
                <w:color w:val="auto"/>
                <w:sz w:val="24"/>
                <w:szCs w:val="24"/>
                <w:lang w:bidi="en-US"/>
              </w:rPr>
            </w:pPr>
            <w:r>
              <w:rPr>
                <w:rFonts w:hint="default" w:ascii="Times New Roman" w:hAnsi="Times New Roman" w:cs="Times New Roman"/>
                <w:color w:val="auto"/>
                <w:sz w:val="24"/>
                <w:szCs w:val="24"/>
              </w:rPr>
              <w:t>本项目投产后噪声源主要为设备噪声，如电焊机、</w:t>
            </w:r>
            <w:r>
              <w:rPr>
                <w:rFonts w:hint="eastAsia" w:ascii="Times New Roman" w:hAnsi="Times New Roman" w:cs="Times New Roman"/>
                <w:color w:val="auto"/>
                <w:sz w:val="24"/>
                <w:szCs w:val="24"/>
                <w:lang w:val="en-US" w:eastAsia="zh-CN"/>
              </w:rPr>
              <w:t>切割</w:t>
            </w:r>
            <w:r>
              <w:rPr>
                <w:rFonts w:hint="default" w:ascii="Times New Roman" w:hAnsi="Times New Roman" w:cs="Times New Roman"/>
                <w:color w:val="auto"/>
                <w:sz w:val="24"/>
                <w:szCs w:val="24"/>
              </w:rPr>
              <w:t>机、</w:t>
            </w:r>
            <w:r>
              <w:rPr>
                <w:rFonts w:hint="eastAsia" w:ascii="Times New Roman" w:hAnsi="Times New Roman" w:cs="Times New Roman"/>
                <w:color w:val="auto"/>
                <w:sz w:val="24"/>
                <w:szCs w:val="24"/>
                <w:lang w:val="en-US" w:eastAsia="zh-CN"/>
              </w:rPr>
              <w:t>卷管</w:t>
            </w:r>
            <w:r>
              <w:rPr>
                <w:rFonts w:hint="default" w:ascii="Times New Roman" w:hAnsi="Times New Roman" w:cs="Times New Roman"/>
                <w:color w:val="auto"/>
                <w:sz w:val="24"/>
                <w:szCs w:val="24"/>
              </w:rPr>
              <w:t>机、抛丸设备等，噪声值约</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5 dB（A）。各噪声源的等效声级见下表。</w:t>
            </w:r>
          </w:p>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szCs w:val="21"/>
                <w:highlight w:val="none"/>
              </w:rPr>
            </w:pPr>
            <w:r>
              <w:rPr>
                <w:rFonts w:hint="eastAsia" w:hAnsi="宋体" w:cs="宋体"/>
                <w:b/>
                <w:bCs/>
                <w:color w:val="auto"/>
                <w:sz w:val="24"/>
                <w:szCs w:val="24"/>
                <w:lang w:bidi="en-US"/>
              </w:rPr>
              <w:t>表4-</w:t>
            </w:r>
            <w:r>
              <w:rPr>
                <w:rFonts w:hint="eastAsia" w:hAnsi="宋体" w:cs="宋体"/>
                <w:b/>
                <w:bCs/>
                <w:color w:val="auto"/>
                <w:sz w:val="24"/>
                <w:szCs w:val="24"/>
                <w:lang w:val="en-US" w:eastAsia="zh-CN" w:bidi="en-US"/>
              </w:rPr>
              <w:t>15</w:t>
            </w:r>
            <w:r>
              <w:rPr>
                <w:rFonts w:hint="eastAsia" w:hAnsi="宋体" w:cs="宋体"/>
                <w:b/>
                <w:bCs/>
                <w:color w:val="auto"/>
                <w:sz w:val="24"/>
                <w:szCs w:val="24"/>
                <w:lang w:bidi="en-US"/>
              </w:rPr>
              <w:t xml:space="preserve">  </w:t>
            </w:r>
            <w:r>
              <w:rPr>
                <w:rFonts w:hint="eastAsia" w:hAnsi="宋体" w:cs="宋体"/>
                <w:b/>
                <w:bCs/>
                <w:color w:val="auto"/>
                <w:sz w:val="24"/>
                <w:szCs w:val="24"/>
                <w:lang w:val="en-US" w:eastAsia="zh-CN" w:bidi="en-US"/>
              </w:rPr>
              <w:t xml:space="preserve"> </w:t>
            </w:r>
            <w:r>
              <w:rPr>
                <w:rFonts w:hint="eastAsia" w:hAnsi="宋体" w:cs="宋体"/>
                <w:b/>
                <w:bCs/>
                <w:color w:val="auto"/>
                <w:sz w:val="24"/>
                <w:szCs w:val="24"/>
                <w:lang w:bidi="en-US"/>
              </w:rPr>
              <w:t>噪声源噪声级及降噪效果</w:t>
            </w:r>
          </w:p>
          <w:tbl>
            <w:tblPr>
              <w:tblStyle w:val="34"/>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
              <w:gridCol w:w="734"/>
              <w:gridCol w:w="1093"/>
              <w:gridCol w:w="748"/>
              <w:gridCol w:w="1026"/>
              <w:gridCol w:w="2028"/>
              <w:gridCol w:w="1290"/>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439"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序号</w:t>
                  </w:r>
                </w:p>
              </w:tc>
              <w:tc>
                <w:tcPr>
                  <w:tcW w:w="73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声源位置</w:t>
                  </w:r>
                </w:p>
              </w:tc>
              <w:tc>
                <w:tcPr>
                  <w:tcW w:w="109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噪声源名称</w:t>
                  </w:r>
                </w:p>
              </w:tc>
              <w:tc>
                <w:tcPr>
                  <w:tcW w:w="748" w:type="dxa"/>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数量</w:t>
                  </w:r>
                </w:p>
                <w:p>
                  <w:pPr>
                    <w:snapToGrid w:val="0"/>
                    <w:spacing w:line="240" w:lineRule="auto"/>
                    <w:ind w:left="-105" w:leftChars="-50" w:right="-105"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（台/套）</w:t>
                  </w:r>
                </w:p>
              </w:tc>
              <w:tc>
                <w:tcPr>
                  <w:tcW w:w="1026" w:type="dxa"/>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单台设备噪声dB（A）</w:t>
                  </w:r>
                </w:p>
              </w:tc>
              <w:tc>
                <w:tcPr>
                  <w:tcW w:w="2028" w:type="dxa"/>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距离厂界（m）</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治理措施</w:t>
                  </w:r>
                </w:p>
              </w:tc>
              <w:tc>
                <w:tcPr>
                  <w:tcW w:w="938" w:type="dxa"/>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降噪效果dB（A）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卷板机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w:t>
                  </w:r>
                  <w:r>
                    <w:rPr>
                      <w:rFonts w:hint="eastAsia"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val="en-US" w:eastAsia="zh-CN"/>
                    </w:rPr>
                    <w:t>0；南厂界：</w:t>
                  </w:r>
                  <w:r>
                    <w:rPr>
                      <w:rFonts w:hint="eastAsia" w:ascii="Times New Roman" w:hAnsi="Times New Roman" w:eastAsia="宋体" w:cs="Times New Roman"/>
                      <w:b w:val="0"/>
                      <w:bCs/>
                      <w:color w:val="auto"/>
                      <w:sz w:val="21"/>
                      <w:szCs w:val="21"/>
                      <w:lang w:val="en-US" w:eastAsia="zh-CN"/>
                    </w:rPr>
                    <w:t>90</w:t>
                  </w:r>
                  <w:r>
                    <w:rPr>
                      <w:rFonts w:hint="default" w:ascii="Times New Roman" w:hAnsi="Times New Roman" w:eastAsia="宋体" w:cs="Times New Roman"/>
                      <w:b w:val="0"/>
                      <w:bCs/>
                      <w:color w:val="auto"/>
                      <w:sz w:val="21"/>
                      <w:szCs w:val="21"/>
                      <w:lang w:val="en-US" w:eastAsia="zh-CN"/>
                    </w:rPr>
                    <w:t>；西厂界：</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0；北厂界</w:t>
                  </w:r>
                  <w:r>
                    <w:rPr>
                      <w:rFonts w:hint="eastAsia" w:ascii="Times New Roman" w:hAnsi="Times New Roman" w:eastAsia="宋体" w:cs="Times New Roman"/>
                      <w:b w:val="0"/>
                      <w:bCs/>
                      <w:color w:val="auto"/>
                      <w:sz w:val="21"/>
                      <w:szCs w:val="21"/>
                      <w:lang w:val="en-US" w:eastAsia="zh-CN"/>
                    </w:rPr>
                    <w:t>20</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rPr>
                  </w:pPr>
                  <w:r>
                    <w:rPr>
                      <w:rFonts w:hint="default" w:ascii="Times New Roman" w:hAnsi="Times New Roman" w:eastAsia="宋体" w:cs="Times New Roman"/>
                      <w:b w:val="0"/>
                      <w:bCs/>
                      <w:color w:val="auto"/>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bottom w:val="single" w:color="auto" w:sz="4" w:space="0"/>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734" w:type="dxa"/>
                  <w:tcBorders>
                    <w:bottom w:val="single" w:color="auto" w:sz="4" w:space="0"/>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卷管机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11</w:t>
                  </w:r>
                  <w:r>
                    <w:rPr>
                      <w:rFonts w:hint="default" w:ascii="Times New Roman" w:hAnsi="Times New Roman" w:eastAsia="宋体" w:cs="Times New Roman"/>
                      <w:b w:val="0"/>
                      <w:bCs/>
                      <w:color w:val="auto"/>
                      <w:sz w:val="21"/>
                      <w:szCs w:val="21"/>
                      <w:lang w:val="en-US" w:eastAsia="zh-CN"/>
                    </w:rPr>
                    <w:t>0；南厂界：</w:t>
                  </w:r>
                  <w:r>
                    <w:rPr>
                      <w:rFonts w:hint="eastAsia" w:ascii="Times New Roman" w:hAnsi="Times New Roman" w:eastAsia="宋体" w:cs="Times New Roman"/>
                      <w:b w:val="0"/>
                      <w:bCs/>
                      <w:color w:val="auto"/>
                      <w:sz w:val="21"/>
                      <w:szCs w:val="21"/>
                      <w:lang w:val="en-US" w:eastAsia="zh-CN"/>
                    </w:rPr>
                    <w:t>90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0；北厂界</w:t>
                  </w:r>
                  <w:r>
                    <w:rPr>
                      <w:rFonts w:hint="eastAsia" w:ascii="Times New Roman" w:hAnsi="Times New Roman" w:eastAsia="宋体" w:cs="Times New Roman"/>
                      <w:b w:val="0"/>
                      <w:bCs/>
                      <w:color w:val="auto"/>
                      <w:sz w:val="21"/>
                      <w:szCs w:val="21"/>
                      <w:lang w:val="en-US" w:eastAsia="zh-CN"/>
                    </w:rPr>
                    <w:t>20</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op w:val="single" w:color="auto" w:sz="4" w:space="0"/>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3</w:t>
                  </w:r>
                </w:p>
              </w:tc>
              <w:tc>
                <w:tcPr>
                  <w:tcW w:w="734" w:type="dxa"/>
                  <w:tcBorders>
                    <w:top w:val="single" w:color="auto" w:sz="4" w:space="0"/>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剪板机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东厂界：20；南厂界：</w:t>
                  </w:r>
                  <w:r>
                    <w:rPr>
                      <w:rFonts w:hint="eastAsia" w:cs="Times New Roman"/>
                      <w:b w:val="0"/>
                      <w:bCs/>
                      <w:color w:val="auto"/>
                      <w:sz w:val="21"/>
                      <w:szCs w:val="21"/>
                      <w:lang w:val="en-US" w:eastAsia="zh-CN"/>
                    </w:rPr>
                    <w:t>10</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19</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op w:val="single" w:color="auto" w:sz="4" w:space="0"/>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4</w:t>
                  </w:r>
                </w:p>
              </w:tc>
              <w:tc>
                <w:tcPr>
                  <w:tcW w:w="734" w:type="dxa"/>
                  <w:tcBorders>
                    <w:top w:val="single" w:color="auto" w:sz="4" w:space="0"/>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折边机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11</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ascii="Times New Roman" w:hAnsi="Times New Roman" w:eastAsia="宋体" w:cs="Times New Roman"/>
                      <w:b w:val="0"/>
                      <w:bCs/>
                      <w:color w:val="auto"/>
                      <w:sz w:val="21"/>
                      <w:szCs w:val="21"/>
                      <w:lang w:val="en-US" w:eastAsia="zh-CN"/>
                    </w:rPr>
                    <w:t>1</w:t>
                  </w:r>
                  <w:r>
                    <w:rPr>
                      <w:rFonts w:hint="eastAsia"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18</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5</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切割机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80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11</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10</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19</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6</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全自动切割机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w:t>
                  </w:r>
                  <w:r>
                    <w:rPr>
                      <w:rFonts w:hint="eastAsia" w:ascii="Times New Roman" w:hAnsi="Times New Roman" w:eastAsia="宋体" w:cs="Times New Roman"/>
                      <w:b w:val="0"/>
                      <w:bCs/>
                      <w:color w:val="auto"/>
                      <w:sz w:val="21"/>
                      <w:szCs w:val="21"/>
                      <w:lang w:val="en-US" w:eastAsia="zh-CN"/>
                    </w:rPr>
                    <w:t>0</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11</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11</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18</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7</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zh-CN"/>
                    </w:rPr>
                    <w:t>钻床</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zh-CN"/>
                    </w:rPr>
                    <w:t>6台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东厂界：20；南厂界：</w:t>
                  </w:r>
                  <w:r>
                    <w:rPr>
                      <w:rFonts w:hint="eastAsia" w:cs="Times New Roman"/>
                      <w:b w:val="0"/>
                      <w:bCs/>
                      <w:color w:val="auto"/>
                      <w:sz w:val="21"/>
                      <w:szCs w:val="21"/>
                      <w:lang w:val="en-US" w:eastAsia="zh-CN"/>
                    </w:rPr>
                    <w:t>16</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13</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8</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zh-CN"/>
                    </w:rPr>
                    <w:t>锯床</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zh-CN"/>
                    </w:rPr>
                    <w:t>4台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东厂界：20；南厂界：</w:t>
                  </w:r>
                  <w:r>
                    <w:rPr>
                      <w:rFonts w:hint="eastAsia" w:cs="Times New Roman"/>
                      <w:b w:val="0"/>
                      <w:bCs/>
                      <w:color w:val="auto"/>
                      <w:sz w:val="21"/>
                      <w:szCs w:val="21"/>
                      <w:lang w:val="en-US" w:eastAsia="zh-CN"/>
                    </w:rPr>
                    <w:t>11</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18</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9</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zh-CN"/>
                    </w:rPr>
                    <w:t>车床</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zh-CN"/>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zh-CN"/>
                    </w:rPr>
                    <w:t>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40</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12</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10</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10</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zh-CN"/>
                    </w:rPr>
                    <w:t>刨床</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zh-CN"/>
                    </w:rPr>
                    <w:t>3台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10</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12</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11</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zh-CN"/>
                    </w:rPr>
                    <w:t>铣床</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zh-CN"/>
                    </w:rPr>
                    <w:t>3台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75</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10</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13</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16</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12</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zh-CN"/>
                    </w:rPr>
                    <w:t>电焊机</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lang w:val="zh-CN"/>
                    </w:rPr>
                    <w:t>30台</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w:t>
                  </w:r>
                  <w:r>
                    <w:rPr>
                      <w:rFonts w:hint="eastAsia"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w:t>
                  </w:r>
                  <w:r>
                    <w:rPr>
                      <w:rFonts w:hint="eastAsia" w:cs="Times New Roman"/>
                      <w:b w:val="0"/>
                      <w:bCs/>
                      <w:color w:val="auto"/>
                      <w:sz w:val="21"/>
                      <w:szCs w:val="21"/>
                      <w:lang w:val="en-US" w:eastAsia="zh-CN"/>
                    </w:rPr>
                    <w:t>0</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东厂界：</w:t>
                  </w:r>
                  <w:r>
                    <w:rPr>
                      <w:rFonts w:hint="eastAsia" w:cs="Times New Roman"/>
                      <w:b w:val="0"/>
                      <w:bCs/>
                      <w:color w:val="auto"/>
                      <w:sz w:val="21"/>
                      <w:szCs w:val="21"/>
                      <w:lang w:val="en-US" w:eastAsia="zh-CN"/>
                    </w:rPr>
                    <w:t>10</w:t>
                  </w:r>
                  <w:r>
                    <w:rPr>
                      <w:rFonts w:hint="default" w:ascii="Times New Roman" w:hAnsi="Times New Roman" w:eastAsia="宋体" w:cs="Times New Roman"/>
                      <w:b w:val="0"/>
                      <w:bCs/>
                      <w:color w:val="auto"/>
                      <w:sz w:val="21"/>
                      <w:szCs w:val="21"/>
                      <w:lang w:val="en-US" w:eastAsia="zh-CN"/>
                    </w:rPr>
                    <w:t>0；南厂界：</w:t>
                  </w:r>
                  <w:r>
                    <w:rPr>
                      <w:rFonts w:hint="eastAsia" w:cs="Times New Roman"/>
                      <w:b w:val="0"/>
                      <w:bCs/>
                      <w:color w:val="auto"/>
                      <w:sz w:val="21"/>
                      <w:szCs w:val="21"/>
                      <w:lang w:val="en-US" w:eastAsia="zh-CN"/>
                    </w:rPr>
                    <w:t>16</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13</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43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r>
                    <w:rPr>
                      <w:rFonts w:hint="eastAsia" w:cs="Times New Roman"/>
                      <w:b w:val="0"/>
                      <w:bCs/>
                      <w:color w:val="auto"/>
                      <w:sz w:val="21"/>
                      <w:szCs w:val="21"/>
                      <w:lang w:val="en-US" w:eastAsia="zh-CN"/>
                    </w:rPr>
                    <w:t>3</w:t>
                  </w:r>
                </w:p>
              </w:tc>
              <w:tc>
                <w:tcPr>
                  <w:tcW w:w="73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生产车间</w:t>
                  </w:r>
                </w:p>
              </w:tc>
              <w:tc>
                <w:tcPr>
                  <w:tcW w:w="109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rPr>
                    <w:t>抛丸设备</w:t>
                  </w:r>
                </w:p>
              </w:tc>
              <w:tc>
                <w:tcPr>
                  <w:tcW w:w="74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rPr>
                    <w:t>1套</w:t>
                  </w:r>
                </w:p>
              </w:tc>
              <w:tc>
                <w:tcPr>
                  <w:tcW w:w="1026" w:type="dxa"/>
                  <w:tcBorders>
                    <w:tl2br w:val="nil"/>
                    <w:tr2bl w:val="nil"/>
                  </w:tcBorders>
                  <w:noWrap w:val="0"/>
                  <w:vAlign w:val="center"/>
                </w:tcPr>
                <w:p>
                  <w:pPr>
                    <w:widowControl/>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80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85</w:t>
                  </w:r>
                </w:p>
              </w:tc>
              <w:tc>
                <w:tcPr>
                  <w:tcW w:w="20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东厂界：20；南厂界：</w:t>
                  </w:r>
                  <w:r>
                    <w:rPr>
                      <w:rFonts w:hint="eastAsia" w:cs="Times New Roman"/>
                      <w:b w:val="0"/>
                      <w:bCs/>
                      <w:color w:val="auto"/>
                      <w:sz w:val="21"/>
                      <w:szCs w:val="21"/>
                      <w:lang w:val="en-US" w:eastAsia="zh-CN"/>
                    </w:rPr>
                    <w:t>20</w:t>
                  </w:r>
                  <w:r>
                    <w:rPr>
                      <w:rFonts w:hint="eastAsia"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lang w:val="en-US" w:eastAsia="zh-CN"/>
                    </w:rPr>
                    <w:t>；西厂界：</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0；北厂界</w:t>
                  </w:r>
                  <w:r>
                    <w:rPr>
                      <w:rFonts w:hint="eastAsia" w:cs="Times New Roman"/>
                      <w:b w:val="0"/>
                      <w:bCs/>
                      <w:color w:val="auto"/>
                      <w:sz w:val="21"/>
                      <w:szCs w:val="21"/>
                      <w:lang w:val="en-US" w:eastAsia="zh-CN"/>
                    </w:rPr>
                    <w:t>9</w:t>
                  </w:r>
                  <w:r>
                    <w:rPr>
                      <w:rFonts w:hint="default" w:ascii="Times New Roman" w:hAnsi="Times New Roman" w:eastAsia="宋体" w:cs="Times New Roman"/>
                      <w:b w:val="0"/>
                      <w:bCs/>
                      <w:color w:val="auto"/>
                      <w:sz w:val="21"/>
                      <w:szCs w:val="21"/>
                      <w:lang w:val="en-US" w:eastAsia="zh-CN"/>
                    </w:rPr>
                    <w:t>0；</w:t>
                  </w:r>
                </w:p>
              </w:tc>
              <w:tc>
                <w:tcPr>
                  <w:tcW w:w="129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基础减振</w:t>
                  </w:r>
                  <w:r>
                    <w:rPr>
                      <w:rFonts w:hint="default" w:ascii="Times New Roman" w:hAnsi="Times New Roman" w:eastAsia="宋体" w:cs="Times New Roman"/>
                      <w:b w:val="0"/>
                      <w:bCs/>
                      <w:color w:val="auto"/>
                      <w:sz w:val="21"/>
                      <w:szCs w:val="21"/>
                    </w:rPr>
                    <w:t>、建筑隔声</w:t>
                  </w:r>
                </w:p>
              </w:tc>
              <w:tc>
                <w:tcPr>
                  <w:tcW w:w="9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val="en-US" w:eastAsia="zh-CN"/>
                    </w:rPr>
                    <w:t>0</w:t>
                  </w:r>
                </w:p>
              </w:tc>
            </w:tr>
          </w:tbl>
          <w:p>
            <w:pPr>
              <w:spacing w:line="360" w:lineRule="auto"/>
              <w:ind w:firstLine="482" w:firstLineChars="200"/>
              <w:rPr>
                <w:color w:val="auto"/>
                <w:sz w:val="24"/>
                <w:szCs w:val="24"/>
              </w:rPr>
            </w:pPr>
            <w:r>
              <w:rPr>
                <w:rFonts w:hint="eastAsia"/>
                <w:b/>
                <w:bCs/>
                <w:color w:val="auto"/>
                <w:sz w:val="24"/>
                <w:szCs w:val="24"/>
              </w:rPr>
              <w:t>3.2</w:t>
            </w:r>
            <w:r>
              <w:rPr>
                <w:b/>
                <w:bCs/>
                <w:color w:val="auto"/>
                <w:sz w:val="24"/>
                <w:szCs w:val="24"/>
              </w:rPr>
              <w:t>噪声污染治理措施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噪声治理措施如下：</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尽量选择低噪声和符合国家噪声标准的生产设备，并进行定期检修维护，使其处于良好运行状态；对个别高噪声设备安装消声器、隔声罩等；在设备与地面之间安装减振垫，减少机械振动产生的噪声污染；</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合理布局，合理布置厂内各功能区的位置及厂区内部设备的位置，将高噪声设备尽量安置在厂房中间位置以增加其距离衰减量，减少对周围环境的影响；</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rPr>
              <w:fldChar w:fldCharType="end"/>
            </w:r>
            <w:r>
              <w:rPr>
                <w:rFonts w:hint="eastAsia" w:cs="Times New Roman"/>
                <w:color w:val="auto"/>
                <w:sz w:val="24"/>
                <w:szCs w:val="24"/>
                <w:lang w:eastAsia="zh-CN"/>
              </w:rPr>
              <w:t>厂区绿化</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通过以上措施，再经距离衰减和建筑物的阻挡作用，场区边界噪声值能够达到《工业企业厂界环境噪声排放标准》（GB12348-2008）中的3类标准，即昼间65dB（A）、夜间55dB（A），本项目噪声对周围声环境影响较小。</w:t>
            </w:r>
          </w:p>
          <w:p>
            <w:pPr>
              <w:adjustRightInd w:val="0"/>
              <w:snapToGrid w:val="0"/>
              <w:spacing w:line="360" w:lineRule="auto"/>
              <w:ind w:firstLine="482" w:firstLineChars="200"/>
              <w:rPr>
                <w:b/>
                <w:bCs/>
                <w:color w:val="auto"/>
                <w:kern w:val="0"/>
                <w:sz w:val="24"/>
                <w:szCs w:val="24"/>
              </w:rPr>
            </w:pPr>
            <w:r>
              <w:rPr>
                <w:rFonts w:hint="eastAsia"/>
                <w:b/>
                <w:bCs/>
                <w:color w:val="auto"/>
                <w:sz w:val="24"/>
                <w:szCs w:val="24"/>
              </w:rPr>
              <w:t>3.3</w:t>
            </w:r>
            <w:r>
              <w:rPr>
                <w:b/>
                <w:bCs/>
                <w:color w:val="auto"/>
                <w:sz w:val="24"/>
                <w:szCs w:val="24"/>
              </w:rPr>
              <w:t>声环境影响预测</w:t>
            </w:r>
          </w:p>
          <w:p>
            <w:pPr>
              <w:pStyle w:val="85"/>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依据《环境影响评价技术导则-声环境》（</w:t>
            </w:r>
            <w:r>
              <w:rPr>
                <w:rFonts w:hint="default" w:ascii="Times New Roman" w:hAnsi="Times New Roman" w:eastAsia="宋体" w:cs="Times New Roman"/>
                <w:color w:val="auto"/>
                <w:kern w:val="0"/>
                <w:sz w:val="24"/>
                <w:szCs w:val="24"/>
                <w:lang w:val="en-US" w:eastAsia="zh-CN" w:bidi="ar"/>
              </w:rPr>
              <w:t>HJ/T2.4-2021</w:t>
            </w:r>
            <w:r>
              <w:rPr>
                <w:rFonts w:hint="eastAsia" w:ascii="宋体" w:hAnsi="宋体" w:eastAsia="宋体" w:cs="宋体"/>
                <w:color w:val="auto"/>
                <w:kern w:val="0"/>
                <w:sz w:val="24"/>
                <w:szCs w:val="24"/>
                <w:lang w:val="en-US" w:eastAsia="zh-CN" w:bidi="ar"/>
              </w:rPr>
              <w:t>） 中的数学模型，选用无指向性点声源几何发散衰减模式，该项目采用的噪声预测模式公式如下。</w:t>
            </w:r>
          </w:p>
          <w:p>
            <w:pPr>
              <w:pStyle w:val="31"/>
              <w:keepNext w:val="0"/>
              <w:keepLines w:val="0"/>
              <w:widowControl w:val="0"/>
              <w:suppressLineNumbers w:val="0"/>
              <w:autoSpaceDE w:val="0"/>
              <w:autoSpaceDN w:val="0"/>
              <w:spacing w:before="0" w:beforeAutospacing="0" w:after="0" w:afterAutospacing="0" w:line="305" w:lineRule="exact"/>
              <w:ind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①噪声预测模式公式</w:t>
            </w:r>
          </w:p>
          <w:p>
            <w:pPr>
              <w:pStyle w:val="31"/>
              <w:keepNext w:val="0"/>
              <w:keepLines w:val="0"/>
              <w:widowControl w:val="0"/>
              <w:suppressLineNumbers w:val="0"/>
              <w:autoSpaceDE w:val="0"/>
              <w:autoSpaceDN w:val="0"/>
              <w:spacing w:before="157" w:beforeAutospacing="0" w:after="0" w:afterAutospacing="0"/>
              <w:ind w:right="0" w:firstLine="2880" w:firstLineChars="1200"/>
              <w:jc w:val="left"/>
              <w:rPr>
                <w:rFonts w:hint="eastAsia" w:ascii="宋体" w:hAnsi="宋体" w:eastAsia="宋体" w:cs="宋体"/>
                <w:color w:val="auto"/>
                <w:sz w:val="24"/>
                <w:szCs w:val="24"/>
              </w:rPr>
            </w:pPr>
            <w:r>
              <w:rPr>
                <w:rFonts w:hint="default" w:ascii="Times New Roman" w:hAnsi="宋体" w:eastAsia="宋体" w:cs="宋体"/>
                <w:color w:val="auto"/>
                <w:kern w:val="0"/>
                <w:position w:val="2"/>
                <w:sz w:val="24"/>
                <w:szCs w:val="24"/>
                <w:lang w:val="en-US" w:eastAsia="zh-CN" w:bidi="ar"/>
              </w:rPr>
              <w:t>Lp</w:t>
            </w:r>
            <w:r>
              <w:rPr>
                <w:rFonts w:hint="eastAsia" w:ascii="宋体" w:hAnsi="宋体" w:eastAsia="宋体" w:cs="宋体"/>
                <w:color w:val="auto"/>
                <w:kern w:val="0"/>
                <w:position w:val="2"/>
                <w:sz w:val="24"/>
                <w:szCs w:val="24"/>
                <w:lang w:val="en-US" w:eastAsia="zh-CN" w:bidi="ar"/>
              </w:rPr>
              <w:t>（</w:t>
            </w:r>
            <w:r>
              <w:rPr>
                <w:rFonts w:hint="default" w:ascii="Times New Roman" w:hAnsi="宋体" w:eastAsia="宋体" w:cs="宋体"/>
                <w:color w:val="auto"/>
                <w:kern w:val="0"/>
                <w:position w:val="2"/>
                <w:sz w:val="24"/>
                <w:szCs w:val="24"/>
                <w:lang w:val="en-US" w:eastAsia="zh-CN" w:bidi="ar"/>
              </w:rPr>
              <w:t>r</w:t>
            </w:r>
            <w:r>
              <w:rPr>
                <w:rFonts w:hint="eastAsia" w:ascii="宋体" w:hAnsi="宋体" w:eastAsia="宋体" w:cs="宋体"/>
                <w:color w:val="auto"/>
                <w:kern w:val="0"/>
                <w:position w:val="2"/>
                <w:sz w:val="24"/>
                <w:szCs w:val="24"/>
                <w:lang w:val="en-US" w:eastAsia="zh-CN" w:bidi="ar"/>
              </w:rPr>
              <w:t>）</w:t>
            </w:r>
            <w:r>
              <w:rPr>
                <w:rFonts w:hint="default" w:ascii="Times New Roman" w:hAnsi="宋体" w:eastAsia="宋体" w:cs="宋体"/>
                <w:color w:val="auto"/>
                <w:kern w:val="0"/>
                <w:position w:val="2"/>
                <w:sz w:val="24"/>
                <w:szCs w:val="24"/>
                <w:lang w:val="en-US" w:eastAsia="zh-CN" w:bidi="ar"/>
              </w:rPr>
              <w:t>=Lp</w:t>
            </w:r>
            <w:r>
              <w:rPr>
                <w:rFonts w:hint="eastAsia" w:ascii="宋体" w:hAnsi="宋体" w:eastAsia="宋体" w:cs="宋体"/>
                <w:color w:val="auto"/>
                <w:kern w:val="0"/>
                <w:position w:val="2"/>
                <w:sz w:val="24"/>
                <w:szCs w:val="24"/>
                <w:lang w:val="en-US" w:eastAsia="zh-CN" w:bidi="ar"/>
              </w:rPr>
              <w:t>（</w:t>
            </w:r>
            <w:r>
              <w:rPr>
                <w:rFonts w:hint="default" w:ascii="Times New Roman" w:hAnsi="宋体" w:eastAsia="宋体" w:cs="宋体"/>
                <w:color w:val="auto"/>
                <w:kern w:val="0"/>
                <w:position w:val="2"/>
                <w:sz w:val="24"/>
                <w:szCs w:val="24"/>
                <w:lang w:val="en-US" w:eastAsia="zh-CN" w:bidi="ar"/>
              </w:rPr>
              <w:t>r</w:t>
            </w:r>
            <w:r>
              <w:rPr>
                <w:rFonts w:hint="default" w:ascii="Times New Roman" w:hAnsi="宋体" w:eastAsia="宋体" w:cs="宋体"/>
                <w:color w:val="auto"/>
                <w:kern w:val="0"/>
                <w:position w:val="2"/>
                <w:sz w:val="24"/>
                <w:szCs w:val="24"/>
                <w:vertAlign w:val="subscript"/>
                <w:lang w:val="en-US" w:eastAsia="zh-CN" w:bidi="ar"/>
              </w:rPr>
              <w:t>0</w:t>
            </w:r>
            <w:r>
              <w:rPr>
                <w:rFonts w:hint="eastAsia" w:ascii="宋体" w:hAnsi="宋体" w:eastAsia="宋体" w:cs="宋体"/>
                <w:color w:val="auto"/>
                <w:kern w:val="0"/>
                <w:position w:val="2"/>
                <w:sz w:val="24"/>
                <w:szCs w:val="24"/>
                <w:lang w:val="en-US" w:eastAsia="zh-CN" w:bidi="ar"/>
              </w:rPr>
              <w:t>）</w:t>
            </w:r>
            <w:r>
              <w:rPr>
                <w:rFonts w:hint="default" w:ascii="Times New Roman" w:hAnsi="宋体" w:eastAsia="宋体" w:cs="宋体"/>
                <w:color w:val="auto"/>
                <w:kern w:val="0"/>
                <w:position w:val="2"/>
                <w:sz w:val="24"/>
                <w:szCs w:val="24"/>
                <w:lang w:val="en-US" w:eastAsia="zh-CN" w:bidi="ar"/>
              </w:rPr>
              <w:t>-20lg</w:t>
            </w:r>
            <w:r>
              <w:rPr>
                <w:rFonts w:hint="eastAsia" w:ascii="宋体" w:hAnsi="宋体" w:eastAsia="宋体" w:cs="宋体"/>
                <w:color w:val="auto"/>
                <w:kern w:val="0"/>
                <w:position w:val="2"/>
                <w:sz w:val="24"/>
                <w:szCs w:val="24"/>
                <w:lang w:val="en-US" w:eastAsia="zh-CN" w:bidi="ar"/>
              </w:rPr>
              <w:t>（</w:t>
            </w:r>
            <w:r>
              <w:rPr>
                <w:rFonts w:hint="default" w:ascii="Times New Roman" w:hAnsi="宋体" w:eastAsia="宋体" w:cs="宋体"/>
                <w:color w:val="auto"/>
                <w:kern w:val="0"/>
                <w:position w:val="2"/>
                <w:sz w:val="24"/>
                <w:szCs w:val="24"/>
                <w:lang w:val="en-US" w:eastAsia="zh-CN" w:bidi="ar"/>
              </w:rPr>
              <w:t>r/r</w:t>
            </w:r>
            <w:r>
              <w:rPr>
                <w:rFonts w:hint="default" w:ascii="Times New Roman" w:hAnsi="宋体" w:eastAsia="宋体" w:cs="宋体"/>
                <w:color w:val="auto"/>
                <w:kern w:val="0"/>
                <w:position w:val="2"/>
                <w:sz w:val="24"/>
                <w:szCs w:val="24"/>
                <w:vertAlign w:val="subscript"/>
                <w:lang w:val="en-US" w:eastAsia="zh-CN" w:bidi="ar"/>
              </w:rPr>
              <w:t>0</w:t>
            </w:r>
            <w:r>
              <w:rPr>
                <w:rFonts w:hint="eastAsia" w:ascii="宋体" w:hAnsi="宋体" w:eastAsia="宋体" w:cs="宋体"/>
                <w:color w:val="auto"/>
                <w:kern w:val="0"/>
                <w:position w:val="2"/>
                <w:sz w:val="24"/>
                <w:szCs w:val="24"/>
                <w:lang w:val="en-US" w:eastAsia="zh-CN" w:bidi="ar"/>
              </w:rPr>
              <w:t>）</w:t>
            </w:r>
          </w:p>
          <w:p>
            <w:pPr>
              <w:pStyle w:val="31"/>
              <w:keepNext w:val="0"/>
              <w:keepLines w:val="0"/>
              <w:widowControl w:val="0"/>
              <w:suppressLineNumbers w:val="0"/>
              <w:autoSpaceDE w:val="0"/>
              <w:autoSpaceDN w:val="0"/>
              <w:spacing w:before="157"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式中：</w:t>
            </w:r>
            <w:r>
              <w:rPr>
                <w:rFonts w:hint="default" w:ascii="Times New Roman" w:hAnsi="Times New Roman" w:eastAsia="宋体" w:cs="宋体"/>
                <w:color w:val="auto"/>
                <w:kern w:val="0"/>
                <w:sz w:val="24"/>
                <w:szCs w:val="24"/>
                <w:lang w:val="en-US" w:eastAsia="zh-CN" w:bidi="ar"/>
              </w:rPr>
              <w:t>Lp</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宋体"/>
                <w:color w:val="auto"/>
                <w:kern w:val="0"/>
                <w:sz w:val="24"/>
                <w:szCs w:val="24"/>
                <w:lang w:val="en-US" w:eastAsia="zh-CN" w:bidi="ar"/>
              </w:rPr>
              <w:t>r</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spacing w:val="-1"/>
                <w:kern w:val="0"/>
                <w:sz w:val="24"/>
                <w:szCs w:val="24"/>
                <w:lang w:val="en-US" w:eastAsia="zh-CN" w:bidi="ar"/>
              </w:rPr>
              <w:t xml:space="preserve">距噪声源 </w:t>
            </w:r>
            <w:r>
              <w:rPr>
                <w:rFonts w:hint="default" w:ascii="Times New Roman" w:hAnsi="Times New Roman" w:eastAsia="宋体" w:cs="宋体"/>
                <w:color w:val="auto"/>
                <w:kern w:val="0"/>
                <w:sz w:val="24"/>
                <w:szCs w:val="24"/>
                <w:lang w:val="en-US" w:eastAsia="zh-CN" w:bidi="ar"/>
              </w:rPr>
              <w:t>r</w:t>
            </w:r>
            <w:r>
              <w:rPr>
                <w:rFonts w:hint="default" w:ascii="Times New Roman" w:hAnsi="Times New Roman" w:eastAsia="宋体" w:cs="宋体"/>
                <w:color w:val="auto"/>
                <w:spacing w:val="59"/>
                <w:kern w:val="0"/>
                <w:sz w:val="24"/>
                <w:szCs w:val="24"/>
                <w:lang w:val="en-US" w:eastAsia="zh-CN" w:bidi="ar"/>
              </w:rPr>
              <w:t xml:space="preserve"> </w:t>
            </w:r>
            <w:r>
              <w:rPr>
                <w:rFonts w:hint="eastAsia" w:ascii="宋体" w:hAnsi="宋体" w:eastAsia="宋体" w:cs="宋体"/>
                <w:color w:val="auto"/>
                <w:spacing w:val="-2"/>
                <w:kern w:val="0"/>
                <w:sz w:val="24"/>
                <w:szCs w:val="24"/>
                <w:lang w:val="en-US" w:eastAsia="zh-CN" w:bidi="ar"/>
              </w:rPr>
              <w:t xml:space="preserve">米处预测点的 </w:t>
            </w:r>
            <w:r>
              <w:rPr>
                <w:rFonts w:hint="default" w:ascii="Times New Roman" w:hAnsi="Times New Roman" w:eastAsia="宋体" w:cs="宋体"/>
                <w:color w:val="auto"/>
                <w:kern w:val="0"/>
                <w:sz w:val="24"/>
                <w:szCs w:val="24"/>
                <w:lang w:val="en-US" w:eastAsia="zh-CN" w:bidi="ar"/>
              </w:rPr>
              <w:t xml:space="preserve">A </w:t>
            </w:r>
            <w:r>
              <w:rPr>
                <w:rFonts w:hint="eastAsia" w:ascii="宋体" w:hAnsi="宋体" w:eastAsia="宋体" w:cs="宋体"/>
                <w:color w:val="auto"/>
                <w:kern w:val="0"/>
                <w:sz w:val="24"/>
                <w:szCs w:val="24"/>
                <w:lang w:val="en-US" w:eastAsia="zh-CN" w:bidi="ar"/>
              </w:rPr>
              <w:t>声级，</w:t>
            </w:r>
            <w:r>
              <w:rPr>
                <w:rFonts w:hint="default" w:ascii="Times New Roman" w:hAnsi="Times New Roman" w:eastAsia="宋体" w:cs="宋体"/>
                <w:color w:val="auto"/>
                <w:kern w:val="0"/>
                <w:sz w:val="24"/>
                <w:szCs w:val="24"/>
                <w:lang w:val="en-US" w:eastAsia="zh-CN" w:bidi="ar"/>
              </w:rPr>
              <w:t>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宋体"/>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w:t>
            </w:r>
          </w:p>
          <w:p>
            <w:pPr>
              <w:pStyle w:val="31"/>
              <w:keepNext w:val="0"/>
              <w:keepLines w:val="0"/>
              <w:widowControl w:val="0"/>
              <w:suppressLineNumbers w:val="0"/>
              <w:autoSpaceDE w:val="0"/>
              <w:autoSpaceDN w:val="0"/>
              <w:spacing w:before="157" w:beforeAutospacing="0" w:after="0" w:afterAutospacing="0" w:line="360" w:lineRule="auto"/>
              <w:ind w:right="0" w:firstLine="1200" w:firstLineChars="500"/>
              <w:jc w:val="both"/>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Lp（r0）——</w:t>
            </w:r>
            <w:r>
              <w:rPr>
                <w:rFonts w:hint="eastAsia" w:ascii="宋体" w:hAnsi="宋体" w:eastAsia="宋体" w:cs="宋体"/>
                <w:color w:val="auto"/>
                <w:kern w:val="0"/>
                <w:sz w:val="24"/>
                <w:szCs w:val="24"/>
                <w:lang w:val="en-US" w:eastAsia="zh-CN" w:bidi="ar"/>
              </w:rPr>
              <w:t>参考点声源强度，</w:t>
            </w:r>
            <w:r>
              <w:rPr>
                <w:rFonts w:hint="default" w:ascii="Times New Roman" w:hAnsi="Times New Roman" w:eastAsia="宋体" w:cs="Times New Roman"/>
                <w:color w:val="auto"/>
                <w:kern w:val="0"/>
                <w:sz w:val="24"/>
                <w:szCs w:val="24"/>
                <w:lang w:val="en-US" w:eastAsia="zh-CN" w:bidi="ar"/>
              </w:rPr>
              <w:t>dB（A）</w:t>
            </w:r>
            <w:r>
              <w:rPr>
                <w:rFonts w:hint="eastAsia" w:ascii="宋体" w:hAnsi="宋体" w:eastAsia="宋体" w:cs="宋体"/>
                <w:color w:val="auto"/>
                <w:kern w:val="0"/>
                <w:sz w:val="24"/>
                <w:szCs w:val="24"/>
                <w:lang w:val="en-US" w:eastAsia="zh-CN" w:bidi="ar"/>
              </w:rPr>
              <w:t>；</w:t>
            </w:r>
          </w:p>
          <w:p>
            <w:pPr>
              <w:pStyle w:val="31"/>
              <w:keepNext w:val="0"/>
              <w:keepLines w:val="0"/>
              <w:widowControl w:val="0"/>
              <w:suppressLineNumbers w:val="0"/>
              <w:autoSpaceDE w:val="0"/>
              <w:autoSpaceDN w:val="0"/>
              <w:spacing w:before="157" w:beforeAutospacing="0" w:after="0" w:afterAutospacing="0" w:line="360" w:lineRule="auto"/>
              <w:ind w:right="0" w:firstLine="1200" w:firstLineChars="500"/>
              <w:jc w:val="both"/>
              <w:rPr>
                <w:rFonts w:hint="default" w:ascii="Times New Roman" w:hAnsi="Times New Roman" w:eastAsia="宋体" w:cs="宋体"/>
                <w:color w:val="auto"/>
                <w:kern w:val="0"/>
                <w:sz w:val="24"/>
                <w:szCs w:val="24"/>
                <w:lang w:val="en-US" w:eastAsia="zh-CN" w:bidi="ar"/>
              </w:rPr>
            </w:pPr>
            <w:r>
              <w:rPr>
                <w:rFonts w:hint="default" w:ascii="Times New Roman" w:hAnsi="Times New Roman" w:eastAsia="宋体" w:cs="宋体"/>
                <w:color w:val="auto"/>
                <w:kern w:val="0"/>
                <w:sz w:val="24"/>
                <w:szCs w:val="24"/>
                <w:lang w:val="en-US" w:eastAsia="zh-CN" w:bidi="ar"/>
              </w:rPr>
              <w:t>r——点声源到预测点的距离，m；</w:t>
            </w:r>
          </w:p>
          <w:p>
            <w:pPr>
              <w:pStyle w:val="31"/>
              <w:keepNext w:val="0"/>
              <w:keepLines w:val="0"/>
              <w:widowControl w:val="0"/>
              <w:suppressLineNumbers w:val="0"/>
              <w:autoSpaceDE w:val="0"/>
              <w:autoSpaceDN w:val="0"/>
              <w:spacing w:before="157" w:beforeAutospacing="0" w:after="0" w:afterAutospacing="0" w:line="360" w:lineRule="auto"/>
              <w:ind w:right="0" w:firstLine="1200" w:firstLineChars="500"/>
              <w:jc w:val="both"/>
              <w:rPr>
                <w:rFonts w:hint="default" w:ascii="Times New Roman" w:hAnsi="Times New Roman" w:eastAsia="宋体" w:cs="宋体"/>
                <w:color w:val="auto"/>
                <w:kern w:val="0"/>
                <w:sz w:val="24"/>
                <w:szCs w:val="24"/>
                <w:lang w:val="en-US" w:eastAsia="zh-CN" w:bidi="ar"/>
              </w:rPr>
            </w:pPr>
            <w:r>
              <w:rPr>
                <w:rFonts w:hint="default" w:ascii="Times New Roman" w:hAnsi="Times New Roman" w:eastAsia="宋体" w:cs="宋体"/>
                <w:color w:val="auto"/>
                <w:kern w:val="0"/>
                <w:sz w:val="24"/>
                <w:szCs w:val="24"/>
                <w:lang w:val="en-US" w:eastAsia="zh-CN" w:bidi="ar"/>
              </w:rPr>
              <w:t>r0</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eastAsia="宋体" w:cs="宋体"/>
                <w:color w:val="auto"/>
                <w:kern w:val="0"/>
                <w:sz w:val="24"/>
                <w:szCs w:val="24"/>
                <w:lang w:val="en-US" w:eastAsia="zh-CN" w:bidi="ar"/>
              </w:rPr>
              <w:t>点声源到参照点的距离，m。</w:t>
            </w:r>
          </w:p>
          <w:p>
            <w:pPr>
              <w:pStyle w:val="85"/>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76" w:firstLineChars="200"/>
              <w:jc w:val="both"/>
              <w:textAlignment w:val="auto"/>
              <w:rPr>
                <w:color w:val="auto"/>
                <w:position w:val="2"/>
                <w:sz w:val="24"/>
                <w:szCs w:val="24"/>
                <w:vertAlign w:val="baseline"/>
              </w:rPr>
            </w:pPr>
            <w:r>
              <w:rPr>
                <w:color w:val="auto"/>
                <w:spacing w:val="-1"/>
                <w:position w:val="2"/>
                <w:sz w:val="24"/>
                <w:szCs w:val="24"/>
              </w:rPr>
              <w:t>②建设项目声源在预测点的等效声级贡献值</w:t>
            </w:r>
            <w:r>
              <w:rPr>
                <w:color w:val="auto"/>
                <w:position w:val="2"/>
                <w:sz w:val="24"/>
                <w:szCs w:val="24"/>
              </w:rPr>
              <w:t>（</w:t>
            </w:r>
            <w:r>
              <w:rPr>
                <w:rFonts w:ascii="Times New Roman" w:hAnsi="Times New Roman" w:eastAsia="Times New Roman"/>
                <w:color w:val="auto"/>
                <w:position w:val="2"/>
                <w:sz w:val="24"/>
                <w:szCs w:val="24"/>
              </w:rPr>
              <w:t>L</w:t>
            </w:r>
            <w:r>
              <w:rPr>
                <w:rFonts w:ascii="Times New Roman" w:hAnsi="Times New Roman" w:eastAsia="Times New Roman"/>
                <w:color w:val="auto"/>
                <w:position w:val="2"/>
                <w:sz w:val="24"/>
                <w:szCs w:val="24"/>
                <w:vertAlign w:val="subscript"/>
              </w:rPr>
              <w:t>eqg</w:t>
            </w:r>
            <w:r>
              <w:rPr>
                <w:color w:val="auto"/>
                <w:position w:val="2"/>
                <w:sz w:val="24"/>
                <w:szCs w:val="24"/>
                <w:vertAlign w:val="baseline"/>
              </w:rPr>
              <w:t>）的计算公式为：</w:t>
            </w:r>
          </w:p>
          <w:p>
            <w:pPr>
              <w:pStyle w:val="85"/>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center"/>
              <w:textAlignment w:val="auto"/>
              <w:rPr>
                <w:color w:val="auto"/>
                <w:position w:val="2"/>
                <w:sz w:val="24"/>
                <w:szCs w:val="24"/>
                <w:vertAlign w:val="baseline"/>
              </w:rPr>
            </w:pPr>
            <w:r>
              <w:rPr>
                <w:color w:val="auto"/>
              </w:rPr>
              <w:drawing>
                <wp:inline distT="0" distB="0" distL="114300" distR="114300">
                  <wp:extent cx="1940560" cy="403860"/>
                  <wp:effectExtent l="0" t="0" r="254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940560" cy="403860"/>
                          </a:xfrm>
                          <a:prstGeom prst="rect">
                            <a:avLst/>
                          </a:prstGeom>
                          <a:noFill/>
                          <a:ln>
                            <a:noFill/>
                          </a:ln>
                        </pic:spPr>
                      </pic:pic>
                    </a:graphicData>
                  </a:graphic>
                </wp:inline>
              </w:drawing>
            </w:r>
          </w:p>
          <w:p>
            <w:pPr>
              <w:pStyle w:val="14"/>
              <w:ind w:firstLine="476" w:firstLineChars="200"/>
              <w:rPr>
                <w:color w:val="auto"/>
                <w:sz w:val="24"/>
                <w:szCs w:val="24"/>
              </w:rPr>
            </w:pPr>
            <w:r>
              <w:rPr>
                <w:color w:val="auto"/>
                <w:spacing w:val="-1"/>
                <w:position w:val="2"/>
                <w:sz w:val="24"/>
                <w:szCs w:val="24"/>
              </w:rPr>
              <w:t>式中：</w:t>
            </w:r>
            <w:r>
              <w:rPr>
                <w:rFonts w:ascii="Times New Roman" w:hAnsi="Times New Roman" w:eastAsia="Times New Roman"/>
                <w:color w:val="auto"/>
                <w:spacing w:val="-1"/>
                <w:position w:val="2"/>
                <w:sz w:val="24"/>
                <w:szCs w:val="24"/>
              </w:rPr>
              <w:t>L</w:t>
            </w:r>
            <w:r>
              <w:rPr>
                <w:rFonts w:ascii="Times New Roman" w:hAnsi="Times New Roman" w:eastAsia="Times New Roman"/>
                <w:color w:val="auto"/>
                <w:spacing w:val="-1"/>
                <w:position w:val="2"/>
                <w:sz w:val="24"/>
                <w:szCs w:val="24"/>
                <w:vertAlign w:val="subscript"/>
              </w:rPr>
              <w:t>eqg</w:t>
            </w:r>
            <w:r>
              <w:rPr>
                <w:rFonts w:ascii="Times New Roman" w:hAnsi="Times New Roman" w:eastAsia="Times New Roman"/>
                <w:color w:val="auto"/>
                <w:spacing w:val="-1"/>
                <w:position w:val="2"/>
                <w:sz w:val="24"/>
                <w:szCs w:val="24"/>
                <w:vertAlign w:val="baseline"/>
              </w:rPr>
              <w:t>—</w:t>
            </w:r>
            <w:r>
              <w:rPr>
                <w:color w:val="auto"/>
                <w:spacing w:val="-1"/>
                <w:position w:val="2"/>
                <w:sz w:val="24"/>
                <w:szCs w:val="24"/>
                <w:vertAlign w:val="baseline"/>
              </w:rPr>
              <w:t>建设项目声源在预测点的等效声级贡献值，</w:t>
            </w:r>
            <w:r>
              <w:rPr>
                <w:rFonts w:ascii="Times New Roman" w:hAnsi="Times New Roman" w:eastAsia="Times New Roman"/>
                <w:color w:val="auto"/>
                <w:position w:val="2"/>
                <w:sz w:val="24"/>
                <w:szCs w:val="24"/>
                <w:vertAlign w:val="baseline"/>
              </w:rPr>
              <w:t>dB</w:t>
            </w:r>
            <w:r>
              <w:rPr>
                <w:color w:val="auto"/>
                <w:position w:val="2"/>
                <w:sz w:val="24"/>
                <w:szCs w:val="24"/>
                <w:vertAlign w:val="baseline"/>
              </w:rPr>
              <w:t>（</w:t>
            </w:r>
            <w:r>
              <w:rPr>
                <w:rFonts w:ascii="Times New Roman" w:hAnsi="Times New Roman" w:eastAsia="Times New Roman"/>
                <w:color w:val="auto"/>
                <w:position w:val="2"/>
                <w:sz w:val="24"/>
                <w:szCs w:val="24"/>
                <w:vertAlign w:val="baseline"/>
              </w:rPr>
              <w:t>A</w:t>
            </w:r>
            <w:r>
              <w:rPr>
                <w:color w:val="auto"/>
                <w:position w:val="2"/>
                <w:sz w:val="24"/>
                <w:szCs w:val="24"/>
                <w:vertAlign w:val="baseline"/>
              </w:rPr>
              <w:t>）；</w:t>
            </w:r>
          </w:p>
          <w:p>
            <w:pPr>
              <w:pStyle w:val="14"/>
              <w:spacing w:before="154"/>
              <w:ind w:firstLine="1200" w:firstLineChars="500"/>
              <w:rPr>
                <w:color w:val="auto"/>
                <w:sz w:val="24"/>
                <w:szCs w:val="24"/>
              </w:rPr>
            </w:pPr>
            <w:r>
              <w:rPr>
                <w:rFonts w:ascii="Times New Roman" w:hAnsi="Times New Roman" w:eastAsia="Times New Roman"/>
                <w:color w:val="auto"/>
                <w:position w:val="2"/>
                <w:sz w:val="24"/>
                <w:szCs w:val="24"/>
              </w:rPr>
              <w:t>L</w:t>
            </w:r>
            <w:r>
              <w:rPr>
                <w:rFonts w:ascii="Times New Roman" w:hAnsi="Times New Roman" w:eastAsia="Times New Roman"/>
                <w:color w:val="auto"/>
                <w:position w:val="2"/>
                <w:sz w:val="24"/>
                <w:szCs w:val="24"/>
                <w:vertAlign w:val="subscript"/>
              </w:rPr>
              <w:t>Ai</w:t>
            </w:r>
            <w:r>
              <w:rPr>
                <w:rFonts w:ascii="Times New Roman" w:hAnsi="Times New Roman" w:eastAsia="Times New Roman"/>
                <w:color w:val="auto"/>
                <w:position w:val="2"/>
                <w:sz w:val="24"/>
                <w:szCs w:val="24"/>
                <w:vertAlign w:val="baseline"/>
              </w:rPr>
              <w:t>—i</w:t>
            </w:r>
            <w:r>
              <w:rPr>
                <w:rFonts w:ascii="Times New Roman" w:hAnsi="Times New Roman" w:eastAsia="Times New Roman"/>
                <w:color w:val="auto"/>
                <w:spacing w:val="59"/>
                <w:position w:val="2"/>
                <w:sz w:val="24"/>
                <w:szCs w:val="24"/>
                <w:vertAlign w:val="baseline"/>
              </w:rPr>
              <w:t xml:space="preserve"> </w:t>
            </w:r>
            <w:r>
              <w:rPr>
                <w:color w:val="auto"/>
                <w:spacing w:val="-2"/>
                <w:position w:val="2"/>
                <w:sz w:val="24"/>
                <w:szCs w:val="24"/>
                <w:vertAlign w:val="baseline"/>
              </w:rPr>
              <w:t xml:space="preserve">声源在预测点产生的 </w:t>
            </w:r>
            <w:r>
              <w:rPr>
                <w:rFonts w:ascii="Times New Roman" w:hAnsi="Times New Roman" w:eastAsia="Times New Roman"/>
                <w:color w:val="auto"/>
                <w:position w:val="2"/>
                <w:sz w:val="24"/>
                <w:szCs w:val="24"/>
                <w:vertAlign w:val="baseline"/>
              </w:rPr>
              <w:t xml:space="preserve">A </w:t>
            </w:r>
            <w:r>
              <w:rPr>
                <w:color w:val="auto"/>
                <w:position w:val="2"/>
                <w:sz w:val="24"/>
                <w:szCs w:val="24"/>
                <w:vertAlign w:val="baseline"/>
              </w:rPr>
              <w:t>声级，</w:t>
            </w:r>
            <w:r>
              <w:rPr>
                <w:rFonts w:ascii="Times New Roman" w:hAnsi="Times New Roman" w:eastAsia="Times New Roman"/>
                <w:color w:val="auto"/>
                <w:position w:val="2"/>
                <w:sz w:val="24"/>
                <w:szCs w:val="24"/>
                <w:vertAlign w:val="baseline"/>
              </w:rPr>
              <w:t>dB</w:t>
            </w:r>
            <w:r>
              <w:rPr>
                <w:color w:val="auto"/>
                <w:position w:val="2"/>
                <w:sz w:val="24"/>
                <w:szCs w:val="24"/>
                <w:vertAlign w:val="baseline"/>
              </w:rPr>
              <w:t>（</w:t>
            </w:r>
            <w:r>
              <w:rPr>
                <w:rFonts w:ascii="Times New Roman" w:hAnsi="Times New Roman" w:eastAsia="Times New Roman"/>
                <w:color w:val="auto"/>
                <w:position w:val="2"/>
                <w:sz w:val="24"/>
                <w:szCs w:val="24"/>
                <w:vertAlign w:val="baseline"/>
              </w:rPr>
              <w:t>A</w:t>
            </w:r>
            <w:r>
              <w:rPr>
                <w:color w:val="auto"/>
                <w:position w:val="2"/>
                <w:sz w:val="24"/>
                <w:szCs w:val="24"/>
                <w:vertAlign w:val="baseline"/>
              </w:rPr>
              <w:t>）；</w:t>
            </w:r>
          </w:p>
          <w:p>
            <w:pPr>
              <w:pStyle w:val="14"/>
              <w:spacing w:before="159"/>
              <w:ind w:firstLine="1200" w:firstLineChars="500"/>
              <w:rPr>
                <w:color w:val="auto"/>
                <w:sz w:val="24"/>
                <w:szCs w:val="24"/>
              </w:rPr>
            </w:pPr>
            <w:r>
              <w:rPr>
                <w:rFonts w:ascii="Times New Roman" w:hAnsi="Times New Roman" w:eastAsia="Times New Roman"/>
                <w:color w:val="auto"/>
                <w:sz w:val="24"/>
                <w:szCs w:val="24"/>
              </w:rPr>
              <w:t>T—</w:t>
            </w:r>
            <w:r>
              <w:rPr>
                <w:color w:val="auto"/>
                <w:sz w:val="24"/>
                <w:szCs w:val="24"/>
              </w:rPr>
              <w:t>预测计算的时间段，</w:t>
            </w:r>
            <w:r>
              <w:rPr>
                <w:rFonts w:ascii="Times New Roman" w:hAnsi="Times New Roman" w:eastAsia="Times New Roman"/>
                <w:color w:val="auto"/>
                <w:sz w:val="24"/>
                <w:szCs w:val="24"/>
              </w:rPr>
              <w:t>s</w:t>
            </w:r>
            <w:r>
              <w:rPr>
                <w:color w:val="auto"/>
                <w:sz w:val="24"/>
                <w:szCs w:val="24"/>
              </w:rPr>
              <w:t>；</w:t>
            </w:r>
          </w:p>
          <w:p>
            <w:pPr>
              <w:pStyle w:val="14"/>
              <w:spacing w:before="158"/>
              <w:ind w:firstLine="1200" w:firstLineChars="500"/>
              <w:rPr>
                <w:color w:val="auto"/>
                <w:sz w:val="24"/>
                <w:szCs w:val="24"/>
              </w:rPr>
            </w:pPr>
            <w:r>
              <w:rPr>
                <w:rFonts w:ascii="Times New Roman" w:hAnsi="Times New Roman" w:eastAsia="Times New Roman"/>
                <w:color w:val="auto"/>
                <w:sz w:val="24"/>
                <w:szCs w:val="24"/>
              </w:rPr>
              <w:t xml:space="preserve">ti—i </w:t>
            </w:r>
            <w:r>
              <w:rPr>
                <w:color w:val="auto"/>
                <w:sz w:val="24"/>
                <w:szCs w:val="24"/>
              </w:rPr>
              <w:t xml:space="preserve">声源在 </w:t>
            </w:r>
            <w:r>
              <w:rPr>
                <w:rFonts w:ascii="Times New Roman" w:hAnsi="Times New Roman" w:eastAsia="Times New Roman"/>
                <w:color w:val="auto"/>
                <w:sz w:val="24"/>
                <w:szCs w:val="24"/>
              </w:rPr>
              <w:t xml:space="preserve">T </w:t>
            </w:r>
            <w:r>
              <w:rPr>
                <w:color w:val="auto"/>
                <w:sz w:val="24"/>
                <w:szCs w:val="24"/>
              </w:rPr>
              <w:t>时间段内的运行时间，</w:t>
            </w:r>
            <w:r>
              <w:rPr>
                <w:rFonts w:ascii="Times New Roman" w:hAnsi="Times New Roman" w:eastAsia="Times New Roman"/>
                <w:color w:val="auto"/>
                <w:sz w:val="24"/>
                <w:szCs w:val="24"/>
              </w:rPr>
              <w:t>s</w:t>
            </w:r>
            <w:r>
              <w:rPr>
                <w:color w:val="auto"/>
                <w:sz w:val="24"/>
                <w:szCs w:val="24"/>
              </w:rPr>
              <w:t>。</w:t>
            </w:r>
          </w:p>
          <w:p>
            <w:pPr>
              <w:pStyle w:val="14"/>
              <w:spacing w:before="161"/>
              <w:ind w:firstLine="480" w:firstLineChars="200"/>
              <w:rPr>
                <w:color w:val="auto"/>
                <w:sz w:val="24"/>
                <w:szCs w:val="24"/>
              </w:rPr>
            </w:pPr>
            <w:r>
              <w:rPr>
                <w:color w:val="auto"/>
                <w:sz w:val="24"/>
                <w:szCs w:val="24"/>
              </w:rPr>
              <w:t>③预测点等效声级计算方法</w:t>
            </w:r>
          </w:p>
          <w:p>
            <w:pPr>
              <w:pStyle w:val="14"/>
              <w:spacing w:before="160" w:line="362" w:lineRule="auto"/>
              <w:ind w:right="82" w:firstLine="480" w:firstLineChars="200"/>
              <w:rPr>
                <w:color w:val="auto"/>
                <w:sz w:val="24"/>
                <w:szCs w:val="24"/>
              </w:rPr>
            </w:pPr>
            <w:r>
              <w:rPr>
                <w:color w:val="auto"/>
                <w:sz w:val="24"/>
                <w:szCs w:val="24"/>
              </w:rPr>
              <w:t>在预测某处的噪声值时，应先预测计算建设项目声源在该处产生的等效声级贡献值，然后叠加该处的声背景值，最后得到该点的预测等效声级（</w:t>
            </w:r>
            <w:r>
              <w:rPr>
                <w:rFonts w:ascii="Times New Roman" w:eastAsia="Times New Roman"/>
                <w:color w:val="auto"/>
                <w:sz w:val="24"/>
                <w:szCs w:val="24"/>
              </w:rPr>
              <w:t>Leq</w:t>
            </w:r>
            <w:r>
              <w:rPr>
                <w:color w:val="auto"/>
                <w:sz w:val="24"/>
                <w:szCs w:val="24"/>
              </w:rPr>
              <w:t>）， 具体计算公式如下：</w:t>
            </w:r>
          </w:p>
          <w:p>
            <w:pPr>
              <w:pStyle w:val="85"/>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center"/>
              <w:textAlignment w:val="auto"/>
              <w:rPr>
                <w:color w:val="auto"/>
                <w:position w:val="2"/>
                <w:vertAlign w:val="baseline"/>
              </w:rPr>
            </w:pPr>
            <w:r>
              <w:rPr>
                <w:color w:val="auto"/>
              </w:rPr>
              <w:drawing>
                <wp:inline distT="0" distB="0" distL="114300" distR="114300">
                  <wp:extent cx="2638425" cy="495300"/>
                  <wp:effectExtent l="0" t="0" r="9525" b="0"/>
                  <wp:docPr id="1" name="图片 2" descr="166270920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62709203929"/>
                          <pic:cNvPicPr>
                            <a:picLocks noChangeAspect="1"/>
                          </pic:cNvPicPr>
                        </pic:nvPicPr>
                        <pic:blipFill>
                          <a:blip r:embed="rId12"/>
                          <a:stretch>
                            <a:fillRect/>
                          </a:stretch>
                        </pic:blipFill>
                        <pic:spPr>
                          <a:xfrm>
                            <a:off x="0" y="0"/>
                            <a:ext cx="2638425" cy="495300"/>
                          </a:xfrm>
                          <a:prstGeom prst="rect">
                            <a:avLst/>
                          </a:prstGeom>
                          <a:noFill/>
                          <a:ln>
                            <a:noFill/>
                          </a:ln>
                        </pic:spPr>
                      </pic:pic>
                    </a:graphicData>
                  </a:graphic>
                </wp:inline>
              </w:drawing>
            </w:r>
          </w:p>
          <w:p>
            <w:pPr>
              <w:pStyle w:val="14"/>
              <w:ind w:firstLine="480" w:firstLineChars="200"/>
              <w:rPr>
                <w:color w:val="auto"/>
                <w:sz w:val="24"/>
                <w:szCs w:val="24"/>
              </w:rPr>
            </w:pPr>
            <w:r>
              <w:rPr>
                <w:color w:val="auto"/>
                <w:position w:val="2"/>
                <w:sz w:val="24"/>
                <w:szCs w:val="24"/>
              </w:rPr>
              <w:t>式中：</w:t>
            </w:r>
            <w:r>
              <w:rPr>
                <w:rFonts w:ascii="Times New Roman" w:hAnsi="Times New Roman" w:eastAsia="Times New Roman"/>
                <w:color w:val="auto"/>
                <w:position w:val="2"/>
                <w:sz w:val="24"/>
                <w:szCs w:val="24"/>
              </w:rPr>
              <w:t>L</w:t>
            </w:r>
            <w:r>
              <w:rPr>
                <w:rFonts w:ascii="Times New Roman" w:hAnsi="Times New Roman" w:eastAsia="Times New Roman"/>
                <w:color w:val="auto"/>
                <w:position w:val="2"/>
                <w:sz w:val="24"/>
                <w:szCs w:val="24"/>
                <w:vertAlign w:val="subscript"/>
              </w:rPr>
              <w:t>eqg</w:t>
            </w:r>
            <w:r>
              <w:rPr>
                <w:rFonts w:ascii="Times New Roman" w:hAnsi="Times New Roman" w:eastAsia="Times New Roman"/>
                <w:color w:val="auto"/>
                <w:position w:val="2"/>
                <w:sz w:val="24"/>
                <w:szCs w:val="24"/>
                <w:vertAlign w:val="baseline"/>
              </w:rPr>
              <w:t>—</w:t>
            </w:r>
            <w:r>
              <w:rPr>
                <w:color w:val="auto"/>
                <w:position w:val="2"/>
                <w:sz w:val="24"/>
                <w:szCs w:val="24"/>
                <w:vertAlign w:val="baseline"/>
              </w:rPr>
              <w:t>建设项目声源在预测点的等效声级贡献值，</w:t>
            </w:r>
            <w:r>
              <w:rPr>
                <w:rFonts w:ascii="Times New Roman" w:hAnsi="Times New Roman" w:eastAsia="Times New Roman"/>
                <w:color w:val="auto"/>
                <w:position w:val="2"/>
                <w:sz w:val="24"/>
                <w:szCs w:val="24"/>
                <w:vertAlign w:val="baseline"/>
              </w:rPr>
              <w:t>dB</w:t>
            </w:r>
            <w:r>
              <w:rPr>
                <w:color w:val="auto"/>
                <w:position w:val="2"/>
                <w:sz w:val="24"/>
                <w:szCs w:val="24"/>
                <w:vertAlign w:val="baseline"/>
              </w:rPr>
              <w:t>（</w:t>
            </w:r>
            <w:r>
              <w:rPr>
                <w:rFonts w:ascii="Times New Roman" w:hAnsi="Times New Roman" w:eastAsia="Times New Roman"/>
                <w:color w:val="auto"/>
                <w:position w:val="2"/>
                <w:sz w:val="24"/>
                <w:szCs w:val="24"/>
                <w:vertAlign w:val="baseline"/>
              </w:rPr>
              <w:t>A</w:t>
            </w:r>
            <w:r>
              <w:rPr>
                <w:color w:val="auto"/>
                <w:position w:val="2"/>
                <w:sz w:val="24"/>
                <w:szCs w:val="24"/>
                <w:vertAlign w:val="baseline"/>
              </w:rPr>
              <w:t>）；</w:t>
            </w:r>
          </w:p>
          <w:p>
            <w:pPr>
              <w:pStyle w:val="14"/>
              <w:spacing w:before="156"/>
              <w:ind w:firstLine="1200" w:firstLineChars="500"/>
              <w:rPr>
                <w:color w:val="auto"/>
                <w:sz w:val="24"/>
                <w:szCs w:val="24"/>
              </w:rPr>
            </w:pPr>
            <w:r>
              <w:rPr>
                <w:rFonts w:ascii="Times New Roman" w:hAnsi="Times New Roman" w:eastAsia="Times New Roman"/>
                <w:color w:val="auto"/>
                <w:position w:val="2"/>
                <w:sz w:val="24"/>
                <w:szCs w:val="24"/>
              </w:rPr>
              <w:t>L</w:t>
            </w:r>
            <w:r>
              <w:rPr>
                <w:rFonts w:ascii="Times New Roman" w:hAnsi="Times New Roman" w:eastAsia="Times New Roman"/>
                <w:color w:val="auto"/>
                <w:position w:val="2"/>
                <w:sz w:val="24"/>
                <w:szCs w:val="24"/>
                <w:vertAlign w:val="subscript"/>
              </w:rPr>
              <w:t>eqb</w:t>
            </w:r>
            <w:r>
              <w:rPr>
                <w:rFonts w:ascii="Times New Roman" w:hAnsi="Times New Roman" w:eastAsia="Times New Roman"/>
                <w:color w:val="auto"/>
                <w:position w:val="2"/>
                <w:sz w:val="24"/>
                <w:szCs w:val="24"/>
                <w:vertAlign w:val="baseline"/>
              </w:rPr>
              <w:t>—</w:t>
            </w:r>
            <w:r>
              <w:rPr>
                <w:color w:val="auto"/>
                <w:position w:val="2"/>
                <w:sz w:val="24"/>
                <w:szCs w:val="24"/>
                <w:vertAlign w:val="baseline"/>
              </w:rPr>
              <w:t>预测点的背景值，</w:t>
            </w:r>
            <w:r>
              <w:rPr>
                <w:rFonts w:ascii="Times New Roman" w:hAnsi="Times New Roman" w:eastAsia="Times New Roman"/>
                <w:color w:val="auto"/>
                <w:position w:val="2"/>
                <w:sz w:val="24"/>
                <w:szCs w:val="24"/>
                <w:vertAlign w:val="baseline"/>
              </w:rPr>
              <w:t>dB</w:t>
            </w:r>
            <w:r>
              <w:rPr>
                <w:color w:val="auto"/>
                <w:position w:val="2"/>
                <w:sz w:val="24"/>
                <w:szCs w:val="24"/>
                <w:vertAlign w:val="baseline"/>
              </w:rPr>
              <w:t>（</w:t>
            </w:r>
            <w:r>
              <w:rPr>
                <w:rFonts w:ascii="Times New Roman" w:hAnsi="Times New Roman" w:eastAsia="Times New Roman"/>
                <w:color w:val="auto"/>
                <w:position w:val="2"/>
                <w:sz w:val="24"/>
                <w:szCs w:val="24"/>
                <w:vertAlign w:val="baseline"/>
              </w:rPr>
              <w:t>A</w:t>
            </w:r>
            <w:r>
              <w:rPr>
                <w:color w:val="auto"/>
                <w:position w:val="2"/>
                <w:sz w:val="24"/>
                <w:szCs w:val="24"/>
                <w:vertAlign w:val="baseline"/>
              </w:rPr>
              <w:t>）。</w:t>
            </w:r>
          </w:p>
          <w:p>
            <w:pPr>
              <w:adjustRightInd w:val="0"/>
              <w:snapToGrid w:val="0"/>
              <w:spacing w:line="360" w:lineRule="auto"/>
              <w:ind w:firstLine="482" w:firstLineChars="200"/>
              <w:rPr>
                <w:b/>
                <w:bCs/>
                <w:color w:val="auto"/>
                <w:sz w:val="24"/>
                <w:szCs w:val="24"/>
              </w:rPr>
            </w:pPr>
            <w:r>
              <w:rPr>
                <w:rFonts w:hint="eastAsia"/>
                <w:b/>
                <w:bCs/>
                <w:color w:val="auto"/>
                <w:sz w:val="24"/>
                <w:szCs w:val="24"/>
              </w:rPr>
              <w:t>3.4</w:t>
            </w:r>
            <w:r>
              <w:rPr>
                <w:b/>
                <w:bCs/>
                <w:color w:val="auto"/>
                <w:sz w:val="24"/>
                <w:szCs w:val="24"/>
              </w:rPr>
              <w:t>预测结果</w:t>
            </w:r>
          </w:p>
          <w:p>
            <w:pPr>
              <w:adjustRightInd w:val="0"/>
              <w:snapToGrid w:val="0"/>
              <w:spacing w:line="360" w:lineRule="auto"/>
              <w:ind w:firstLine="480" w:firstLineChars="200"/>
              <w:rPr>
                <w:b/>
                <w:bCs/>
                <w:color w:val="auto"/>
                <w:sz w:val="24"/>
                <w:szCs w:val="24"/>
              </w:rPr>
            </w:pPr>
            <w:r>
              <w:rPr>
                <w:color w:val="auto"/>
                <w:sz w:val="24"/>
                <w:szCs w:val="24"/>
              </w:rPr>
              <w:t>根据上述的预测方法和模式，根据平面布置图、高噪声设备数量及距厂界距离，</w:t>
            </w:r>
            <w:r>
              <w:rPr>
                <w:color w:val="auto"/>
                <w:sz w:val="24"/>
                <w:szCs w:val="24"/>
                <w:lang w:val="en-GB"/>
              </w:rPr>
              <w:t>在考虑采取设备噪声隔声、减振、消声等措施的情况下，</w:t>
            </w:r>
            <w:r>
              <w:rPr>
                <w:color w:val="auto"/>
                <w:sz w:val="24"/>
                <w:szCs w:val="24"/>
              </w:rPr>
              <w:t>计算对距离最近的四个厂界的噪声贡献值，</w:t>
            </w:r>
            <w:r>
              <w:rPr>
                <w:color w:val="auto"/>
                <w:sz w:val="24"/>
                <w:szCs w:val="24"/>
                <w:lang w:val="en-GB"/>
              </w:rPr>
              <w:t>预测结果见下表</w:t>
            </w:r>
            <w:r>
              <w:rPr>
                <w:color w:val="auto"/>
                <w:sz w:val="24"/>
                <w:szCs w:val="24"/>
              </w:rPr>
              <w:t>。</w:t>
            </w:r>
          </w:p>
          <w:p>
            <w:pPr>
              <w:adjustRightInd w:val="0"/>
              <w:snapToGrid w:val="0"/>
              <w:spacing w:line="360" w:lineRule="auto"/>
              <w:jc w:val="center"/>
              <w:rPr>
                <w:b/>
                <w:bCs/>
                <w:color w:val="auto"/>
                <w:sz w:val="24"/>
                <w:szCs w:val="24"/>
              </w:rPr>
            </w:pPr>
            <w:r>
              <w:rPr>
                <w:b/>
                <w:bCs/>
                <w:color w:val="auto"/>
                <w:sz w:val="24"/>
                <w:szCs w:val="24"/>
              </w:rPr>
              <w:t>表4-</w:t>
            </w:r>
            <w:r>
              <w:rPr>
                <w:rFonts w:hint="eastAsia"/>
                <w:b/>
                <w:bCs/>
                <w:color w:val="auto"/>
                <w:sz w:val="24"/>
                <w:szCs w:val="24"/>
              </w:rPr>
              <w:t>1</w:t>
            </w:r>
            <w:r>
              <w:rPr>
                <w:rFonts w:hint="eastAsia"/>
                <w:b/>
                <w:bCs/>
                <w:color w:val="auto"/>
                <w:sz w:val="24"/>
                <w:szCs w:val="24"/>
                <w:lang w:val="en-US" w:eastAsia="zh-CN"/>
              </w:rPr>
              <w:t>6</w:t>
            </w:r>
            <w:r>
              <w:rPr>
                <w:b/>
                <w:bCs/>
                <w:color w:val="auto"/>
                <w:sz w:val="24"/>
                <w:szCs w:val="24"/>
              </w:rPr>
              <w:t xml:space="preserve">  </w:t>
            </w:r>
            <w:r>
              <w:rPr>
                <w:rFonts w:hint="eastAsia"/>
                <w:b/>
                <w:bCs/>
                <w:color w:val="auto"/>
                <w:sz w:val="24"/>
                <w:szCs w:val="24"/>
              </w:rPr>
              <w:t xml:space="preserve"> </w:t>
            </w:r>
            <w:r>
              <w:rPr>
                <w:b/>
                <w:bCs/>
                <w:color w:val="auto"/>
                <w:sz w:val="24"/>
                <w:szCs w:val="24"/>
              </w:rPr>
              <w:t>各测点噪声对厂界贡献值结果表</w:t>
            </w:r>
          </w:p>
          <w:tbl>
            <w:tblPr>
              <w:tblStyle w:val="34"/>
              <w:tblW w:w="499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89"/>
              <w:gridCol w:w="2155"/>
              <w:gridCol w:w="1541"/>
              <w:gridCol w:w="1425"/>
              <w:gridCol w:w="1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059" w:type="pct"/>
                  <w:vMerge w:val="restart"/>
                  <w:tcBorders>
                    <w:tl2br w:val="nil"/>
                    <w:tr2bl w:val="nil"/>
                  </w:tcBorders>
                  <w:vAlign w:val="center"/>
                </w:tcPr>
                <w:p>
                  <w:pPr>
                    <w:adjustRightInd w:val="0"/>
                    <w:snapToGrid w:val="0"/>
                    <w:jc w:val="center"/>
                    <w:rPr>
                      <w:b/>
                      <w:color w:val="auto"/>
                      <w:szCs w:val="21"/>
                    </w:rPr>
                  </w:pPr>
                  <w:r>
                    <w:rPr>
                      <w:b/>
                      <w:color w:val="auto"/>
                      <w:szCs w:val="21"/>
                    </w:rPr>
                    <w:t>位置</w:t>
                  </w:r>
                </w:p>
              </w:tc>
              <w:tc>
                <w:tcPr>
                  <w:tcW w:w="1275" w:type="pct"/>
                  <w:vMerge w:val="restart"/>
                  <w:tcBorders>
                    <w:tl2br w:val="nil"/>
                    <w:tr2bl w:val="nil"/>
                  </w:tcBorders>
                  <w:vAlign w:val="center"/>
                </w:tcPr>
                <w:p>
                  <w:pPr>
                    <w:adjustRightInd w:val="0"/>
                    <w:snapToGrid w:val="0"/>
                    <w:jc w:val="center"/>
                    <w:rPr>
                      <w:b/>
                      <w:color w:val="auto"/>
                      <w:szCs w:val="21"/>
                    </w:rPr>
                  </w:pPr>
                  <w:r>
                    <w:rPr>
                      <w:b/>
                      <w:color w:val="auto"/>
                      <w:szCs w:val="21"/>
                    </w:rPr>
                    <w:t>昼间贡献值</w:t>
                  </w:r>
                  <w:r>
                    <w:rPr>
                      <w:b/>
                      <w:bCs/>
                      <w:color w:val="auto"/>
                      <w:szCs w:val="21"/>
                    </w:rPr>
                    <w:t>dB(A)</w:t>
                  </w:r>
                </w:p>
              </w:tc>
              <w:tc>
                <w:tcPr>
                  <w:tcW w:w="1755" w:type="pct"/>
                  <w:gridSpan w:val="2"/>
                  <w:tcBorders>
                    <w:tl2br w:val="nil"/>
                    <w:tr2bl w:val="nil"/>
                  </w:tcBorders>
                  <w:vAlign w:val="center"/>
                </w:tcPr>
                <w:p>
                  <w:pPr>
                    <w:adjustRightInd w:val="0"/>
                    <w:snapToGrid w:val="0"/>
                    <w:jc w:val="center"/>
                    <w:rPr>
                      <w:b/>
                      <w:color w:val="auto"/>
                      <w:szCs w:val="21"/>
                    </w:rPr>
                  </w:pPr>
                  <w:r>
                    <w:rPr>
                      <w:b/>
                      <w:color w:val="auto"/>
                      <w:szCs w:val="21"/>
                    </w:rPr>
                    <w:t>评价标准</w:t>
                  </w:r>
                </w:p>
              </w:tc>
              <w:tc>
                <w:tcPr>
                  <w:tcW w:w="908" w:type="pct"/>
                  <w:vMerge w:val="restart"/>
                  <w:tcBorders>
                    <w:tl2br w:val="nil"/>
                    <w:tr2bl w:val="nil"/>
                  </w:tcBorders>
                  <w:vAlign w:val="center"/>
                </w:tcPr>
                <w:p>
                  <w:pPr>
                    <w:adjustRightInd w:val="0"/>
                    <w:snapToGrid w:val="0"/>
                    <w:jc w:val="center"/>
                    <w:rPr>
                      <w:b/>
                      <w:color w:val="auto"/>
                      <w:szCs w:val="21"/>
                    </w:rPr>
                  </w:pPr>
                  <w:r>
                    <w:rPr>
                      <w:b/>
                      <w:color w:val="auto"/>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1059" w:type="pct"/>
                  <w:vMerge w:val="continue"/>
                  <w:tcBorders>
                    <w:tl2br w:val="nil"/>
                    <w:tr2bl w:val="nil"/>
                  </w:tcBorders>
                  <w:vAlign w:val="center"/>
                </w:tcPr>
                <w:p>
                  <w:pPr>
                    <w:adjustRightInd w:val="0"/>
                    <w:snapToGrid w:val="0"/>
                    <w:jc w:val="center"/>
                    <w:rPr>
                      <w:b/>
                      <w:color w:val="auto"/>
                      <w:szCs w:val="21"/>
                    </w:rPr>
                  </w:pPr>
                </w:p>
              </w:tc>
              <w:tc>
                <w:tcPr>
                  <w:tcW w:w="1275" w:type="pct"/>
                  <w:vMerge w:val="continue"/>
                  <w:tcBorders>
                    <w:tl2br w:val="nil"/>
                    <w:tr2bl w:val="nil"/>
                  </w:tcBorders>
                  <w:vAlign w:val="center"/>
                </w:tcPr>
                <w:p>
                  <w:pPr>
                    <w:adjustRightInd w:val="0"/>
                    <w:snapToGrid w:val="0"/>
                    <w:jc w:val="center"/>
                    <w:rPr>
                      <w:b/>
                      <w:color w:val="auto"/>
                      <w:szCs w:val="21"/>
                    </w:rPr>
                  </w:pPr>
                </w:p>
              </w:tc>
              <w:tc>
                <w:tcPr>
                  <w:tcW w:w="912" w:type="pct"/>
                  <w:tcBorders>
                    <w:tl2br w:val="nil"/>
                    <w:tr2bl w:val="nil"/>
                  </w:tcBorders>
                  <w:vAlign w:val="center"/>
                </w:tcPr>
                <w:p>
                  <w:pPr>
                    <w:adjustRightInd w:val="0"/>
                    <w:snapToGrid w:val="0"/>
                    <w:jc w:val="center"/>
                    <w:rPr>
                      <w:b/>
                      <w:color w:val="auto"/>
                      <w:szCs w:val="21"/>
                    </w:rPr>
                  </w:pPr>
                  <w:r>
                    <w:rPr>
                      <w:b/>
                      <w:color w:val="auto"/>
                      <w:szCs w:val="21"/>
                    </w:rPr>
                    <w:t>昼间</w:t>
                  </w:r>
                  <w:r>
                    <w:rPr>
                      <w:b/>
                      <w:bCs/>
                      <w:color w:val="auto"/>
                      <w:szCs w:val="21"/>
                    </w:rPr>
                    <w:t>dB(A)</w:t>
                  </w:r>
                </w:p>
              </w:tc>
              <w:tc>
                <w:tcPr>
                  <w:tcW w:w="843" w:type="pct"/>
                  <w:tcBorders>
                    <w:tl2br w:val="nil"/>
                    <w:tr2bl w:val="nil"/>
                  </w:tcBorders>
                  <w:vAlign w:val="center"/>
                </w:tcPr>
                <w:p>
                  <w:pPr>
                    <w:adjustRightInd w:val="0"/>
                    <w:snapToGrid w:val="0"/>
                    <w:jc w:val="center"/>
                    <w:rPr>
                      <w:b/>
                      <w:color w:val="auto"/>
                      <w:szCs w:val="21"/>
                    </w:rPr>
                  </w:pPr>
                  <w:r>
                    <w:rPr>
                      <w:b/>
                      <w:color w:val="auto"/>
                      <w:szCs w:val="21"/>
                    </w:rPr>
                    <w:t>夜间</w:t>
                  </w:r>
                  <w:r>
                    <w:rPr>
                      <w:b/>
                      <w:bCs/>
                      <w:color w:val="auto"/>
                      <w:szCs w:val="21"/>
                    </w:rPr>
                    <w:t>dB(A)</w:t>
                  </w:r>
                </w:p>
              </w:tc>
              <w:tc>
                <w:tcPr>
                  <w:tcW w:w="908"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auto"/>
                      <w:szCs w:val="21"/>
                    </w:rPr>
                  </w:pPr>
                  <w:r>
                    <w:rPr>
                      <w:color w:val="auto"/>
                      <w:szCs w:val="21"/>
                    </w:rPr>
                    <w:t>1#厂界东侧</w:t>
                  </w:r>
                </w:p>
              </w:tc>
              <w:tc>
                <w:tcPr>
                  <w:tcW w:w="1275" w:type="pct"/>
                  <w:tcBorders>
                    <w:tl2br w:val="nil"/>
                    <w:tr2bl w:val="nil"/>
                  </w:tcBorders>
                  <w:vAlign w:val="center"/>
                </w:tcPr>
                <w:p>
                  <w:pPr>
                    <w:jc w:val="center"/>
                    <w:rPr>
                      <w:color w:val="auto"/>
                      <w:szCs w:val="21"/>
                    </w:rPr>
                  </w:pPr>
                  <w:r>
                    <w:rPr>
                      <w:rFonts w:hint="eastAsia"/>
                      <w:color w:val="auto"/>
                      <w:sz w:val="22"/>
                      <w:lang w:val="en-US" w:eastAsia="zh-CN"/>
                    </w:rPr>
                    <w:t>53</w:t>
                  </w:r>
                  <w:r>
                    <w:rPr>
                      <w:rFonts w:hint="eastAsia"/>
                      <w:color w:val="auto"/>
                      <w:sz w:val="22"/>
                    </w:rPr>
                    <w:t>.5</w:t>
                  </w:r>
                </w:p>
              </w:tc>
              <w:tc>
                <w:tcPr>
                  <w:tcW w:w="912" w:type="pct"/>
                  <w:vMerge w:val="restart"/>
                  <w:tcBorders>
                    <w:tl2br w:val="nil"/>
                    <w:tr2bl w:val="nil"/>
                  </w:tcBorders>
                  <w:vAlign w:val="center"/>
                </w:tcPr>
                <w:p>
                  <w:pPr>
                    <w:adjustRightInd w:val="0"/>
                    <w:snapToGrid w:val="0"/>
                    <w:jc w:val="center"/>
                    <w:rPr>
                      <w:color w:val="auto"/>
                      <w:szCs w:val="21"/>
                    </w:rPr>
                  </w:pPr>
                  <w:r>
                    <w:rPr>
                      <w:color w:val="auto"/>
                      <w:szCs w:val="21"/>
                    </w:rPr>
                    <w:t>65</w:t>
                  </w:r>
                </w:p>
              </w:tc>
              <w:tc>
                <w:tcPr>
                  <w:tcW w:w="843" w:type="pct"/>
                  <w:vMerge w:val="restart"/>
                  <w:tcBorders>
                    <w:tl2br w:val="nil"/>
                    <w:tr2bl w:val="nil"/>
                  </w:tcBorders>
                  <w:vAlign w:val="center"/>
                </w:tcPr>
                <w:p>
                  <w:pPr>
                    <w:adjustRightInd w:val="0"/>
                    <w:snapToGrid w:val="0"/>
                    <w:jc w:val="center"/>
                    <w:rPr>
                      <w:color w:val="auto"/>
                      <w:szCs w:val="21"/>
                    </w:rPr>
                  </w:pPr>
                  <w:r>
                    <w:rPr>
                      <w:color w:val="auto"/>
                      <w:szCs w:val="21"/>
                    </w:rPr>
                    <w:t>55</w:t>
                  </w:r>
                </w:p>
              </w:tc>
              <w:tc>
                <w:tcPr>
                  <w:tcW w:w="908"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auto"/>
                      <w:szCs w:val="21"/>
                    </w:rPr>
                  </w:pPr>
                  <w:r>
                    <w:rPr>
                      <w:color w:val="auto"/>
                      <w:szCs w:val="21"/>
                    </w:rPr>
                    <w:t>2#厂界南侧</w:t>
                  </w:r>
                </w:p>
              </w:tc>
              <w:tc>
                <w:tcPr>
                  <w:tcW w:w="1275" w:type="pct"/>
                  <w:tcBorders>
                    <w:tl2br w:val="nil"/>
                    <w:tr2bl w:val="nil"/>
                  </w:tcBorders>
                  <w:vAlign w:val="center"/>
                </w:tcPr>
                <w:p>
                  <w:pPr>
                    <w:jc w:val="center"/>
                    <w:rPr>
                      <w:color w:val="auto"/>
                      <w:szCs w:val="21"/>
                    </w:rPr>
                  </w:pPr>
                  <w:r>
                    <w:rPr>
                      <w:color w:val="auto"/>
                      <w:sz w:val="22"/>
                    </w:rPr>
                    <w:t>5</w:t>
                  </w:r>
                  <w:r>
                    <w:rPr>
                      <w:rFonts w:hint="eastAsia"/>
                      <w:color w:val="auto"/>
                      <w:sz w:val="22"/>
                    </w:rPr>
                    <w:t>0.6</w:t>
                  </w:r>
                </w:p>
              </w:tc>
              <w:tc>
                <w:tcPr>
                  <w:tcW w:w="912" w:type="pct"/>
                  <w:vMerge w:val="continue"/>
                  <w:tcBorders>
                    <w:tl2br w:val="nil"/>
                    <w:tr2bl w:val="nil"/>
                  </w:tcBorders>
                  <w:vAlign w:val="center"/>
                </w:tcPr>
                <w:p>
                  <w:pPr>
                    <w:adjustRightInd w:val="0"/>
                    <w:snapToGrid w:val="0"/>
                    <w:jc w:val="center"/>
                    <w:rPr>
                      <w:color w:val="auto"/>
                      <w:szCs w:val="21"/>
                    </w:rPr>
                  </w:pPr>
                </w:p>
              </w:tc>
              <w:tc>
                <w:tcPr>
                  <w:tcW w:w="843" w:type="pct"/>
                  <w:vMerge w:val="continue"/>
                  <w:tcBorders>
                    <w:tl2br w:val="nil"/>
                    <w:tr2bl w:val="nil"/>
                  </w:tcBorders>
                  <w:vAlign w:val="center"/>
                </w:tcPr>
                <w:p>
                  <w:pPr>
                    <w:adjustRightInd w:val="0"/>
                    <w:snapToGrid w:val="0"/>
                    <w:jc w:val="center"/>
                    <w:rPr>
                      <w:color w:val="auto"/>
                      <w:szCs w:val="21"/>
                    </w:rPr>
                  </w:pPr>
                </w:p>
              </w:tc>
              <w:tc>
                <w:tcPr>
                  <w:tcW w:w="908"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auto"/>
                      <w:szCs w:val="21"/>
                    </w:rPr>
                  </w:pPr>
                  <w:r>
                    <w:rPr>
                      <w:color w:val="auto"/>
                      <w:szCs w:val="21"/>
                    </w:rPr>
                    <w:t>3#厂界西侧</w:t>
                  </w:r>
                </w:p>
              </w:tc>
              <w:tc>
                <w:tcPr>
                  <w:tcW w:w="1275" w:type="pct"/>
                  <w:tcBorders>
                    <w:tl2br w:val="nil"/>
                    <w:tr2bl w:val="nil"/>
                  </w:tcBorders>
                  <w:vAlign w:val="center"/>
                </w:tcPr>
                <w:p>
                  <w:pPr>
                    <w:jc w:val="center"/>
                    <w:rPr>
                      <w:color w:val="auto"/>
                      <w:szCs w:val="21"/>
                    </w:rPr>
                  </w:pPr>
                  <w:r>
                    <w:rPr>
                      <w:color w:val="auto"/>
                      <w:sz w:val="22"/>
                    </w:rPr>
                    <w:t>5</w:t>
                  </w:r>
                  <w:r>
                    <w:rPr>
                      <w:rFonts w:hint="eastAsia"/>
                      <w:color w:val="auto"/>
                      <w:sz w:val="22"/>
                      <w:lang w:val="en-US" w:eastAsia="zh-CN"/>
                    </w:rPr>
                    <w:t>2</w:t>
                  </w:r>
                  <w:r>
                    <w:rPr>
                      <w:color w:val="auto"/>
                      <w:sz w:val="22"/>
                    </w:rPr>
                    <w:t>.</w:t>
                  </w:r>
                  <w:r>
                    <w:rPr>
                      <w:rFonts w:hint="eastAsia"/>
                      <w:color w:val="auto"/>
                      <w:sz w:val="22"/>
                    </w:rPr>
                    <w:t>3</w:t>
                  </w:r>
                </w:p>
              </w:tc>
              <w:tc>
                <w:tcPr>
                  <w:tcW w:w="912" w:type="pct"/>
                  <w:vMerge w:val="continue"/>
                  <w:tcBorders>
                    <w:tl2br w:val="nil"/>
                    <w:tr2bl w:val="nil"/>
                  </w:tcBorders>
                  <w:vAlign w:val="center"/>
                </w:tcPr>
                <w:p>
                  <w:pPr>
                    <w:adjustRightInd w:val="0"/>
                    <w:snapToGrid w:val="0"/>
                    <w:jc w:val="center"/>
                    <w:rPr>
                      <w:color w:val="auto"/>
                      <w:szCs w:val="21"/>
                    </w:rPr>
                  </w:pPr>
                </w:p>
              </w:tc>
              <w:tc>
                <w:tcPr>
                  <w:tcW w:w="843" w:type="pct"/>
                  <w:vMerge w:val="continue"/>
                  <w:tcBorders>
                    <w:tl2br w:val="nil"/>
                    <w:tr2bl w:val="nil"/>
                  </w:tcBorders>
                  <w:vAlign w:val="center"/>
                </w:tcPr>
                <w:p>
                  <w:pPr>
                    <w:adjustRightInd w:val="0"/>
                    <w:snapToGrid w:val="0"/>
                    <w:jc w:val="center"/>
                    <w:rPr>
                      <w:color w:val="auto"/>
                      <w:szCs w:val="21"/>
                    </w:rPr>
                  </w:pPr>
                </w:p>
              </w:tc>
              <w:tc>
                <w:tcPr>
                  <w:tcW w:w="908"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auto"/>
                      <w:szCs w:val="21"/>
                    </w:rPr>
                  </w:pPr>
                  <w:r>
                    <w:rPr>
                      <w:color w:val="auto"/>
                      <w:szCs w:val="21"/>
                    </w:rPr>
                    <w:t>4#厂界北侧</w:t>
                  </w:r>
                </w:p>
              </w:tc>
              <w:tc>
                <w:tcPr>
                  <w:tcW w:w="1275" w:type="pct"/>
                  <w:tcBorders>
                    <w:tl2br w:val="nil"/>
                    <w:tr2bl w:val="nil"/>
                  </w:tcBorders>
                  <w:vAlign w:val="center"/>
                </w:tcPr>
                <w:p>
                  <w:pPr>
                    <w:jc w:val="center"/>
                    <w:rPr>
                      <w:rFonts w:hint="eastAsia" w:eastAsia="宋体"/>
                      <w:color w:val="auto"/>
                      <w:szCs w:val="21"/>
                      <w:lang w:val="en-US" w:eastAsia="zh-CN"/>
                    </w:rPr>
                  </w:pPr>
                  <w:r>
                    <w:rPr>
                      <w:rFonts w:hint="eastAsia"/>
                      <w:color w:val="auto"/>
                      <w:sz w:val="22"/>
                    </w:rPr>
                    <w:t>4</w:t>
                  </w:r>
                  <w:r>
                    <w:rPr>
                      <w:rFonts w:hint="eastAsia"/>
                      <w:color w:val="auto"/>
                      <w:sz w:val="22"/>
                      <w:lang w:val="en-US" w:eastAsia="zh-CN"/>
                    </w:rPr>
                    <w:t>9</w:t>
                  </w:r>
                  <w:r>
                    <w:rPr>
                      <w:rFonts w:hint="eastAsia"/>
                      <w:color w:val="auto"/>
                      <w:sz w:val="22"/>
                    </w:rPr>
                    <w:t>.</w:t>
                  </w:r>
                  <w:r>
                    <w:rPr>
                      <w:rFonts w:hint="eastAsia"/>
                      <w:color w:val="auto"/>
                      <w:sz w:val="22"/>
                      <w:lang w:val="en-US" w:eastAsia="zh-CN"/>
                    </w:rPr>
                    <w:t>5</w:t>
                  </w:r>
                </w:p>
              </w:tc>
              <w:tc>
                <w:tcPr>
                  <w:tcW w:w="912" w:type="pct"/>
                  <w:vMerge w:val="continue"/>
                  <w:tcBorders>
                    <w:tl2br w:val="nil"/>
                    <w:tr2bl w:val="nil"/>
                  </w:tcBorders>
                  <w:vAlign w:val="center"/>
                </w:tcPr>
                <w:p>
                  <w:pPr>
                    <w:adjustRightInd w:val="0"/>
                    <w:snapToGrid w:val="0"/>
                    <w:jc w:val="center"/>
                    <w:rPr>
                      <w:color w:val="auto"/>
                      <w:szCs w:val="21"/>
                    </w:rPr>
                  </w:pPr>
                </w:p>
              </w:tc>
              <w:tc>
                <w:tcPr>
                  <w:tcW w:w="843" w:type="pct"/>
                  <w:vMerge w:val="continue"/>
                  <w:tcBorders>
                    <w:tl2br w:val="nil"/>
                    <w:tr2bl w:val="nil"/>
                  </w:tcBorders>
                  <w:vAlign w:val="center"/>
                </w:tcPr>
                <w:p>
                  <w:pPr>
                    <w:adjustRightInd w:val="0"/>
                    <w:snapToGrid w:val="0"/>
                    <w:jc w:val="center"/>
                    <w:rPr>
                      <w:color w:val="auto"/>
                      <w:szCs w:val="21"/>
                    </w:rPr>
                  </w:pPr>
                </w:p>
              </w:tc>
              <w:tc>
                <w:tcPr>
                  <w:tcW w:w="908" w:type="pct"/>
                  <w:tcBorders>
                    <w:tl2br w:val="nil"/>
                    <w:tr2bl w:val="nil"/>
                  </w:tcBorders>
                  <w:vAlign w:val="center"/>
                </w:tcPr>
                <w:p>
                  <w:pPr>
                    <w:adjustRightInd w:val="0"/>
                    <w:snapToGrid w:val="0"/>
                    <w:jc w:val="center"/>
                    <w:rPr>
                      <w:color w:val="auto"/>
                      <w:szCs w:val="21"/>
                    </w:rPr>
                  </w:pPr>
                  <w:r>
                    <w:rPr>
                      <w:color w:val="auto"/>
                      <w:szCs w:val="21"/>
                    </w:rPr>
                    <w:t>达标</w:t>
                  </w:r>
                </w:p>
              </w:tc>
            </w:tr>
          </w:tbl>
          <w:p>
            <w:pPr>
              <w:adjustRightInd w:val="0"/>
              <w:snapToGrid w:val="0"/>
              <w:ind w:firstLine="200" w:firstLineChars="200"/>
              <w:rPr>
                <w:color w:val="auto"/>
                <w:sz w:val="10"/>
                <w:szCs w:val="10"/>
              </w:rPr>
            </w:pP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此可见，项目运营期后通过对高噪声设备采取相应的噪声控制措施，利用围墙隔声和距离衰减的情况下，本项目厂界昼间噪声均符合《工业企业厂界环境噪声排放标准》（GB12348-2008）3类标准，即昼间65dB（A）、夜间55dB（A）。项目在生产过程中，要加强设备保养和维护，定期检查设备基础减震装置，确保减震装置达到减震效果，本项目噪声对周围声环境影响较小。</w:t>
            </w:r>
          </w:p>
          <w:p>
            <w:pPr>
              <w:pStyle w:val="85"/>
              <w:spacing w:before="0" w:line="360" w:lineRule="auto"/>
              <w:ind w:firstLine="460" w:firstLineChars="200"/>
              <w:rPr>
                <w:rFonts w:hint="default"/>
                <w:color w:val="auto"/>
              </w:rPr>
            </w:pPr>
            <w:r>
              <w:rPr>
                <w:rFonts w:hint="default" w:ascii="Times New Roman" w:hAnsi="Times New Roman" w:eastAsia="宋体" w:cs="Times New Roman"/>
                <w:color w:val="auto"/>
                <w:spacing w:val="-5"/>
                <w:sz w:val="24"/>
              </w:rPr>
              <w:t>根据</w:t>
            </w:r>
            <w:r>
              <w:rPr>
                <w:rFonts w:hint="default" w:ascii="Times New Roman" w:hAnsi="Times New Roman" w:cs="Times New Roman"/>
                <w:color w:val="auto"/>
                <w:sz w:val="24"/>
              </w:rPr>
              <w:t>《排污许可证申请与核发技术规范 总则》（HJ</w:t>
            </w:r>
            <w:r>
              <w:rPr>
                <w:rFonts w:hint="default" w:ascii="Times New Roman" w:hAnsi="Times New Roman" w:cs="Times New Roman"/>
                <w:color w:val="auto"/>
                <w:sz w:val="24"/>
                <w:lang w:val="en-US"/>
              </w:rPr>
              <w:t>942</w:t>
            </w:r>
            <w:r>
              <w:rPr>
                <w:rFonts w:hint="default" w:ascii="Times New Roman" w:hAnsi="Times New Roman" w:cs="Times New Roman"/>
                <w:color w:val="auto"/>
                <w:sz w:val="24"/>
              </w:rPr>
              <w:t>-201</w:t>
            </w:r>
            <w:r>
              <w:rPr>
                <w:rFonts w:hint="default" w:ascii="Times New Roman" w:hAnsi="Times New Roman" w:cs="Times New Roman"/>
                <w:color w:val="auto"/>
                <w:sz w:val="24"/>
                <w:lang w:val="en-US"/>
              </w:rPr>
              <w:t>8</w:t>
            </w:r>
            <w:r>
              <w:rPr>
                <w:rFonts w:hint="default" w:ascii="Times New Roman" w:hAnsi="Times New Roman" w:cs="Times New Roman"/>
                <w:color w:val="auto"/>
                <w:sz w:val="24"/>
              </w:rPr>
              <w:t>）和《排污单位自行监测技术指南</w:t>
            </w:r>
            <w:r>
              <w:rPr>
                <w:rFonts w:hint="default" w:ascii="Times New Roman" w:hAnsi="Times New Roman" w:cs="Times New Roman"/>
                <w:color w:val="auto"/>
                <w:sz w:val="24"/>
                <w:lang w:val="en-US"/>
              </w:rPr>
              <w:t xml:space="preserve"> 涂装</w:t>
            </w:r>
            <w:r>
              <w:rPr>
                <w:rFonts w:hint="default" w:ascii="Times New Roman" w:hAnsi="Times New Roman" w:cs="Times New Roman"/>
                <w:color w:val="auto"/>
                <w:sz w:val="24"/>
              </w:rPr>
              <w:t>》（HJ108</w:t>
            </w:r>
            <w:r>
              <w:rPr>
                <w:rFonts w:hint="default" w:ascii="Times New Roman" w:hAnsi="Times New Roman" w:cs="Times New Roman"/>
                <w:color w:val="auto"/>
                <w:sz w:val="24"/>
                <w:lang w:val="en-US"/>
              </w:rPr>
              <w:t>6</w:t>
            </w:r>
            <w:r>
              <w:rPr>
                <w:rFonts w:hint="default" w:ascii="Times New Roman" w:hAnsi="Times New Roman" w:cs="Times New Roman"/>
                <w:color w:val="auto"/>
                <w:sz w:val="24"/>
              </w:rPr>
              <w:t>-2020）中的规定</w:t>
            </w:r>
            <w:r>
              <w:rPr>
                <w:rFonts w:hint="default" w:ascii="Times New Roman" w:hAnsi="Times New Roman" w:eastAsia="宋体" w:cs="Times New Roman"/>
                <w:color w:val="auto"/>
                <w:spacing w:val="-5"/>
                <w:sz w:val="24"/>
              </w:rPr>
              <w:t>，建了企业监测制度，制定监测方案，对污染物排放状况及其周边环境质量的影响开展自行监测。</w:t>
            </w:r>
          </w:p>
          <w:p>
            <w:pPr>
              <w:adjustRightInd w:val="0"/>
              <w:snapToGrid w:val="0"/>
              <w:spacing w:line="360" w:lineRule="auto"/>
              <w:jc w:val="center"/>
              <w:rPr>
                <w:rFonts w:hAnsi="宋体" w:cs="宋体"/>
                <w:b/>
                <w:bCs/>
                <w:color w:val="auto"/>
                <w:sz w:val="24"/>
                <w:szCs w:val="24"/>
                <w:lang w:bidi="en-US"/>
              </w:rPr>
            </w:pPr>
            <w:r>
              <w:rPr>
                <w:rFonts w:hint="eastAsia" w:hAnsi="宋体" w:cs="宋体"/>
                <w:b/>
                <w:bCs/>
                <w:color w:val="auto"/>
                <w:sz w:val="24"/>
                <w:szCs w:val="24"/>
                <w:lang w:bidi="en-US"/>
              </w:rPr>
              <w:t>表4-1</w:t>
            </w:r>
            <w:r>
              <w:rPr>
                <w:rFonts w:hint="eastAsia" w:hAnsi="宋体" w:cs="宋体"/>
                <w:b/>
                <w:bCs/>
                <w:color w:val="auto"/>
                <w:sz w:val="24"/>
                <w:szCs w:val="24"/>
                <w:lang w:val="en-US" w:eastAsia="zh-CN" w:bidi="en-US"/>
              </w:rPr>
              <w:t>7</w:t>
            </w:r>
            <w:r>
              <w:rPr>
                <w:rFonts w:hint="eastAsia" w:hAnsi="宋体" w:cs="宋体"/>
                <w:b/>
                <w:bCs/>
                <w:color w:val="auto"/>
                <w:sz w:val="24"/>
                <w:szCs w:val="24"/>
                <w:lang w:bidi="en-US"/>
              </w:rPr>
              <w:t xml:space="preserve">   噪声排放监测点位、监测指标及最低监测频次</w:t>
            </w:r>
          </w:p>
          <w:tbl>
            <w:tblPr>
              <w:tblStyle w:val="3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782"/>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68" w:type="dxa"/>
                  <w:vAlign w:val="center"/>
                </w:tcPr>
                <w:p>
                  <w:pPr>
                    <w:spacing w:line="240" w:lineRule="auto"/>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监测点位</w:t>
                  </w:r>
                </w:p>
              </w:tc>
              <w:tc>
                <w:tcPr>
                  <w:tcW w:w="2798" w:type="dxa"/>
                  <w:vAlign w:val="center"/>
                </w:tcPr>
                <w:p>
                  <w:pPr>
                    <w:spacing w:line="240" w:lineRule="auto"/>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监测指标</w:t>
                  </w:r>
                </w:p>
              </w:tc>
              <w:tc>
                <w:tcPr>
                  <w:tcW w:w="3613" w:type="dxa"/>
                  <w:vAlign w:val="center"/>
                </w:tcPr>
                <w:p>
                  <w:pPr>
                    <w:spacing w:line="240" w:lineRule="auto"/>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279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等效连续A声级（Lep）</w:t>
                  </w:r>
                </w:p>
              </w:tc>
              <w:tc>
                <w:tcPr>
                  <w:tcW w:w="3613"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每季度监测1次</w:t>
                  </w:r>
                </w:p>
              </w:tc>
            </w:tr>
          </w:tbl>
          <w:p>
            <w:pPr>
              <w:pStyle w:val="2"/>
              <w:rPr>
                <w:b/>
                <w:color w:val="auto"/>
              </w:rPr>
            </w:pPr>
          </w:p>
          <w:p>
            <w:pPr>
              <w:pStyle w:val="2"/>
              <w:spacing w:line="360" w:lineRule="auto"/>
              <w:rPr>
                <w:b/>
                <w:color w:val="auto"/>
                <w:sz w:val="24"/>
                <w:szCs w:val="24"/>
              </w:rPr>
            </w:pPr>
            <w:r>
              <w:rPr>
                <w:rFonts w:hint="eastAsia"/>
                <w:b/>
                <w:color w:val="auto"/>
                <w:sz w:val="24"/>
                <w:szCs w:val="24"/>
              </w:rPr>
              <w:t>4、</w:t>
            </w:r>
            <w:r>
              <w:rPr>
                <w:b/>
                <w:color w:val="auto"/>
                <w:sz w:val="24"/>
                <w:szCs w:val="24"/>
              </w:rPr>
              <w:t>固体废物</w:t>
            </w:r>
          </w:p>
          <w:p>
            <w:pPr>
              <w:spacing w:line="360" w:lineRule="auto"/>
              <w:rPr>
                <w:rFonts w:hint="default" w:ascii="Times New Roman" w:hAnsi="Times New Roman" w:eastAsia="宋体" w:cs="Times New Roman"/>
                <w:color w:val="auto"/>
                <w:sz w:val="24"/>
                <w:szCs w:val="24"/>
              </w:rPr>
            </w:pPr>
            <w:r>
              <w:rPr>
                <w:rFonts w:hint="eastAsia" w:ascii="宋体" w:hAnsi="宋体" w:cs="宋体"/>
                <w:color w:val="auto"/>
                <w:sz w:val="24"/>
                <w:szCs w:val="24"/>
              </w:rPr>
              <w:t xml:space="preserve">    </w:t>
            </w:r>
            <w:r>
              <w:rPr>
                <w:rFonts w:hint="default" w:ascii="Times New Roman" w:hAnsi="Times New Roman" w:eastAsia="宋体" w:cs="Times New Roman"/>
                <w:color w:val="auto"/>
                <w:sz w:val="24"/>
                <w:szCs w:val="24"/>
              </w:rPr>
              <w:t>本项目固体废物主要为下料产生的废边角料、焊接烟尘及焊渣、除尘器收集的</w:t>
            </w:r>
            <w:r>
              <w:rPr>
                <w:rFonts w:hint="eastAsia" w:cs="Times New Roman"/>
                <w:color w:val="auto"/>
                <w:sz w:val="24"/>
                <w:szCs w:val="24"/>
                <w:lang w:val="en-US" w:eastAsia="zh-CN"/>
              </w:rPr>
              <w:t>抛丸</w:t>
            </w:r>
            <w:r>
              <w:rPr>
                <w:rFonts w:hint="default" w:ascii="Times New Roman" w:hAnsi="Times New Roman" w:eastAsia="宋体" w:cs="Times New Roman"/>
                <w:color w:val="auto"/>
                <w:sz w:val="24"/>
                <w:szCs w:val="24"/>
              </w:rPr>
              <w:t>粉尘</w:t>
            </w:r>
            <w:r>
              <w:rPr>
                <w:rFonts w:hint="eastAsia" w:cs="Times New Roman"/>
                <w:color w:val="auto"/>
                <w:sz w:val="24"/>
                <w:szCs w:val="24"/>
                <w:lang w:eastAsia="zh-CN"/>
              </w:rPr>
              <w:t>及废钢丸</w:t>
            </w:r>
            <w:r>
              <w:rPr>
                <w:rFonts w:hint="eastAsia" w:cs="Times New Roman"/>
                <w:color w:val="auto"/>
                <w:sz w:val="24"/>
                <w:szCs w:val="24"/>
                <w:lang w:val="en-US" w:eastAsia="zh-CN"/>
              </w:rPr>
              <w:t>、废机油、</w:t>
            </w:r>
            <w:r>
              <w:rPr>
                <w:rFonts w:hint="default" w:ascii="Times New Roman" w:hAnsi="Times New Roman" w:eastAsia="宋体" w:cs="Times New Roman"/>
                <w:color w:val="auto"/>
                <w:sz w:val="24"/>
                <w:szCs w:val="24"/>
              </w:rPr>
              <w:t>废活性炭、废过滤棉、废漆桶、漆渣</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废机油桶</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废含油抹布及废劳保用品和生活垃圾。</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废边角料：下料时产生的废边角料，</w:t>
            </w:r>
            <w:r>
              <w:rPr>
                <w:rFonts w:hint="default" w:ascii="Times New Roman" w:hAnsi="Times New Roman" w:eastAsia="宋体" w:cs="Times New Roman"/>
                <w:color w:val="auto"/>
                <w:sz w:val="24"/>
                <w:szCs w:val="24"/>
                <w:lang w:val="en-US" w:eastAsia="zh-CN"/>
              </w:rPr>
              <w:t>下料</w:t>
            </w:r>
            <w:r>
              <w:rPr>
                <w:rFonts w:hint="default" w:ascii="Times New Roman" w:hAnsi="Times New Roman" w:eastAsia="宋体" w:cs="Times New Roman"/>
                <w:color w:val="auto"/>
                <w:sz w:val="24"/>
                <w:szCs w:val="24"/>
              </w:rPr>
              <w:t>车间</w:t>
            </w:r>
            <w:r>
              <w:rPr>
                <w:rFonts w:hint="default" w:ascii="Times New Roman" w:hAnsi="Times New Roman" w:eastAsia="宋体" w:cs="Times New Roman"/>
                <w:color w:val="auto"/>
                <w:sz w:val="24"/>
                <w:szCs w:val="24"/>
                <w:lang w:val="en-US" w:eastAsia="zh-CN"/>
              </w:rPr>
              <w:t>地面的金属</w:t>
            </w:r>
            <w:r>
              <w:rPr>
                <w:rFonts w:hint="default" w:ascii="Times New Roman" w:hAnsi="Times New Roman" w:eastAsia="宋体" w:cs="Times New Roman"/>
                <w:color w:val="auto"/>
                <w:sz w:val="24"/>
                <w:szCs w:val="24"/>
              </w:rPr>
              <w:t>粉尘</w:t>
            </w:r>
            <w:r>
              <w:rPr>
                <w:rFonts w:hint="eastAsia" w:cs="Times New Roman"/>
                <w:color w:val="auto"/>
                <w:sz w:val="24"/>
                <w:szCs w:val="24"/>
                <w:lang w:eastAsia="zh-CN"/>
              </w:rPr>
              <w:t>、</w:t>
            </w:r>
            <w:r>
              <w:rPr>
                <w:rFonts w:hint="eastAsia" w:cs="Times New Roman"/>
                <w:color w:val="auto"/>
                <w:sz w:val="24"/>
                <w:szCs w:val="24"/>
                <w:lang w:val="en-US" w:eastAsia="zh-CN"/>
              </w:rPr>
              <w:t>除尘器收集的金属粉尘</w:t>
            </w:r>
            <w:r>
              <w:rPr>
                <w:rFonts w:hint="default" w:ascii="Times New Roman" w:hAnsi="Times New Roman" w:eastAsia="宋体" w:cs="Times New Roman"/>
                <w:color w:val="auto"/>
                <w:sz w:val="24"/>
                <w:szCs w:val="24"/>
              </w:rPr>
              <w:t>等，合计</w:t>
            </w:r>
            <w:r>
              <w:rPr>
                <w:rFonts w:hint="eastAsia" w:cs="Times New Roman"/>
                <w:color w:val="auto"/>
                <w:sz w:val="24"/>
                <w:szCs w:val="24"/>
                <w:lang w:val="en-US" w:eastAsia="zh-CN"/>
              </w:rPr>
              <w:t>约111.765</w:t>
            </w:r>
            <w:r>
              <w:rPr>
                <w:rFonts w:hint="default" w:ascii="Times New Roman" w:hAnsi="Times New Roman" w:eastAsia="宋体" w:cs="Times New Roman"/>
                <w:color w:val="auto"/>
                <w:sz w:val="24"/>
                <w:szCs w:val="24"/>
              </w:rPr>
              <w:t>t/a，外售综合利用。</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焊接烟尘及焊渣：焊接时采用集气系统收集后进入布袋除尘器进行处理，除尘器收集的焊接烟尘</w:t>
            </w:r>
            <w:r>
              <w:rPr>
                <w:rFonts w:hint="eastAsia" w:cs="Times New Roman"/>
                <w:color w:val="auto"/>
                <w:sz w:val="24"/>
                <w:szCs w:val="24"/>
                <w:lang w:val="en-US" w:eastAsia="zh-CN"/>
              </w:rPr>
              <w:t>约为1.101</w:t>
            </w:r>
            <w:r>
              <w:rPr>
                <w:rFonts w:hint="default" w:ascii="Times New Roman" w:hAnsi="Times New Roman" w:eastAsia="宋体" w:cs="Times New Roman"/>
                <w:color w:val="auto"/>
                <w:sz w:val="24"/>
                <w:szCs w:val="24"/>
              </w:rPr>
              <w:t>t/a，焊接产生焊渣</w:t>
            </w:r>
            <w:r>
              <w:rPr>
                <w:rFonts w:hint="eastAsia" w:cs="Times New Roman"/>
                <w:color w:val="auto"/>
                <w:sz w:val="24"/>
                <w:szCs w:val="24"/>
                <w:lang w:val="en-US" w:eastAsia="zh-CN"/>
              </w:rPr>
              <w:t>约为</w:t>
            </w:r>
            <w:r>
              <w:rPr>
                <w:rFonts w:hint="default" w:ascii="Times New Roman" w:hAnsi="Times New Roman" w:eastAsia="宋体" w:cs="Times New Roman"/>
                <w:color w:val="auto"/>
                <w:sz w:val="24"/>
                <w:szCs w:val="24"/>
              </w:rPr>
              <w:t>0.</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t/a，合计焊接废物</w:t>
            </w:r>
            <w:r>
              <w:rPr>
                <w:rFonts w:hint="eastAsia" w:cs="Times New Roman"/>
                <w:color w:val="auto"/>
                <w:sz w:val="24"/>
                <w:szCs w:val="24"/>
                <w:lang w:val="en-US" w:eastAsia="zh-CN"/>
              </w:rPr>
              <w:t>1.601</w:t>
            </w:r>
            <w:r>
              <w:rPr>
                <w:rFonts w:hint="default" w:ascii="Times New Roman" w:hAnsi="Times New Roman" w:eastAsia="宋体" w:cs="Times New Roman"/>
                <w:color w:val="auto"/>
                <w:sz w:val="24"/>
                <w:szCs w:val="24"/>
              </w:rPr>
              <w:t>t/a，外售综合利用。</w:t>
            </w:r>
          </w:p>
          <w:p>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抛丸粉尘及废钢丸</w:t>
            </w:r>
            <w:r>
              <w:rPr>
                <w:rFonts w:hint="default" w:ascii="Times New Roman" w:hAnsi="Times New Roman" w:eastAsia="宋体" w:cs="Times New Roman"/>
                <w:color w:val="auto"/>
                <w:sz w:val="24"/>
                <w:szCs w:val="24"/>
              </w:rPr>
              <w:t>：工件表面</w:t>
            </w:r>
            <w:r>
              <w:rPr>
                <w:rFonts w:hint="eastAsia" w:cs="Times New Roman"/>
                <w:color w:val="auto"/>
                <w:sz w:val="24"/>
                <w:szCs w:val="24"/>
                <w:lang w:eastAsia="zh-CN"/>
              </w:rPr>
              <w:t>抛丸</w:t>
            </w:r>
            <w:r>
              <w:rPr>
                <w:rFonts w:hint="default" w:ascii="Times New Roman" w:hAnsi="Times New Roman" w:eastAsia="宋体" w:cs="Times New Roman"/>
                <w:color w:val="auto"/>
                <w:sz w:val="24"/>
                <w:szCs w:val="24"/>
              </w:rPr>
              <w:t>处理时会产生粉尘，</w:t>
            </w:r>
            <w:r>
              <w:rPr>
                <w:rFonts w:hint="eastAsia" w:cs="Times New Roman"/>
                <w:color w:val="auto"/>
                <w:sz w:val="24"/>
                <w:szCs w:val="24"/>
                <w:lang w:eastAsia="zh-CN"/>
              </w:rPr>
              <w:t>抛丸</w:t>
            </w:r>
            <w:r>
              <w:rPr>
                <w:rFonts w:hint="default" w:ascii="Times New Roman" w:hAnsi="Times New Roman" w:eastAsia="宋体" w:cs="Times New Roman"/>
                <w:color w:val="auto"/>
                <w:sz w:val="24"/>
                <w:szCs w:val="24"/>
              </w:rPr>
              <w:t>粉尘经布袋除尘器收集，收集下来的粉尘量</w:t>
            </w:r>
            <w:r>
              <w:rPr>
                <w:rFonts w:hint="eastAsia" w:cs="Times New Roman"/>
                <w:color w:val="auto"/>
                <w:sz w:val="24"/>
                <w:szCs w:val="24"/>
                <w:lang w:eastAsia="zh-CN"/>
              </w:rPr>
              <w:t>18.350</w:t>
            </w:r>
            <w:r>
              <w:rPr>
                <w:rFonts w:hint="default" w:ascii="Times New Roman" w:hAnsi="Times New Roman" w:eastAsia="宋体" w:cs="Times New Roman"/>
                <w:color w:val="auto"/>
                <w:sz w:val="24"/>
                <w:szCs w:val="24"/>
              </w:rPr>
              <w:t>t/a；工件表面</w:t>
            </w:r>
            <w:r>
              <w:rPr>
                <w:rFonts w:hint="eastAsia" w:cs="Times New Roman"/>
                <w:color w:val="auto"/>
                <w:sz w:val="24"/>
                <w:szCs w:val="24"/>
                <w:lang w:eastAsia="zh-CN"/>
              </w:rPr>
              <w:t>抛丸</w:t>
            </w:r>
            <w:r>
              <w:rPr>
                <w:rFonts w:hint="default" w:ascii="Times New Roman" w:hAnsi="Times New Roman" w:eastAsia="宋体" w:cs="Times New Roman"/>
                <w:color w:val="auto"/>
                <w:sz w:val="24"/>
                <w:szCs w:val="24"/>
              </w:rPr>
              <w:t>处理时，</w:t>
            </w:r>
            <w:r>
              <w:rPr>
                <w:rFonts w:hint="eastAsia" w:cs="Times New Roman"/>
                <w:color w:val="auto"/>
                <w:sz w:val="24"/>
                <w:szCs w:val="24"/>
                <w:lang w:val="en-US" w:eastAsia="zh-CN"/>
              </w:rPr>
              <w:t>钢丸</w:t>
            </w:r>
            <w:r>
              <w:rPr>
                <w:rFonts w:hint="default" w:ascii="Times New Roman" w:hAnsi="Times New Roman" w:eastAsia="宋体" w:cs="Times New Roman"/>
                <w:color w:val="auto"/>
                <w:sz w:val="24"/>
                <w:szCs w:val="24"/>
              </w:rPr>
              <w:t>循环使用，定期补充新的</w:t>
            </w:r>
            <w:r>
              <w:rPr>
                <w:rFonts w:hint="eastAsia" w:cs="Times New Roman"/>
                <w:color w:val="auto"/>
                <w:sz w:val="24"/>
                <w:szCs w:val="24"/>
                <w:lang w:val="en-US" w:eastAsia="zh-CN"/>
              </w:rPr>
              <w:t>钢丸</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废钢丸</w:t>
            </w:r>
            <w:r>
              <w:rPr>
                <w:rFonts w:hint="default" w:ascii="Times New Roman" w:hAnsi="Times New Roman" w:eastAsia="宋体" w:cs="Times New Roman"/>
                <w:color w:val="auto"/>
                <w:sz w:val="24"/>
                <w:szCs w:val="24"/>
              </w:rPr>
              <w:t>产生量约0.6t/a。合计</w:t>
            </w:r>
            <w:r>
              <w:rPr>
                <w:rFonts w:hint="eastAsia" w:cs="Times New Roman"/>
                <w:color w:val="auto"/>
                <w:sz w:val="24"/>
                <w:szCs w:val="24"/>
                <w:lang w:eastAsia="zh-CN"/>
              </w:rPr>
              <w:t>抛丸粉尘及废钢丸</w:t>
            </w:r>
            <w:r>
              <w:rPr>
                <w:rFonts w:hint="default" w:ascii="Times New Roman" w:hAnsi="Times New Roman" w:eastAsia="宋体" w:cs="Times New Roman"/>
                <w:color w:val="auto"/>
                <w:sz w:val="24"/>
                <w:szCs w:val="24"/>
              </w:rPr>
              <w:t>共</w:t>
            </w:r>
            <w:r>
              <w:rPr>
                <w:rFonts w:hint="eastAsia" w:cs="Times New Roman"/>
                <w:color w:val="auto"/>
                <w:sz w:val="24"/>
                <w:szCs w:val="24"/>
                <w:lang w:eastAsia="zh-CN"/>
              </w:rPr>
              <w:t>18.950</w:t>
            </w:r>
            <w:r>
              <w:rPr>
                <w:rFonts w:hint="default" w:ascii="Times New Roman" w:hAnsi="Times New Roman" w:eastAsia="宋体" w:cs="Times New Roman"/>
                <w:color w:val="auto"/>
                <w:sz w:val="24"/>
                <w:szCs w:val="24"/>
              </w:rPr>
              <w:t>t/a，属于一般固体废物，外售综合利用。</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废机油：本项目机械维修、维护、保养会产生废机油，根据建设单位提供资料，废机油产生量为0.15t/a，属于危险废物，委托具有危险废物处理资质单位处置。</w:t>
            </w:r>
          </w:p>
          <w:p>
            <w:pPr>
              <w:spacing w:line="360" w:lineRule="auto"/>
              <w:ind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color w:val="auto"/>
                <w:sz w:val="24"/>
                <w:szCs w:val="24"/>
              </w:rPr>
              <w:t>废过滤棉：根据物料平衡计算及类比，</w:t>
            </w:r>
            <w:r>
              <w:rPr>
                <w:rFonts w:hint="default" w:ascii="Times New Roman" w:hAnsi="Times New Roman" w:eastAsia="宋体" w:cs="Times New Roman"/>
                <w:b w:val="0"/>
                <w:bCs w:val="0"/>
                <w:color w:val="auto"/>
                <w:sz w:val="24"/>
                <w:szCs w:val="24"/>
              </w:rPr>
              <w:t>本项目</w:t>
            </w:r>
            <w:r>
              <w:rPr>
                <w:rFonts w:hint="default" w:ascii="Times New Roman" w:hAnsi="Times New Roman" w:eastAsia="宋体" w:cs="Times New Roman"/>
                <w:color w:val="auto"/>
                <w:sz w:val="24"/>
                <w:szCs w:val="24"/>
              </w:rPr>
              <w:t>废过滤棉</w:t>
            </w:r>
            <w:r>
              <w:rPr>
                <w:rFonts w:hint="default" w:ascii="Times New Roman" w:hAnsi="Times New Roman" w:eastAsia="宋体" w:cs="Times New Roman"/>
                <w:b w:val="0"/>
                <w:bCs w:val="0"/>
                <w:color w:val="auto"/>
                <w:sz w:val="24"/>
                <w:szCs w:val="24"/>
              </w:rPr>
              <w:t>吸附的废气量为</w:t>
            </w:r>
            <w:r>
              <w:rPr>
                <w:rFonts w:hint="eastAsia" w:cs="Times New Roman"/>
                <w:b w:val="0"/>
                <w:bCs w:val="0"/>
                <w:color w:val="auto"/>
                <w:sz w:val="24"/>
                <w:szCs w:val="24"/>
                <w:lang w:val="en-US" w:eastAsia="zh-CN"/>
              </w:rPr>
              <w:t>3.650</w:t>
            </w:r>
            <w:r>
              <w:rPr>
                <w:rFonts w:hint="default" w:ascii="Times New Roman" w:hAnsi="Times New Roman" w:eastAsia="宋体" w:cs="Times New Roman"/>
                <w:b w:val="0"/>
                <w:bCs w:val="0"/>
                <w:color w:val="auto"/>
                <w:sz w:val="24"/>
                <w:szCs w:val="24"/>
              </w:rPr>
              <w:t>t/a</w:t>
            </w:r>
            <w:r>
              <w:rPr>
                <w:rFonts w:hint="eastAsia" w:cs="Times New Roman"/>
                <w:b w:val="0"/>
                <w:bCs w:val="0"/>
                <w:color w:val="auto"/>
                <w:sz w:val="24"/>
                <w:szCs w:val="24"/>
                <w:lang w:eastAsia="zh-CN"/>
              </w:rPr>
              <w:t>，</w:t>
            </w:r>
            <w:r>
              <w:rPr>
                <w:rFonts w:hint="default" w:ascii="Times New Roman" w:hAnsi="Times New Roman" w:cs="Times New Roman"/>
                <w:b w:val="0"/>
                <w:bCs/>
                <w:color w:val="auto"/>
                <w:sz w:val="24"/>
                <w:szCs w:val="24"/>
              </w:rPr>
              <w:t>过滤棉的容尘量为</w:t>
            </w:r>
            <w:r>
              <w:rPr>
                <w:rFonts w:hint="default" w:ascii="Times New Roman" w:hAnsi="Times New Roman" w:cs="Times New Roman"/>
                <w:b w:val="0"/>
                <w:bCs/>
                <w:color w:val="auto"/>
                <w:sz w:val="24"/>
                <w:szCs w:val="24"/>
                <w:lang w:val="en-US" w:eastAsia="zh-CN"/>
              </w:rPr>
              <w:t>5.0kg</w:t>
            </w:r>
            <w:r>
              <w:rPr>
                <w:rFonts w:hint="default" w:ascii="Times New Roman" w:hAnsi="Times New Roman" w:cs="Times New Roman"/>
                <w:b w:val="0"/>
                <w:bCs/>
                <w:color w:val="auto"/>
                <w:sz w:val="24"/>
                <w:szCs w:val="24"/>
              </w:rPr>
              <w:t>/m</w:t>
            </w:r>
            <w:r>
              <w:rPr>
                <w:rFonts w:hint="default" w:ascii="Times New Roman" w:hAnsi="Times New Roman" w:cs="Times New Roman"/>
                <w:b w:val="0"/>
                <w:bCs/>
                <w:color w:val="auto"/>
                <w:sz w:val="24"/>
                <w:szCs w:val="24"/>
                <w:vertAlign w:val="superscript"/>
              </w:rPr>
              <w:t>2</w:t>
            </w:r>
            <w:r>
              <w:rPr>
                <w:rFonts w:hint="default" w:ascii="Times New Roman" w:hAnsi="Times New Roman" w:cs="Times New Roman"/>
                <w:b w:val="0"/>
                <w:bCs/>
                <w:color w:val="auto"/>
                <w:sz w:val="24"/>
                <w:szCs w:val="24"/>
              </w:rPr>
              <w:t>，因此过滤棉的使用量为</w:t>
            </w:r>
            <w:r>
              <w:rPr>
                <w:rFonts w:hint="eastAsia" w:cs="Times New Roman"/>
                <w:b w:val="0"/>
                <w:bCs/>
                <w:color w:val="auto"/>
                <w:sz w:val="24"/>
                <w:szCs w:val="24"/>
                <w:lang w:val="en-US" w:eastAsia="zh-CN"/>
              </w:rPr>
              <w:t>3.650</w:t>
            </w:r>
            <w:r>
              <w:rPr>
                <w:rFonts w:hint="default" w:ascii="Times New Roman" w:hAnsi="Times New Roman" w:cs="Times New Roman"/>
                <w:b w:val="0"/>
                <w:bCs/>
                <w:color w:val="auto"/>
                <w:sz w:val="24"/>
                <w:szCs w:val="24"/>
              </w:rPr>
              <w:t>*10</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rPr>
              <w:t>/</w:t>
            </w:r>
            <w:r>
              <w:rPr>
                <w:rFonts w:hint="default" w:ascii="Times New Roman" w:hAnsi="Times New Roman" w:cs="Times New Roman"/>
                <w:b w:val="0"/>
                <w:bCs/>
                <w:color w:val="auto"/>
                <w:sz w:val="24"/>
                <w:szCs w:val="24"/>
                <w:lang w:val="en-US" w:eastAsia="zh-CN"/>
              </w:rPr>
              <w:t>5.0</w:t>
            </w:r>
            <w:r>
              <w:rPr>
                <w:rFonts w:hint="default" w:ascii="Times New Roman" w:hAnsi="Times New Roman" w:eastAsia="宋体" w:cs="Times New Roman"/>
                <w:b w:val="0"/>
                <w:bCs/>
                <w:color w:val="auto"/>
                <w:sz w:val="24"/>
                <w:szCs w:val="24"/>
              </w:rPr>
              <w:t>＝</w:t>
            </w:r>
            <w:r>
              <w:rPr>
                <w:rFonts w:hint="eastAsia" w:cs="Times New Roman"/>
                <w:b w:val="0"/>
                <w:bCs/>
                <w:color w:val="auto"/>
                <w:kern w:val="0"/>
                <w:sz w:val="24"/>
                <w:szCs w:val="24"/>
                <w:lang w:val="en-US" w:eastAsia="zh-CN"/>
              </w:rPr>
              <w:t>730</w:t>
            </w:r>
            <w:r>
              <w:rPr>
                <w:rFonts w:hint="default" w:ascii="Times New Roman" w:hAnsi="Times New Roman" w:cs="Times New Roman"/>
                <w:b w:val="0"/>
                <w:bCs/>
                <w:color w:val="auto"/>
                <w:kern w:val="0"/>
                <w:sz w:val="24"/>
                <w:szCs w:val="24"/>
              </w:rPr>
              <w:t>m</w:t>
            </w:r>
            <w:r>
              <w:rPr>
                <w:rFonts w:hint="default" w:ascii="Times New Roman" w:hAnsi="Times New Roman" w:cs="Times New Roman"/>
                <w:b w:val="0"/>
                <w:bCs/>
                <w:color w:val="auto"/>
                <w:kern w:val="0"/>
                <w:sz w:val="24"/>
                <w:szCs w:val="24"/>
                <w:vertAlign w:val="superscript"/>
              </w:rPr>
              <w:t>2</w:t>
            </w:r>
            <w:r>
              <w:rPr>
                <w:rFonts w:hint="default" w:ascii="Times New Roman" w:hAnsi="Times New Roman" w:cs="Times New Roman"/>
                <w:b w:val="0"/>
                <w:bCs/>
                <w:color w:val="auto"/>
                <w:kern w:val="0"/>
                <w:sz w:val="24"/>
                <w:szCs w:val="24"/>
              </w:rPr>
              <w:t>，</w:t>
            </w:r>
            <w:r>
              <w:rPr>
                <w:rFonts w:hint="default" w:ascii="Times New Roman" w:hAnsi="Times New Roman" w:cs="Times New Roman"/>
                <w:b w:val="0"/>
                <w:bCs/>
                <w:color w:val="auto"/>
                <w:kern w:val="0"/>
                <w:sz w:val="24"/>
                <w:szCs w:val="24"/>
                <w:lang w:eastAsia="zh-CN"/>
              </w:rPr>
              <w:t>过滤棉的重量为</w:t>
            </w:r>
            <w:r>
              <w:rPr>
                <w:rFonts w:hint="default" w:ascii="Times New Roman" w:hAnsi="Times New Roman" w:cs="Times New Roman"/>
                <w:b w:val="0"/>
                <w:bCs/>
                <w:color w:val="auto"/>
                <w:kern w:val="0"/>
                <w:sz w:val="24"/>
                <w:szCs w:val="24"/>
                <w:lang w:val="en-US" w:eastAsia="zh-CN"/>
              </w:rPr>
              <w:t>250g/m</w:t>
            </w:r>
            <w:r>
              <w:rPr>
                <w:rFonts w:hint="default" w:ascii="Times New Roman" w:hAnsi="Times New Roman" w:cs="Times New Roman"/>
                <w:b w:val="0"/>
                <w:bCs/>
                <w:color w:val="auto"/>
                <w:kern w:val="0"/>
                <w:sz w:val="24"/>
                <w:szCs w:val="24"/>
                <w:vertAlign w:val="superscript"/>
                <w:lang w:val="en-US" w:eastAsia="zh-CN"/>
              </w:rPr>
              <w:t>2</w:t>
            </w:r>
            <w:r>
              <w:rPr>
                <w:rFonts w:hint="default" w:ascii="Times New Roman" w:hAnsi="Times New Roman" w:cs="Times New Roman"/>
                <w:b w:val="0"/>
                <w:bCs/>
                <w:color w:val="auto"/>
                <w:kern w:val="0"/>
                <w:sz w:val="24"/>
                <w:szCs w:val="24"/>
                <w:lang w:eastAsia="zh-CN"/>
              </w:rPr>
              <w:t>，棉使用量为</w:t>
            </w:r>
            <w:r>
              <w:rPr>
                <w:rFonts w:hint="eastAsia" w:cs="Times New Roman"/>
                <w:b w:val="0"/>
                <w:bCs/>
                <w:color w:val="auto"/>
                <w:kern w:val="0"/>
                <w:sz w:val="24"/>
                <w:szCs w:val="24"/>
                <w:lang w:val="en-US" w:eastAsia="zh-CN"/>
              </w:rPr>
              <w:t>730</w:t>
            </w:r>
            <w:r>
              <w:rPr>
                <w:rFonts w:hint="default" w:ascii="Times New Roman" w:hAnsi="Times New Roman" w:cs="Times New Roman"/>
                <w:b w:val="0"/>
                <w:bCs/>
                <w:color w:val="auto"/>
                <w:kern w:val="0"/>
                <w:sz w:val="24"/>
                <w:szCs w:val="24"/>
              </w:rPr>
              <w:t>m</w:t>
            </w:r>
            <w:r>
              <w:rPr>
                <w:rFonts w:hint="default" w:ascii="Times New Roman" w:hAnsi="Times New Roman" w:cs="Times New Roman"/>
                <w:b w:val="0"/>
                <w:bCs/>
                <w:color w:val="auto"/>
                <w:kern w:val="0"/>
                <w:sz w:val="24"/>
                <w:szCs w:val="24"/>
                <w:vertAlign w:val="superscript"/>
              </w:rPr>
              <w:t>2</w:t>
            </w:r>
            <w:r>
              <w:rPr>
                <w:rFonts w:hint="default" w:ascii="Times New Roman" w:hAnsi="Times New Roman" w:cs="Times New Roman"/>
                <w:b w:val="0"/>
                <w:bCs/>
                <w:color w:val="auto"/>
                <w:kern w:val="0"/>
                <w:sz w:val="24"/>
                <w:szCs w:val="24"/>
                <w:lang w:val="en-US" w:eastAsia="zh-CN"/>
              </w:rPr>
              <w:t>*250g/m</w:t>
            </w:r>
            <w:r>
              <w:rPr>
                <w:rFonts w:hint="default" w:ascii="Times New Roman" w:hAnsi="Times New Roman" w:cs="Times New Roman"/>
                <w:b w:val="0"/>
                <w:bCs/>
                <w:color w:val="auto"/>
                <w:kern w:val="0"/>
                <w:sz w:val="24"/>
                <w:szCs w:val="24"/>
                <w:vertAlign w:val="superscript"/>
                <w:lang w:val="en-US" w:eastAsia="zh-CN"/>
              </w:rPr>
              <w:t>2</w:t>
            </w:r>
            <w:r>
              <w:rPr>
                <w:rFonts w:hint="default" w:ascii="Times New Roman" w:hAnsi="Times New Roman" w:eastAsia="宋体" w:cs="Times New Roman"/>
                <w:b w:val="0"/>
                <w:bCs/>
                <w:color w:val="auto"/>
                <w:sz w:val="24"/>
                <w:szCs w:val="24"/>
              </w:rPr>
              <w:t>＝</w:t>
            </w:r>
            <w:r>
              <w:rPr>
                <w:rFonts w:hint="eastAsia" w:cs="Times New Roman"/>
                <w:b w:val="0"/>
                <w:bCs/>
                <w:color w:val="auto"/>
                <w:sz w:val="24"/>
                <w:szCs w:val="24"/>
                <w:lang w:val="en-US" w:eastAsia="zh-CN"/>
              </w:rPr>
              <w:t>1825</w:t>
            </w:r>
            <w:r>
              <w:rPr>
                <w:rFonts w:hint="eastAsia" w:ascii="Times New Roman" w:hAnsi="Times New Roman" w:eastAsia="宋体" w:cs="Times New Roman"/>
                <w:b w:val="0"/>
                <w:bCs/>
                <w:color w:val="auto"/>
                <w:sz w:val="24"/>
                <w:szCs w:val="24"/>
                <w:lang w:val="en-US" w:eastAsia="zh-CN"/>
              </w:rPr>
              <w:t>00g</w:t>
            </w:r>
            <w:r>
              <w:rPr>
                <w:rFonts w:hint="default" w:ascii="Times New Roman" w:hAnsi="Times New Roman" w:eastAsia="宋体" w:cs="Times New Roman"/>
                <w:b w:val="0"/>
                <w:bCs/>
                <w:color w:val="auto"/>
                <w:sz w:val="24"/>
                <w:szCs w:val="24"/>
              </w:rPr>
              <w:t>≈</w:t>
            </w:r>
            <w:r>
              <w:rPr>
                <w:rFonts w:hint="eastAsia" w:ascii="Times New Roman" w:hAnsi="Times New Roman" w:eastAsia="宋体" w:cs="Times New Roman"/>
                <w:b w:val="0"/>
                <w:bCs/>
                <w:color w:val="auto"/>
                <w:sz w:val="24"/>
                <w:szCs w:val="24"/>
                <w:lang w:val="en-US" w:eastAsia="zh-CN"/>
              </w:rPr>
              <w:t>0.</w:t>
            </w:r>
            <w:r>
              <w:rPr>
                <w:rFonts w:hint="eastAsia" w:cs="Times New Roman"/>
                <w:b w:val="0"/>
                <w:bCs/>
                <w:color w:val="auto"/>
                <w:sz w:val="24"/>
                <w:szCs w:val="24"/>
                <w:lang w:val="en-US" w:eastAsia="zh-CN"/>
              </w:rPr>
              <w:t>183</w:t>
            </w:r>
            <w:r>
              <w:rPr>
                <w:rFonts w:hint="eastAsia" w:ascii="Times New Roman" w:hAnsi="Times New Roman" w:eastAsia="宋体" w:cs="Times New Roman"/>
                <w:b w:val="0"/>
                <w:bCs/>
                <w:color w:val="auto"/>
                <w:sz w:val="24"/>
                <w:szCs w:val="24"/>
                <w:lang w:val="en-US" w:eastAsia="zh-CN"/>
              </w:rPr>
              <w:t>t</w:t>
            </w:r>
            <w:r>
              <w:rPr>
                <w:rFonts w:hint="default" w:ascii="Times New Roman" w:hAnsi="Times New Roman" w:cs="Times New Roman"/>
                <w:b w:val="0"/>
                <w:bCs/>
                <w:color w:val="auto"/>
                <w:kern w:val="0"/>
                <w:sz w:val="24"/>
                <w:szCs w:val="24"/>
                <w:lang w:eastAsia="zh-CN"/>
              </w:rPr>
              <w:t>，</w:t>
            </w:r>
            <w:r>
              <w:rPr>
                <w:rFonts w:hint="default" w:ascii="Times New Roman" w:hAnsi="Times New Roman" w:cs="Times New Roman"/>
                <w:b w:val="0"/>
                <w:bCs/>
                <w:color w:val="auto"/>
                <w:kern w:val="0"/>
                <w:sz w:val="24"/>
                <w:szCs w:val="24"/>
              </w:rPr>
              <w:t>则本项目废</w:t>
            </w:r>
            <w:r>
              <w:rPr>
                <w:rFonts w:hint="default" w:ascii="Times New Roman" w:hAnsi="Times New Roman" w:cs="Times New Roman"/>
                <w:b w:val="0"/>
                <w:bCs/>
                <w:color w:val="auto"/>
                <w:sz w:val="24"/>
                <w:szCs w:val="24"/>
              </w:rPr>
              <w:t>过滤棉</w:t>
            </w:r>
            <w:r>
              <w:rPr>
                <w:rFonts w:hint="default" w:ascii="Times New Roman" w:hAnsi="Times New Roman" w:cs="Times New Roman"/>
                <w:b w:val="0"/>
                <w:bCs/>
                <w:color w:val="auto"/>
                <w:kern w:val="0"/>
                <w:sz w:val="24"/>
                <w:szCs w:val="24"/>
              </w:rPr>
              <w:t>产生量约</w:t>
            </w:r>
            <w:r>
              <w:rPr>
                <w:rFonts w:hint="eastAsia" w:cs="Times New Roman"/>
                <w:b w:val="0"/>
                <w:bCs/>
                <w:color w:val="auto"/>
                <w:kern w:val="0"/>
                <w:sz w:val="24"/>
                <w:szCs w:val="24"/>
                <w:lang w:val="en-US" w:eastAsia="zh-CN"/>
              </w:rPr>
              <w:t>3.833</w:t>
            </w:r>
            <w:r>
              <w:rPr>
                <w:rFonts w:hint="eastAsia" w:ascii="Times New Roman" w:hAnsi="Times New Roman" w:eastAsia="宋体" w:cs="Times New Roman"/>
                <w:b w:val="0"/>
                <w:bCs/>
                <w:color w:val="auto"/>
                <w:sz w:val="24"/>
                <w:szCs w:val="24"/>
                <w:lang w:val="en-US" w:eastAsia="zh-CN"/>
              </w:rPr>
              <w:t>t</w:t>
            </w:r>
            <w:r>
              <w:rPr>
                <w:rFonts w:hint="default" w:ascii="Times New Roman" w:hAnsi="Times New Roman" w:cs="Times New Roman"/>
                <w:b w:val="0"/>
                <w:bCs/>
                <w:color w:val="auto"/>
                <w:kern w:val="0"/>
                <w:sz w:val="24"/>
                <w:szCs w:val="24"/>
              </w:rPr>
              <w:t>/a。</w:t>
            </w:r>
            <w:r>
              <w:rPr>
                <w:rFonts w:hint="default" w:ascii="Times New Roman" w:hAnsi="Times New Roman" w:eastAsia="宋体" w:cs="Times New Roman"/>
                <w:b w:val="0"/>
                <w:bCs w:val="0"/>
                <w:color w:val="auto"/>
                <w:sz w:val="24"/>
                <w:szCs w:val="24"/>
              </w:rPr>
              <w:t>委托具有危险废物处理资质单位处置。</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废活性炭：根据物料平衡计算，本项目活性炭的吸附的废气量为</w:t>
            </w:r>
            <w:r>
              <w:rPr>
                <w:rFonts w:hint="eastAsia" w:cs="Times New Roman"/>
                <w:b w:val="0"/>
                <w:bCs w:val="0"/>
                <w:color w:val="auto"/>
                <w:sz w:val="24"/>
                <w:szCs w:val="24"/>
                <w:lang w:val="en-US" w:eastAsia="zh-CN"/>
              </w:rPr>
              <w:t>2.233</w:t>
            </w:r>
            <w:r>
              <w:rPr>
                <w:rFonts w:hint="default" w:ascii="Times New Roman" w:hAnsi="Times New Roman" w:eastAsia="宋体" w:cs="Times New Roman"/>
                <w:b w:val="0"/>
                <w:bCs w:val="0"/>
                <w:color w:val="auto"/>
                <w:sz w:val="24"/>
                <w:szCs w:val="24"/>
              </w:rPr>
              <w:t>t/a。</w:t>
            </w:r>
            <w:r>
              <w:rPr>
                <w:rFonts w:hint="default" w:ascii="Times New Roman" w:hAnsi="Times New Roman" w:eastAsia="宋体" w:cs="Times New Roman"/>
                <w:color w:val="auto"/>
                <w:sz w:val="24"/>
                <w:szCs w:val="24"/>
              </w:rPr>
              <w:t>由于活性炭对项目有机废气的平均吸附量约0.3g(有机废气)/g(活性炭)，因此需要理论活性炭量约</w:t>
            </w:r>
            <w:r>
              <w:rPr>
                <w:rFonts w:hint="eastAsia" w:cs="Times New Roman"/>
                <w:color w:val="auto"/>
                <w:sz w:val="24"/>
                <w:szCs w:val="24"/>
                <w:lang w:val="en-US" w:eastAsia="zh-CN"/>
              </w:rPr>
              <w:t>7.443</w:t>
            </w:r>
            <w:r>
              <w:rPr>
                <w:rFonts w:hint="default" w:ascii="Times New Roman" w:hAnsi="Times New Roman" w:eastAsia="宋体" w:cs="Times New Roman"/>
                <w:color w:val="auto"/>
                <w:sz w:val="24"/>
                <w:szCs w:val="24"/>
              </w:rPr>
              <w:t>t/a，因此吸附饱和的废活性炭为</w:t>
            </w:r>
            <w:r>
              <w:rPr>
                <w:rFonts w:hint="eastAsia" w:cs="Times New Roman"/>
                <w:color w:val="auto"/>
                <w:sz w:val="24"/>
                <w:szCs w:val="24"/>
                <w:lang w:val="en-US" w:eastAsia="zh-CN"/>
              </w:rPr>
              <w:t>9.676</w:t>
            </w:r>
            <w:r>
              <w:rPr>
                <w:rFonts w:hint="default" w:ascii="Times New Roman" w:hAnsi="Times New Roman" w:eastAsia="宋体" w:cs="Times New Roman"/>
                <w:color w:val="auto"/>
                <w:sz w:val="24"/>
                <w:szCs w:val="24"/>
              </w:rPr>
              <w:t>t/a，更换下来的废活性炭收集后委托具有危险废物处理资质单位处置。</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漆渣：根据类比，本项目喷漆将产生漆渣</w:t>
            </w:r>
            <w:r>
              <w:rPr>
                <w:rFonts w:hint="eastAsia" w:cs="Times New Roman"/>
                <w:color w:val="auto"/>
                <w:sz w:val="24"/>
                <w:szCs w:val="24"/>
                <w:lang w:eastAsia="zh-CN"/>
              </w:rPr>
              <w:t>0.142</w:t>
            </w:r>
            <w:r>
              <w:rPr>
                <w:rFonts w:hint="default" w:ascii="Times New Roman" w:hAnsi="Times New Roman" w:eastAsia="宋体" w:cs="Times New Roman"/>
                <w:color w:val="auto"/>
                <w:sz w:val="24"/>
                <w:szCs w:val="24"/>
              </w:rPr>
              <w:t>t/a，委托具有危险废物处理资质单位处置。</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废桶：项目废漆桶产生量约1.2t/a、废机油桶0.</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t/a，合计废桶1.8t/a，委托具有危险废物处理资质单位处置。</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废含油抹布及废劳保用品：根据企业提供资料，废含油抹布及废劳保用品产生量为0.3t/a，为危险废物，委托具有危险废物处理资质单位处置。</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生活垃圾：项目职工1</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0人，按每人0.5kg/d计，则产生量约</w:t>
            </w:r>
            <w:r>
              <w:rPr>
                <w:rFonts w:hint="eastAsia" w:ascii="Times New Roman" w:hAnsi="Times New Roman" w:eastAsia="宋体" w:cs="Times New Roman"/>
                <w:color w:val="auto"/>
                <w:sz w:val="24"/>
                <w:szCs w:val="24"/>
                <w:lang w:val="en-US" w:eastAsia="zh-CN"/>
              </w:rPr>
              <w:t>22.5</w:t>
            </w:r>
            <w:r>
              <w:rPr>
                <w:rFonts w:hint="default" w:ascii="Times New Roman" w:hAnsi="Times New Roman" w:eastAsia="宋体" w:cs="Times New Roman"/>
                <w:color w:val="auto"/>
                <w:sz w:val="24"/>
                <w:szCs w:val="24"/>
              </w:rPr>
              <w:t>t/a，收集后委托当地环卫部门统一清运。</w:t>
            </w:r>
          </w:p>
          <w:p>
            <w:pPr>
              <w:spacing w:line="360" w:lineRule="auto"/>
              <w:jc w:val="center"/>
              <w:rPr>
                <w:color w:val="auto"/>
                <w:sz w:val="24"/>
                <w:szCs w:val="24"/>
                <w:vertAlign w:val="baseline"/>
              </w:rPr>
            </w:pPr>
            <w:r>
              <w:rPr>
                <w:rFonts w:hint="eastAsia" w:hAnsi="宋体" w:cs="宋体"/>
                <w:b/>
                <w:bCs/>
                <w:color w:val="auto"/>
                <w:sz w:val="24"/>
                <w:szCs w:val="24"/>
                <w:lang w:bidi="en-US"/>
              </w:rPr>
              <w:t>表4-1</w:t>
            </w:r>
            <w:r>
              <w:rPr>
                <w:rFonts w:hint="eastAsia" w:hAnsi="宋体" w:cs="宋体"/>
                <w:b/>
                <w:bCs/>
                <w:color w:val="auto"/>
                <w:sz w:val="24"/>
                <w:szCs w:val="24"/>
                <w:lang w:val="en-US" w:eastAsia="zh-CN" w:bidi="en-US"/>
              </w:rPr>
              <w:t>8</w:t>
            </w:r>
            <w:r>
              <w:rPr>
                <w:rFonts w:hint="eastAsia" w:hAnsi="宋体" w:cs="宋体"/>
                <w:b/>
                <w:bCs/>
                <w:color w:val="auto"/>
                <w:sz w:val="24"/>
                <w:szCs w:val="24"/>
                <w:lang w:bidi="en-US"/>
              </w:rPr>
              <w:t xml:space="preserve">  本项目固体废物产生量及处理处置情况</w:t>
            </w:r>
          </w:p>
          <w:tbl>
            <w:tblPr>
              <w:tblStyle w:val="35"/>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272"/>
              <w:gridCol w:w="538"/>
              <w:gridCol w:w="1158"/>
              <w:gridCol w:w="229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2" w:type="dxa"/>
                  <w:vAlign w:val="center"/>
                </w:tcPr>
                <w:p>
                  <w:pPr>
                    <w:spacing w:line="240" w:lineRule="exact"/>
                    <w:jc w:val="center"/>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szCs w:val="21"/>
                    </w:rPr>
                    <w:t>固体废物</w:t>
                  </w:r>
                </w:p>
              </w:tc>
              <w:tc>
                <w:tcPr>
                  <w:tcW w:w="1272" w:type="dxa"/>
                  <w:vAlign w:val="center"/>
                </w:tcPr>
                <w:p>
                  <w:pPr>
                    <w:spacing w:line="240" w:lineRule="exact"/>
                    <w:jc w:val="center"/>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szCs w:val="21"/>
                    </w:rPr>
                    <w:t>危废代码</w:t>
                  </w:r>
                </w:p>
              </w:tc>
              <w:tc>
                <w:tcPr>
                  <w:tcW w:w="538" w:type="dxa"/>
                  <w:vAlign w:val="center"/>
                </w:tcPr>
                <w:p>
                  <w:pPr>
                    <w:spacing w:line="240" w:lineRule="exact"/>
                    <w:jc w:val="center"/>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szCs w:val="21"/>
                    </w:rPr>
                    <w:t>类别</w:t>
                  </w:r>
                </w:p>
              </w:tc>
              <w:tc>
                <w:tcPr>
                  <w:tcW w:w="1158" w:type="dxa"/>
                  <w:vAlign w:val="center"/>
                </w:tcPr>
                <w:p>
                  <w:pPr>
                    <w:spacing w:line="240" w:lineRule="exact"/>
                    <w:jc w:val="center"/>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szCs w:val="21"/>
                    </w:rPr>
                    <w:t>产生量（t/a）</w:t>
                  </w:r>
                </w:p>
              </w:tc>
              <w:tc>
                <w:tcPr>
                  <w:tcW w:w="2296" w:type="dxa"/>
                  <w:vAlign w:val="center"/>
                </w:tcPr>
                <w:p>
                  <w:pPr>
                    <w:spacing w:line="240" w:lineRule="exact"/>
                    <w:jc w:val="center"/>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szCs w:val="21"/>
                    </w:rPr>
                    <w:t>产生工序</w:t>
                  </w:r>
                </w:p>
              </w:tc>
              <w:tc>
                <w:tcPr>
                  <w:tcW w:w="1051" w:type="dxa"/>
                  <w:vAlign w:val="center"/>
                </w:tcPr>
                <w:p>
                  <w:pPr>
                    <w:spacing w:line="240" w:lineRule="exact"/>
                    <w:jc w:val="center"/>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废过滤棉</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900-041-49</w:t>
                  </w:r>
                </w:p>
              </w:tc>
              <w:tc>
                <w:tcPr>
                  <w:tcW w:w="538" w:type="dxa"/>
                  <w:vMerge w:val="restart"/>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危险废物</w:t>
                  </w:r>
                </w:p>
              </w:tc>
              <w:tc>
                <w:tcPr>
                  <w:tcW w:w="115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Cs w:val="21"/>
                      <w:lang w:eastAsia="zh-CN"/>
                    </w:rPr>
                    <w:t>3.833</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废气处理装置</w:t>
                  </w:r>
                </w:p>
              </w:tc>
              <w:tc>
                <w:tcPr>
                  <w:tcW w:w="1051" w:type="dxa"/>
                  <w:vMerge w:val="restart"/>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废活性炭</w:t>
                  </w:r>
                </w:p>
              </w:tc>
              <w:tc>
                <w:tcPr>
                  <w:tcW w:w="1272" w:type="dxa"/>
                  <w:vAlign w:val="center"/>
                </w:tcPr>
                <w:p>
                  <w:pPr>
                    <w:topLinePunct/>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900-041-49</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Cs w:val="21"/>
                      <w:lang w:eastAsia="zh-CN"/>
                    </w:rPr>
                    <w:t>9.676</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废气处理装置</w:t>
                  </w:r>
                </w:p>
              </w:tc>
              <w:tc>
                <w:tcPr>
                  <w:tcW w:w="1051"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废机油</w:t>
                  </w:r>
                </w:p>
              </w:tc>
              <w:tc>
                <w:tcPr>
                  <w:tcW w:w="1272" w:type="dxa"/>
                  <w:vAlign w:val="center"/>
                </w:tcPr>
                <w:p>
                  <w:pPr>
                    <w:topLinePunct/>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900-249-08</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0.15</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设备维修、维护、保养</w:t>
                  </w:r>
                </w:p>
              </w:tc>
              <w:tc>
                <w:tcPr>
                  <w:tcW w:w="1051"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废桶</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900-041-49</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1.8</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喷漆工序</w:t>
                  </w:r>
                </w:p>
              </w:tc>
              <w:tc>
                <w:tcPr>
                  <w:tcW w:w="1051"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废含油抹布及废劳保用品</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900-041-49</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0.3</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维修等</w:t>
                  </w:r>
                </w:p>
              </w:tc>
              <w:tc>
                <w:tcPr>
                  <w:tcW w:w="1051"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topLinePunct/>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漆渣</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kern w:val="0"/>
                      <w:szCs w:val="21"/>
                    </w:rPr>
                    <w:t>900-252-12</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eastAsia="zh-CN"/>
                    </w:rPr>
                    <w:t>0.142</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kern w:val="0"/>
                      <w:szCs w:val="21"/>
                    </w:rPr>
                    <w:t>喷漆及废气处理</w:t>
                  </w:r>
                </w:p>
              </w:tc>
              <w:tc>
                <w:tcPr>
                  <w:tcW w:w="1051"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生活垃圾</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w:t>
                  </w:r>
                </w:p>
              </w:tc>
              <w:tc>
                <w:tcPr>
                  <w:tcW w:w="53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Cs w:val="21"/>
                      <w:lang w:val="en-US" w:eastAsia="zh-CN"/>
                    </w:rPr>
                    <w:t>/</w:t>
                  </w:r>
                </w:p>
              </w:tc>
              <w:tc>
                <w:tcPr>
                  <w:tcW w:w="1158" w:type="dxa"/>
                  <w:vAlign w:val="center"/>
                </w:tcPr>
                <w:p>
                  <w:pPr>
                    <w:spacing w:line="240" w:lineRule="exact"/>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lang w:val="en-US" w:eastAsia="zh-CN"/>
                    </w:rPr>
                    <w:t>22.5</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生活垃圾</w:t>
                  </w:r>
                </w:p>
              </w:tc>
              <w:tc>
                <w:tcPr>
                  <w:tcW w:w="1051" w:type="dxa"/>
                  <w:vAlign w:val="center"/>
                </w:tcPr>
                <w:p>
                  <w:pPr>
                    <w:spacing w:line="240" w:lineRule="exact"/>
                    <w:ind w:left="-199" w:leftChars="-95"/>
                    <w:jc w:val="right"/>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环卫清运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焊接烟尘及焊渣</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09</w:t>
                  </w:r>
                </w:p>
              </w:tc>
              <w:tc>
                <w:tcPr>
                  <w:tcW w:w="538" w:type="dxa"/>
                  <w:vMerge w:val="restart"/>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一般固废</w:t>
                  </w:r>
                </w:p>
              </w:tc>
              <w:tc>
                <w:tcPr>
                  <w:tcW w:w="115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eastAsia="zh-CN"/>
                    </w:rPr>
                    <w:t>1.601</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焊接及除尘</w:t>
                  </w:r>
                </w:p>
              </w:tc>
              <w:tc>
                <w:tcPr>
                  <w:tcW w:w="1051"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2"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Cs w:val="21"/>
                      <w:lang w:eastAsia="zh-CN"/>
                    </w:rPr>
                    <w:t>抛丸粉尘及废钢丸</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09</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Cs w:val="21"/>
                      <w:lang w:eastAsia="zh-CN"/>
                    </w:rPr>
                    <w:t>18.950</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eastAsia" w:cs="Times New Roman"/>
                      <w:bCs/>
                      <w:color w:val="auto"/>
                      <w:szCs w:val="21"/>
                      <w:lang w:eastAsia="zh-CN"/>
                    </w:rPr>
                    <w:t>抛丸</w:t>
                  </w:r>
                  <w:r>
                    <w:rPr>
                      <w:rFonts w:hint="default" w:ascii="Times New Roman" w:hAnsi="Times New Roman" w:cs="Times New Roman"/>
                      <w:bCs/>
                      <w:color w:val="auto"/>
                      <w:szCs w:val="21"/>
                    </w:rPr>
                    <w:t>机</w:t>
                  </w:r>
                  <w:r>
                    <w:rPr>
                      <w:rFonts w:hint="eastAsia" w:cs="Times New Roman"/>
                      <w:bCs/>
                      <w:color w:val="auto"/>
                      <w:szCs w:val="21"/>
                      <w:lang w:eastAsia="zh-CN"/>
                    </w:rPr>
                    <w:t>抛丸</w:t>
                  </w:r>
                  <w:r>
                    <w:rPr>
                      <w:rFonts w:hint="default" w:ascii="Times New Roman" w:hAnsi="Times New Roman" w:cs="Times New Roman"/>
                      <w:bCs/>
                      <w:color w:val="auto"/>
                      <w:szCs w:val="21"/>
                    </w:rPr>
                    <w:t>除尘</w:t>
                  </w:r>
                </w:p>
              </w:tc>
              <w:tc>
                <w:tcPr>
                  <w:tcW w:w="1051"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8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废边角料</w:t>
                  </w:r>
                </w:p>
              </w:tc>
              <w:tc>
                <w:tcPr>
                  <w:tcW w:w="1272"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09</w:t>
                  </w:r>
                </w:p>
              </w:tc>
              <w:tc>
                <w:tcPr>
                  <w:tcW w:w="538" w:type="dxa"/>
                  <w:vMerge w:val="continue"/>
                  <w:vAlign w:val="center"/>
                </w:tcPr>
                <w:p>
                  <w:pPr>
                    <w:spacing w:line="240" w:lineRule="exact"/>
                    <w:jc w:val="center"/>
                    <w:rPr>
                      <w:rFonts w:hint="default" w:ascii="Times New Roman" w:hAnsi="Times New Roman" w:cs="Times New Roman"/>
                      <w:bCs/>
                      <w:color w:val="auto"/>
                      <w:kern w:val="2"/>
                      <w:sz w:val="21"/>
                      <w:szCs w:val="21"/>
                      <w:lang w:val="en-US" w:eastAsia="zh-CN" w:bidi="ar-SA"/>
                    </w:rPr>
                  </w:pPr>
                </w:p>
              </w:tc>
              <w:tc>
                <w:tcPr>
                  <w:tcW w:w="1158" w:type="dxa"/>
                  <w:vAlign w:val="center"/>
                </w:tcPr>
                <w:p>
                  <w:pPr>
                    <w:spacing w:line="24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Cs w:val="21"/>
                      <w:lang w:eastAsia="zh-CN"/>
                    </w:rPr>
                    <w:t>111.765</w:t>
                  </w:r>
                </w:p>
              </w:tc>
              <w:tc>
                <w:tcPr>
                  <w:tcW w:w="2296"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下料</w:t>
                  </w:r>
                </w:p>
              </w:tc>
              <w:tc>
                <w:tcPr>
                  <w:tcW w:w="1051" w:type="dxa"/>
                  <w:vAlign w:val="center"/>
                </w:tcPr>
                <w:p>
                  <w:pPr>
                    <w:spacing w:line="240" w:lineRule="exact"/>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外售</w:t>
                  </w:r>
                </w:p>
              </w:tc>
            </w:tr>
          </w:tbl>
          <w:p>
            <w:pPr>
              <w:adjustRightInd w:val="0"/>
              <w:snapToGrid w:val="0"/>
              <w:jc w:val="center"/>
              <w:rPr>
                <w:rFonts w:hint="default"/>
                <w:color w:val="auto"/>
              </w:rPr>
            </w:pPr>
          </w:p>
          <w:p>
            <w:pPr>
              <w:adjustRightInd w:val="0"/>
              <w:snapToGrid w:val="0"/>
              <w:spacing w:line="240" w:lineRule="auto"/>
              <w:jc w:val="center"/>
              <w:rPr>
                <w:rFonts w:hAnsi="宋体" w:cs="宋体"/>
                <w:b/>
                <w:bCs/>
                <w:color w:val="auto"/>
                <w:sz w:val="24"/>
                <w:szCs w:val="24"/>
                <w:lang w:bidi="en-US"/>
              </w:rPr>
            </w:pPr>
            <w:r>
              <w:rPr>
                <w:rFonts w:hint="eastAsia" w:hAnsi="宋体" w:cs="宋体"/>
                <w:b/>
                <w:bCs/>
                <w:color w:val="auto"/>
                <w:sz w:val="24"/>
                <w:szCs w:val="24"/>
                <w:lang w:bidi="en-US"/>
              </w:rPr>
              <w:t>表4-1</w:t>
            </w:r>
            <w:r>
              <w:rPr>
                <w:rFonts w:hint="eastAsia" w:hAnsi="宋体" w:cs="宋体"/>
                <w:b/>
                <w:bCs/>
                <w:color w:val="auto"/>
                <w:sz w:val="24"/>
                <w:szCs w:val="24"/>
                <w:lang w:val="en-US" w:eastAsia="zh-CN" w:bidi="en-US"/>
              </w:rPr>
              <w:t>9</w:t>
            </w:r>
            <w:r>
              <w:rPr>
                <w:rFonts w:hint="eastAsia" w:hAnsi="宋体" w:cs="宋体"/>
                <w:b/>
                <w:bCs/>
                <w:color w:val="auto"/>
                <w:sz w:val="24"/>
                <w:szCs w:val="24"/>
                <w:lang w:bidi="en-US"/>
              </w:rPr>
              <w:t xml:space="preserve">  工程分析中危险废物汇总样表</w:t>
            </w:r>
          </w:p>
          <w:tbl>
            <w:tblPr>
              <w:tblStyle w:val="34"/>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5"/>
              <w:gridCol w:w="1039"/>
              <w:gridCol w:w="704"/>
              <w:gridCol w:w="976"/>
              <w:gridCol w:w="665"/>
              <w:gridCol w:w="717"/>
              <w:gridCol w:w="394"/>
              <w:gridCol w:w="1071"/>
              <w:gridCol w:w="672"/>
              <w:gridCol w:w="84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406"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043"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危险废物名称</w:t>
                  </w:r>
                </w:p>
              </w:tc>
              <w:tc>
                <w:tcPr>
                  <w:tcW w:w="705"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危险废物类别</w:t>
                  </w:r>
                </w:p>
              </w:tc>
              <w:tc>
                <w:tcPr>
                  <w:tcW w:w="977" w:type="dxa"/>
                  <w:tcBorders>
                    <w:tl2br w:val="nil"/>
                    <w:tr2bl w:val="nil"/>
                  </w:tcBorders>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危废代码</w:t>
                  </w:r>
                </w:p>
              </w:tc>
              <w:tc>
                <w:tcPr>
                  <w:tcW w:w="646"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产生量</w:t>
                  </w:r>
                </w:p>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（t/a）</w:t>
                  </w:r>
                </w:p>
              </w:tc>
              <w:tc>
                <w:tcPr>
                  <w:tcW w:w="719"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产生工序及装置</w:t>
                  </w:r>
                </w:p>
              </w:tc>
              <w:tc>
                <w:tcPr>
                  <w:tcW w:w="395"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形态</w:t>
                  </w:r>
                </w:p>
              </w:tc>
              <w:tc>
                <w:tcPr>
                  <w:tcW w:w="1075"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主要</w:t>
                  </w:r>
                </w:p>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成分</w:t>
                  </w:r>
                </w:p>
              </w:tc>
              <w:tc>
                <w:tcPr>
                  <w:tcW w:w="674"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产废</w:t>
                  </w:r>
                </w:p>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周期</w:t>
                  </w:r>
                </w:p>
              </w:tc>
              <w:tc>
                <w:tcPr>
                  <w:tcW w:w="850"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危险</w:t>
                  </w:r>
                </w:p>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特性</w:t>
                  </w:r>
                </w:p>
              </w:tc>
              <w:tc>
                <w:tcPr>
                  <w:tcW w:w="827" w:type="dxa"/>
                  <w:tcBorders>
                    <w:tl2br w:val="nil"/>
                    <w:tr2bl w:val="nil"/>
                  </w:tcBorders>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406"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Cs w:val="21"/>
                    </w:rPr>
                    <w:t>1</w:t>
                  </w:r>
                </w:p>
              </w:tc>
              <w:tc>
                <w:tcPr>
                  <w:tcW w:w="104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废机油</w:t>
                  </w:r>
                </w:p>
              </w:tc>
              <w:tc>
                <w:tcPr>
                  <w:tcW w:w="705"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bidi="en-US"/>
                    </w:rPr>
                    <w:t>HW08</w:t>
                  </w:r>
                </w:p>
              </w:tc>
              <w:tc>
                <w:tcPr>
                  <w:tcW w:w="977" w:type="dxa"/>
                  <w:tcBorders>
                    <w:tl2br w:val="nil"/>
                    <w:tr2bl w:val="nil"/>
                  </w:tcBorders>
                  <w:vAlign w:val="center"/>
                </w:tcPr>
                <w:p>
                  <w:pPr>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cs="Times New Roman"/>
                      <w:bCs/>
                      <w:color w:val="auto"/>
                      <w:sz w:val="18"/>
                      <w:szCs w:val="18"/>
                    </w:rPr>
                    <w:t>900-249-08</w:t>
                  </w:r>
                </w:p>
              </w:tc>
              <w:tc>
                <w:tcPr>
                  <w:tcW w:w="646" w:type="dxa"/>
                  <w:tcBorders>
                    <w:tl2br w:val="nil"/>
                    <w:tr2bl w:val="nil"/>
                  </w:tcBorders>
                  <w:vAlign w:val="center"/>
                </w:tcPr>
                <w:p>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0.15</w:t>
                  </w:r>
                </w:p>
              </w:tc>
              <w:tc>
                <w:tcPr>
                  <w:tcW w:w="719" w:type="dxa"/>
                  <w:tcBorders>
                    <w:tl2br w:val="nil"/>
                    <w:tr2bl w:val="nil"/>
                  </w:tcBorders>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维修</w:t>
                  </w:r>
                </w:p>
              </w:tc>
              <w:tc>
                <w:tcPr>
                  <w:tcW w:w="395"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液</w:t>
                  </w:r>
                </w:p>
              </w:tc>
              <w:tc>
                <w:tcPr>
                  <w:tcW w:w="1075"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油</w:t>
                  </w:r>
                </w:p>
              </w:tc>
              <w:tc>
                <w:tcPr>
                  <w:tcW w:w="674"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30天</w:t>
                  </w:r>
                </w:p>
              </w:tc>
              <w:tc>
                <w:tcPr>
                  <w:tcW w:w="850"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T/In</w:t>
                  </w:r>
                </w:p>
              </w:tc>
              <w:tc>
                <w:tcPr>
                  <w:tcW w:w="827" w:type="dxa"/>
                  <w:vMerge w:val="restart"/>
                  <w:tcBorders>
                    <w:tl2br w:val="nil"/>
                    <w:tr2bl w:val="nil"/>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在</w:t>
                  </w:r>
                  <w:r>
                    <w:rPr>
                      <w:rFonts w:hint="eastAsia" w:cs="Times New Roman"/>
                      <w:color w:val="auto"/>
                      <w:szCs w:val="21"/>
                      <w:lang w:eastAsia="zh-CN"/>
                    </w:rPr>
                    <w:t>危险废物暂存间</w:t>
                  </w:r>
                  <w:r>
                    <w:rPr>
                      <w:rFonts w:hint="default" w:ascii="Times New Roman" w:hAnsi="Times New Roman" w:cs="Times New Roman"/>
                      <w:color w:val="auto"/>
                      <w:szCs w:val="21"/>
                    </w:rPr>
                    <w:t>暂存，定期委托有处理资质单位处理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06"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Cs w:val="21"/>
                    </w:rPr>
                    <w:t>2</w:t>
                  </w:r>
                </w:p>
              </w:tc>
              <w:tc>
                <w:tcPr>
                  <w:tcW w:w="1043" w:type="dxa"/>
                  <w:tcBorders>
                    <w:tl2br w:val="nil"/>
                    <w:tr2bl w:val="nil"/>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rPr>
                    <w:t>废过滤棉</w:t>
                  </w:r>
                </w:p>
              </w:tc>
              <w:tc>
                <w:tcPr>
                  <w:tcW w:w="705" w:type="dxa"/>
                  <w:tcBorders>
                    <w:tl2br w:val="nil"/>
                    <w:tr2bl w:val="nil"/>
                  </w:tcBorders>
                  <w:vAlign w:val="center"/>
                </w:tcPr>
                <w:p>
                  <w:pPr>
                    <w:jc w:val="center"/>
                    <w:rPr>
                      <w:rFonts w:hint="default" w:ascii="Times New Roman" w:hAnsi="Times New Roman" w:eastAsia="宋体" w:cs="Times New Roman"/>
                      <w:color w:val="auto"/>
                      <w:kern w:val="0"/>
                      <w:sz w:val="21"/>
                      <w:szCs w:val="21"/>
                      <w:lang w:val="en-US" w:eastAsia="zh-CN" w:bidi="en-US"/>
                    </w:rPr>
                  </w:pPr>
                  <w:r>
                    <w:rPr>
                      <w:rFonts w:hint="default" w:ascii="Times New Roman" w:hAnsi="Times New Roman" w:cs="Times New Roman"/>
                      <w:color w:val="auto"/>
                      <w:szCs w:val="21"/>
                      <w:lang w:bidi="en-US"/>
                    </w:rPr>
                    <w:t>HW49</w:t>
                  </w:r>
                </w:p>
              </w:tc>
              <w:tc>
                <w:tcPr>
                  <w:tcW w:w="977" w:type="dxa"/>
                  <w:tcBorders>
                    <w:tl2br w:val="nil"/>
                    <w:tr2bl w:val="nil"/>
                  </w:tcBorders>
                  <w:vAlign w:val="center"/>
                </w:tcPr>
                <w:p>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bCs/>
                      <w:color w:val="auto"/>
                      <w:sz w:val="18"/>
                      <w:szCs w:val="18"/>
                    </w:rPr>
                    <w:t>900-041-49</w:t>
                  </w:r>
                </w:p>
              </w:tc>
              <w:tc>
                <w:tcPr>
                  <w:tcW w:w="646" w:type="dxa"/>
                  <w:tcBorders>
                    <w:tl2br w:val="nil"/>
                    <w:tr2bl w:val="nil"/>
                  </w:tcBorders>
                  <w:vAlign w:val="center"/>
                </w:tcPr>
                <w:p>
                  <w:pPr>
                    <w:spacing w:line="36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bCs/>
                      <w:color w:val="auto"/>
                      <w:szCs w:val="21"/>
                      <w:lang w:eastAsia="zh-CN"/>
                    </w:rPr>
                    <w:t>3.833</w:t>
                  </w:r>
                </w:p>
              </w:tc>
              <w:tc>
                <w:tcPr>
                  <w:tcW w:w="719" w:type="dxa"/>
                  <w:tcBorders>
                    <w:tl2br w:val="nil"/>
                    <w:tr2bl w:val="nil"/>
                  </w:tcBorders>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废气处理装置</w:t>
                  </w:r>
                </w:p>
              </w:tc>
              <w:tc>
                <w:tcPr>
                  <w:tcW w:w="395"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固</w:t>
                  </w:r>
                </w:p>
              </w:tc>
              <w:tc>
                <w:tcPr>
                  <w:tcW w:w="1075"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沾染有机物的过滤棉</w:t>
                  </w:r>
                </w:p>
              </w:tc>
              <w:tc>
                <w:tcPr>
                  <w:tcW w:w="674"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30天</w:t>
                  </w:r>
                </w:p>
              </w:tc>
              <w:tc>
                <w:tcPr>
                  <w:tcW w:w="850"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T/In</w:t>
                  </w:r>
                </w:p>
              </w:tc>
              <w:tc>
                <w:tcPr>
                  <w:tcW w:w="827" w:type="dxa"/>
                  <w:vMerge w:val="continue"/>
                  <w:tcBorders>
                    <w:tl2br w:val="nil"/>
                    <w:tr2bl w:val="nil"/>
                  </w:tcBorders>
                  <w:vAlign w:val="top"/>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06" w:type="dxa"/>
                  <w:tcBorders>
                    <w:tl2br w:val="nil"/>
                    <w:tr2bl w:val="nil"/>
                  </w:tcBorders>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Cs w:val="21"/>
                    </w:rPr>
                    <w:t>3</w:t>
                  </w:r>
                </w:p>
              </w:tc>
              <w:tc>
                <w:tcPr>
                  <w:tcW w:w="104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废活性炭</w:t>
                  </w:r>
                </w:p>
              </w:tc>
              <w:tc>
                <w:tcPr>
                  <w:tcW w:w="705" w:type="dxa"/>
                  <w:tcBorders>
                    <w:tl2br w:val="nil"/>
                    <w:tr2bl w:val="nil"/>
                  </w:tcBorders>
                  <w:vAlign w:val="center"/>
                </w:tcPr>
                <w:p>
                  <w:pPr>
                    <w:jc w:val="center"/>
                    <w:rPr>
                      <w:rFonts w:hint="default" w:ascii="Times New Roman" w:hAnsi="Times New Roman" w:cs="Times New Roman"/>
                      <w:color w:val="auto"/>
                      <w:szCs w:val="21"/>
                      <w:lang w:bidi="en-US"/>
                    </w:rPr>
                  </w:pPr>
                  <w:r>
                    <w:rPr>
                      <w:rFonts w:hint="default" w:ascii="Times New Roman" w:hAnsi="Times New Roman" w:cs="Times New Roman"/>
                      <w:color w:val="auto"/>
                      <w:szCs w:val="21"/>
                    </w:rPr>
                    <w:t>HW49</w:t>
                  </w:r>
                </w:p>
              </w:tc>
              <w:tc>
                <w:tcPr>
                  <w:tcW w:w="977" w:type="dxa"/>
                  <w:tcBorders>
                    <w:tl2br w:val="nil"/>
                    <w:tr2bl w:val="nil"/>
                  </w:tcBorders>
                  <w:vAlign w:val="center"/>
                </w:tcPr>
                <w:p>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900-041-49</w:t>
                  </w:r>
                </w:p>
              </w:tc>
              <w:tc>
                <w:tcPr>
                  <w:tcW w:w="646" w:type="dxa"/>
                  <w:tcBorders>
                    <w:tl2br w:val="nil"/>
                    <w:tr2bl w:val="nil"/>
                  </w:tcBorders>
                  <w:vAlign w:val="center"/>
                </w:tcPr>
                <w:p>
                  <w:pPr>
                    <w:spacing w:line="360" w:lineRule="auto"/>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9.676</w:t>
                  </w:r>
                </w:p>
              </w:tc>
              <w:tc>
                <w:tcPr>
                  <w:tcW w:w="719" w:type="dxa"/>
                  <w:tcBorders>
                    <w:tl2br w:val="nil"/>
                    <w:tr2bl w:val="nil"/>
                  </w:tcBorders>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废气处理装置</w:t>
                  </w:r>
                </w:p>
              </w:tc>
              <w:tc>
                <w:tcPr>
                  <w:tcW w:w="39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固</w:t>
                  </w:r>
                </w:p>
              </w:tc>
              <w:tc>
                <w:tcPr>
                  <w:tcW w:w="107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沾染有机物的活性炭</w:t>
                  </w:r>
                </w:p>
              </w:tc>
              <w:tc>
                <w:tcPr>
                  <w:tcW w:w="674"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30天</w:t>
                  </w:r>
                </w:p>
              </w:tc>
              <w:tc>
                <w:tcPr>
                  <w:tcW w:w="850"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T/In</w:t>
                  </w:r>
                </w:p>
              </w:tc>
              <w:tc>
                <w:tcPr>
                  <w:tcW w:w="827" w:type="dxa"/>
                  <w:vMerge w:val="continue"/>
                  <w:tcBorders>
                    <w:tl2br w:val="nil"/>
                    <w:tr2bl w:val="nil"/>
                  </w:tcBorders>
                  <w:vAlign w:val="top"/>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406" w:type="dxa"/>
                  <w:tcBorders>
                    <w:tl2br w:val="nil"/>
                    <w:tr2bl w:val="nil"/>
                  </w:tcBorders>
                  <w:vAlign w:val="center"/>
                </w:tcPr>
                <w:p>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4</w:t>
                  </w:r>
                </w:p>
              </w:tc>
              <w:tc>
                <w:tcPr>
                  <w:tcW w:w="1043" w:type="dxa"/>
                  <w:tcBorders>
                    <w:tl2br w:val="nil"/>
                    <w:tr2bl w:val="nil"/>
                  </w:tcBorders>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废桶</w:t>
                  </w:r>
                </w:p>
              </w:tc>
              <w:tc>
                <w:tcPr>
                  <w:tcW w:w="705" w:type="dxa"/>
                  <w:tcBorders>
                    <w:tl2br w:val="nil"/>
                    <w:tr2bl w:val="nil"/>
                  </w:tcBorders>
                  <w:vAlign w:val="center"/>
                </w:tcPr>
                <w:p>
                  <w:pPr>
                    <w:jc w:val="center"/>
                    <w:rPr>
                      <w:rFonts w:hint="default" w:ascii="Times New Roman" w:hAnsi="Times New Roman" w:cs="Times New Roman"/>
                      <w:color w:val="auto"/>
                      <w:szCs w:val="21"/>
                      <w:lang w:bidi="en-US"/>
                    </w:rPr>
                  </w:pPr>
                  <w:r>
                    <w:rPr>
                      <w:rFonts w:hint="default" w:ascii="Times New Roman" w:hAnsi="Times New Roman" w:cs="Times New Roman"/>
                      <w:color w:val="auto"/>
                      <w:szCs w:val="21"/>
                    </w:rPr>
                    <w:t>HW49</w:t>
                  </w:r>
                </w:p>
              </w:tc>
              <w:tc>
                <w:tcPr>
                  <w:tcW w:w="977" w:type="dxa"/>
                  <w:vMerge w:val="restart"/>
                  <w:tcBorders>
                    <w:tl2br w:val="nil"/>
                    <w:tr2bl w:val="nil"/>
                  </w:tcBorders>
                  <w:vAlign w:val="center"/>
                </w:tcPr>
                <w:p>
                  <w:pPr>
                    <w:spacing w:line="360" w:lineRule="auto"/>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900-041-49</w:t>
                  </w:r>
                </w:p>
              </w:tc>
              <w:tc>
                <w:tcPr>
                  <w:tcW w:w="646" w:type="dxa"/>
                  <w:tcBorders>
                    <w:tl2br w:val="nil"/>
                    <w:tr2bl w:val="nil"/>
                  </w:tcBorders>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1.8</w:t>
                  </w:r>
                </w:p>
              </w:tc>
              <w:tc>
                <w:tcPr>
                  <w:tcW w:w="719" w:type="dxa"/>
                  <w:vMerge w:val="restart"/>
                  <w:tcBorders>
                    <w:tl2br w:val="nil"/>
                    <w:tr2bl w:val="nil"/>
                  </w:tcBorders>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喷漆工序</w:t>
                  </w:r>
                </w:p>
              </w:tc>
              <w:tc>
                <w:tcPr>
                  <w:tcW w:w="39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固</w:t>
                  </w:r>
                </w:p>
              </w:tc>
              <w:tc>
                <w:tcPr>
                  <w:tcW w:w="107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漆料</w:t>
                  </w:r>
                </w:p>
              </w:tc>
              <w:tc>
                <w:tcPr>
                  <w:tcW w:w="674"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30天</w:t>
                  </w:r>
                </w:p>
              </w:tc>
              <w:tc>
                <w:tcPr>
                  <w:tcW w:w="850"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T/In</w:t>
                  </w:r>
                </w:p>
              </w:tc>
              <w:tc>
                <w:tcPr>
                  <w:tcW w:w="827" w:type="dxa"/>
                  <w:vMerge w:val="continue"/>
                  <w:tcBorders>
                    <w:tl2br w:val="nil"/>
                    <w:tr2bl w:val="nil"/>
                  </w:tcBorders>
                  <w:vAlign w:val="top"/>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406" w:type="dxa"/>
                  <w:tcBorders>
                    <w:tl2br w:val="nil"/>
                    <w:tr2bl w:val="nil"/>
                  </w:tcBorders>
                  <w:vAlign w:val="center"/>
                </w:tcPr>
                <w:p>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5</w:t>
                  </w:r>
                </w:p>
              </w:tc>
              <w:tc>
                <w:tcPr>
                  <w:tcW w:w="104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bCs/>
                      <w:color w:val="auto"/>
                      <w:szCs w:val="21"/>
                    </w:rPr>
                    <w:t>废含油抹布及废劳保用品</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HW49</w:t>
                  </w:r>
                </w:p>
              </w:tc>
              <w:tc>
                <w:tcPr>
                  <w:tcW w:w="977" w:type="dxa"/>
                  <w:vMerge w:val="continue"/>
                  <w:tcBorders>
                    <w:tl2br w:val="nil"/>
                    <w:tr2bl w:val="nil"/>
                  </w:tcBorders>
                  <w:vAlign w:val="center"/>
                </w:tcPr>
                <w:p>
                  <w:pPr>
                    <w:spacing w:line="360" w:lineRule="auto"/>
                    <w:jc w:val="center"/>
                    <w:rPr>
                      <w:rFonts w:hint="default" w:ascii="Times New Roman" w:hAnsi="Times New Roman" w:cs="Times New Roman"/>
                      <w:bCs/>
                      <w:color w:val="auto"/>
                      <w:sz w:val="18"/>
                      <w:szCs w:val="18"/>
                    </w:rPr>
                  </w:pPr>
                </w:p>
              </w:tc>
              <w:tc>
                <w:tcPr>
                  <w:tcW w:w="646" w:type="dxa"/>
                  <w:tcBorders>
                    <w:tl2br w:val="nil"/>
                    <w:tr2bl w:val="nil"/>
                  </w:tcBorders>
                  <w:vAlign w:val="center"/>
                </w:tcPr>
                <w:p>
                  <w:pPr>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0.3</w:t>
                  </w:r>
                </w:p>
              </w:tc>
              <w:tc>
                <w:tcPr>
                  <w:tcW w:w="719" w:type="dxa"/>
                  <w:vMerge w:val="continue"/>
                  <w:tcBorders>
                    <w:tl2br w:val="nil"/>
                    <w:tr2bl w:val="nil"/>
                  </w:tcBorders>
                  <w:vAlign w:val="center"/>
                </w:tcPr>
                <w:p>
                  <w:pPr>
                    <w:jc w:val="center"/>
                    <w:rPr>
                      <w:rFonts w:hint="default" w:ascii="Times New Roman" w:hAnsi="Times New Roman" w:cs="Times New Roman"/>
                      <w:bCs/>
                      <w:color w:val="auto"/>
                      <w:szCs w:val="21"/>
                    </w:rPr>
                  </w:pPr>
                </w:p>
              </w:tc>
              <w:tc>
                <w:tcPr>
                  <w:tcW w:w="39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固</w:t>
                  </w:r>
                </w:p>
              </w:tc>
              <w:tc>
                <w:tcPr>
                  <w:tcW w:w="107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油类</w:t>
                  </w:r>
                </w:p>
              </w:tc>
              <w:tc>
                <w:tcPr>
                  <w:tcW w:w="674"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30天</w:t>
                  </w:r>
                </w:p>
              </w:tc>
              <w:tc>
                <w:tcPr>
                  <w:tcW w:w="850"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T/In</w:t>
                  </w:r>
                </w:p>
              </w:tc>
              <w:tc>
                <w:tcPr>
                  <w:tcW w:w="827" w:type="dxa"/>
                  <w:vMerge w:val="continue"/>
                  <w:tcBorders>
                    <w:tl2br w:val="nil"/>
                    <w:tr2bl w:val="nil"/>
                  </w:tcBorders>
                  <w:vAlign w:val="top"/>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6" w:type="dxa"/>
                  <w:tcBorders>
                    <w:tl2br w:val="nil"/>
                    <w:tr2bl w:val="nil"/>
                  </w:tcBorders>
                  <w:vAlign w:val="center"/>
                </w:tcPr>
                <w:p>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Cs w:val="21"/>
                    </w:rPr>
                    <w:t>6</w:t>
                  </w:r>
                </w:p>
              </w:tc>
              <w:tc>
                <w:tcPr>
                  <w:tcW w:w="1043" w:type="dxa"/>
                  <w:tcBorders>
                    <w:tl2br w:val="nil"/>
                    <w:tr2bl w:val="nil"/>
                  </w:tcBorders>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漆渣</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HW12</w:t>
                  </w:r>
                </w:p>
              </w:tc>
              <w:tc>
                <w:tcPr>
                  <w:tcW w:w="977" w:type="dxa"/>
                  <w:tcBorders>
                    <w:tl2br w:val="nil"/>
                    <w:tr2bl w:val="nil"/>
                  </w:tcBorders>
                  <w:vAlign w:val="center"/>
                </w:tcPr>
                <w:p>
                  <w:pPr>
                    <w:spacing w:line="360" w:lineRule="auto"/>
                    <w:jc w:val="center"/>
                    <w:rPr>
                      <w:rFonts w:hint="default" w:ascii="Times New Roman" w:hAnsi="Times New Roman" w:cs="Times New Roman"/>
                      <w:bCs/>
                      <w:color w:val="auto"/>
                      <w:sz w:val="18"/>
                      <w:szCs w:val="18"/>
                    </w:rPr>
                  </w:pPr>
                  <w:r>
                    <w:rPr>
                      <w:rFonts w:hint="default" w:ascii="Times New Roman" w:hAnsi="Times New Roman" w:cs="Times New Roman"/>
                      <w:bCs/>
                      <w:color w:val="auto"/>
                      <w:kern w:val="0"/>
                      <w:sz w:val="18"/>
                      <w:szCs w:val="18"/>
                    </w:rPr>
                    <w:t>900-252-12</w:t>
                  </w:r>
                </w:p>
              </w:tc>
              <w:tc>
                <w:tcPr>
                  <w:tcW w:w="646" w:type="dxa"/>
                  <w:tcBorders>
                    <w:tl2br w:val="nil"/>
                    <w:tr2bl w:val="nil"/>
                  </w:tcBorders>
                  <w:vAlign w:val="center"/>
                </w:tcPr>
                <w:p>
                  <w:pPr>
                    <w:spacing w:line="360" w:lineRule="auto"/>
                    <w:jc w:val="center"/>
                    <w:rPr>
                      <w:rFonts w:hint="eastAsia" w:ascii="Times New Roman" w:hAnsi="Times New Roman" w:eastAsia="宋体" w:cs="Times New Roman"/>
                      <w:bCs/>
                      <w:color w:val="auto"/>
                      <w:szCs w:val="21"/>
                      <w:lang w:eastAsia="zh-CN"/>
                    </w:rPr>
                  </w:pPr>
                  <w:r>
                    <w:rPr>
                      <w:rFonts w:hint="eastAsia" w:cs="Times New Roman"/>
                      <w:bCs/>
                      <w:color w:val="auto"/>
                      <w:szCs w:val="21"/>
                      <w:lang w:eastAsia="zh-CN"/>
                    </w:rPr>
                    <w:t>0.142</w:t>
                  </w:r>
                </w:p>
              </w:tc>
              <w:tc>
                <w:tcPr>
                  <w:tcW w:w="719" w:type="dxa"/>
                  <w:vMerge w:val="continue"/>
                  <w:tcBorders>
                    <w:tl2br w:val="nil"/>
                    <w:tr2bl w:val="nil"/>
                  </w:tcBorders>
                  <w:vAlign w:val="center"/>
                </w:tcPr>
                <w:p>
                  <w:pPr>
                    <w:jc w:val="center"/>
                    <w:rPr>
                      <w:rFonts w:hint="default" w:ascii="Times New Roman" w:hAnsi="Times New Roman" w:cs="Times New Roman"/>
                      <w:bCs/>
                      <w:color w:val="auto"/>
                      <w:szCs w:val="21"/>
                    </w:rPr>
                  </w:pPr>
                </w:p>
              </w:tc>
              <w:tc>
                <w:tcPr>
                  <w:tcW w:w="39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固</w:t>
                  </w:r>
                </w:p>
              </w:tc>
              <w:tc>
                <w:tcPr>
                  <w:tcW w:w="1075"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漆料</w:t>
                  </w:r>
                </w:p>
              </w:tc>
              <w:tc>
                <w:tcPr>
                  <w:tcW w:w="674"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30天</w:t>
                  </w:r>
                </w:p>
              </w:tc>
              <w:tc>
                <w:tcPr>
                  <w:tcW w:w="850" w:type="dxa"/>
                  <w:tcBorders>
                    <w:tl2br w:val="nil"/>
                    <w:tr2bl w:val="nil"/>
                  </w:tcBorders>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T/In</w:t>
                  </w:r>
                </w:p>
              </w:tc>
              <w:tc>
                <w:tcPr>
                  <w:tcW w:w="827" w:type="dxa"/>
                  <w:vMerge w:val="continue"/>
                  <w:tcBorders>
                    <w:tl2br w:val="nil"/>
                    <w:tr2bl w:val="nil"/>
                  </w:tcBorders>
                  <w:vAlign w:val="top"/>
                </w:tcPr>
                <w:p>
                  <w:pPr>
                    <w:widowControl/>
                    <w:jc w:val="left"/>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 w:val="24"/>
                <w:szCs w:val="24"/>
              </w:rPr>
            </w:pPr>
            <w:r>
              <w:rPr>
                <w:rFonts w:hint="eastAsia" w:hAnsi="宋体"/>
                <w:color w:val="auto"/>
              </w:rPr>
              <w:t xml:space="preserve">   </w:t>
            </w:r>
            <w:r>
              <w:rPr>
                <w:rFonts w:hint="default" w:ascii="Times New Roman" w:hAnsi="Times New Roman" w:cs="Times New Roman"/>
                <w:color w:val="auto"/>
                <w:sz w:val="24"/>
                <w:szCs w:val="24"/>
              </w:rPr>
              <w:t xml:space="preserve">  一般工业固废的暂存场所需参照《一般工业固体废物贮存和填埋污染控制标准》（GB18599-2020）要求建设，贮存、处置场的建设类型，必须与将要堆放的一般工业固体废物的类别相一致。</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（1）设分区暂存，确保各类一般固废得到合理处置；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（2）防扬散、防流失、防渗漏，分区暂存各固废；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（3）一般固废在运输过程中要防止散落地面，以免产生二次污染；</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（4）一般固废均按其资源化、无害化的方式进行处置；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（5）场所地面与裙角要用竖固、防渗的建筑材料建造，基础必须防渗，应设计建造径流疏导系统，保证能防止暴雨不会流到临时堆放的场所；</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（6）“防风、防雨、防晒”，外围设置围堰，并做好密闭处理，禁止危险废物及生活垃混入。</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危险废物收集、贮存设施应采取防渗、防漏、防雨淋等措施，满足《危险废物贮存污染控制标准》（GB18597－2001）的规定要求。定期交由有危险废物集中处理资质的单位进行无害化处理。运输中做好防渗、防漏、防雨淋等措施。不随意丢弃，随意放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厂区内危险废物暂存场地的设置应按《危险废物贮存污染控制标准》（GB18597-2001）及修改单要求设置，要求做到以下几点：</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（1）废物贮存设施按《环境保护图形标志(GB15562－1995)》的规定设置警示标志；</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（2）废物贮存设施周围应设置围墙或其它防护栅栏；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（3）废物贮存设施应配备通讯设备、照明设施、安全防护服装及工具，并设有应急防护设施；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（4）废物贮存设施内清理出来的泄漏物，一律按危险废物处理；</w:t>
            </w:r>
          </w:p>
          <w:p>
            <w:pPr>
              <w:pStyle w:val="2"/>
              <w:spacing w:line="360" w:lineRule="auto"/>
              <w:ind w:firstLine="480" w:firstLineChars="200"/>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（5）建设单位应进行危险废物申报登记。将危险废物的实际产生、贮存、利用、处置等情况纳入生产记录，建立危险废物管理台账和企业内部产生和收集、贮存、转移等部门危险废物交接制度。</w:t>
            </w:r>
          </w:p>
          <w:p>
            <w:pPr>
              <w:spacing w:line="360" w:lineRule="auto"/>
              <w:ind w:firstLine="482" w:firstLineChars="200"/>
              <w:rPr>
                <w:rFonts w:ascii="宋体" w:hAnsi="宋体" w:cs="宋体"/>
                <w:color w:val="auto"/>
                <w:sz w:val="24"/>
                <w:szCs w:val="24"/>
              </w:rPr>
            </w:pPr>
            <w:r>
              <w:rPr>
                <w:b/>
                <w:color w:val="auto"/>
                <w:sz w:val="24"/>
                <w:szCs w:val="24"/>
              </w:rPr>
              <w:t>5、地下水、土壤</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项目运营后可能对土壤和地下水环境造成影响的环节主要包括：危废暂存间、喷漆房、漆料库、</w:t>
            </w:r>
            <w:r>
              <w:rPr>
                <w:rFonts w:hint="eastAsia" w:cs="Times New Roman"/>
                <w:color w:val="auto"/>
                <w:sz w:val="24"/>
                <w:szCs w:val="24"/>
                <w:lang w:val="en-US" w:eastAsia="zh-CN"/>
              </w:rPr>
              <w:t>机油</w:t>
            </w:r>
            <w:r>
              <w:rPr>
                <w:rFonts w:hint="default" w:ascii="Times New Roman" w:hAnsi="Times New Roman" w:cs="Times New Roman"/>
                <w:color w:val="auto"/>
                <w:sz w:val="24"/>
                <w:szCs w:val="24"/>
              </w:rPr>
              <w:t>存储间、事故池等。漆料及油类泄漏可能会对土壤和地下水环境造成影响。针对可能对土壤和地下水造成影响的各环节，采取源头控制措施及末端控制措施相结合的措施。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主动控制（源头控制措施）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包括在工艺、设备、物料输送管道、污水输送管线采取相应措施，防止和降低污染物跑、冒、滴、漏，将污染物泄露的风险事故降到最低。例如污水管网设置切换阀等，确保发生事故时产生的事故废水能够及时收集进入事故水池，并通过控制切换阀防止事故废水直接外排，对污水处理厂的正常运行造成负荷冲击。</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制定严格的管理措施，设专人定时对厂区内管道进行巡检，要求巡检人员对发现的跑冒滴漏现象要及时上报，对出现的问题要求及时妥善处置。同时也要加强对管道、阀门采购的质量管理，如发现问题，应及时更换。</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被动控制（末端控制措施）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主要包括厂内污染区地面的防渗措施和泄露、渗漏污染物的收集措施，即在污染区地面进行防渗处理，防止撒落在地面上的污染物渗入地下，并把滞留在地面上的污染物收集起来，集中处理。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污染防渗区分为一般防渗区、重点防渗区。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防渗区：对土壤和地下水环境有污染的物料或污染物泄漏后可及时发现和处理的区域和部位。—般为装置区内除重点防渗区外的部分及装置区外管廊区；污染物污染防治区参照《一般工业固体废物贮存和填埋污染控制标准》（GB18599-2020）。一般防渗场区防渗层的性能应不低于1.5m厚渗透系数≤1.0×10</w:t>
            </w:r>
            <w:r>
              <w:rPr>
                <w:rFonts w:hint="default" w:ascii="Times New Roman" w:hAnsi="Times New Roman" w:cs="Times New Roman"/>
                <w:color w:val="auto"/>
                <w:sz w:val="24"/>
                <w:szCs w:val="24"/>
                <w:vertAlign w:val="superscript"/>
              </w:rPr>
              <w:t>-7</w:t>
            </w:r>
            <w:r>
              <w:rPr>
                <w:rFonts w:hint="default" w:ascii="Times New Roman" w:hAnsi="Times New Roman" w:cs="Times New Roman"/>
                <w:color w:val="auto"/>
                <w:sz w:val="24"/>
                <w:szCs w:val="24"/>
              </w:rPr>
              <w:t>cm/s的天然材料防渗结构或厚度不低于1.5mm厚的土工膜。</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重点防渗区：对土壤和地下水环境有污染的物料或污染物泄漏后不易及时发现和处理的区域和部位。重点防渗区防渗层的性能应不低于2m厚渗透系数≤1.0×10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cm/s的天然材料防渗结构或厚度不低于1.5mm的土工膜+厚度不低于100mm的抗渗混凝土（渗透系数≤1.0×10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r>
              <w:rPr>
                <w:rFonts w:hint="default" w:ascii="Times New Roman" w:hAnsi="Times New Roman" w:cs="Times New Roman"/>
                <w:color w:val="auto"/>
                <w:sz w:val="24"/>
                <w:szCs w:val="24"/>
                <w:lang w:val="en-US" w:eastAsia="zh-CN"/>
              </w:rPr>
              <w:t>本项目</w:t>
            </w:r>
            <w:r>
              <w:rPr>
                <w:rFonts w:hint="default" w:ascii="Times New Roman" w:hAnsi="Times New Roman" w:cs="Times New Roman"/>
                <w:color w:val="auto"/>
                <w:sz w:val="24"/>
                <w:szCs w:val="24"/>
              </w:rPr>
              <w:t>分区防渗及雨污分流图</w:t>
            </w:r>
            <w:r>
              <w:rPr>
                <w:rFonts w:hint="default" w:ascii="Times New Roman" w:hAnsi="Times New Roman" w:cs="Times New Roman"/>
                <w:color w:val="auto"/>
                <w:sz w:val="24"/>
                <w:szCs w:val="24"/>
                <w:lang w:val="en-US" w:eastAsia="zh-CN"/>
              </w:rPr>
              <w:t>详见</w:t>
            </w:r>
            <w:r>
              <w:rPr>
                <w:rFonts w:hint="default" w:ascii="Times New Roman" w:hAnsi="Times New Roman" w:cs="Times New Roman"/>
                <w:color w:val="auto"/>
                <w:sz w:val="24"/>
                <w:szCs w:val="24"/>
              </w:rPr>
              <w:t>附图8</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根据工程分析提供的厂内可能泄漏物质种类，依据《国家危险废物名录</w:t>
            </w:r>
            <w:r>
              <w:rPr>
                <w:rFonts w:hint="default" w:ascii="Times New Roman" w:hAnsi="Times New Roman" w:cs="Times New Roman"/>
                <w:color w:val="auto"/>
                <w:spacing w:val="-7"/>
                <w:sz w:val="24"/>
                <w:szCs w:val="24"/>
              </w:rPr>
              <w:t>（2021年版）</w:t>
            </w:r>
            <w:r>
              <w:rPr>
                <w:rFonts w:hint="default" w:ascii="Times New Roman" w:hAnsi="Times New Roman" w:cs="Times New Roman"/>
                <w:color w:val="auto"/>
                <w:sz w:val="24"/>
                <w:szCs w:val="24"/>
              </w:rPr>
              <w:t>》、《危险废物鉴别标准》的规定，确定项目完成后污染防治分区情况详见下表。</w:t>
            </w:r>
          </w:p>
          <w:p>
            <w:pPr>
              <w:adjustRightInd w:val="0"/>
              <w:snapToGrid w:val="0"/>
              <w:spacing w:line="360" w:lineRule="auto"/>
              <w:jc w:val="center"/>
              <w:rPr>
                <w:rFonts w:hAnsi="宋体" w:cs="宋体"/>
                <w:b/>
                <w:bCs/>
                <w:color w:val="auto"/>
                <w:sz w:val="24"/>
                <w:lang w:bidi="en-US"/>
              </w:rPr>
            </w:pPr>
            <w:r>
              <w:rPr>
                <w:rFonts w:hint="eastAsia" w:hAnsi="宋体" w:cs="宋体"/>
                <w:b/>
                <w:bCs/>
                <w:color w:val="auto"/>
                <w:sz w:val="24"/>
                <w:szCs w:val="24"/>
                <w:lang w:bidi="en-US"/>
              </w:rPr>
              <w:t>表4-</w:t>
            </w:r>
            <w:r>
              <w:rPr>
                <w:rFonts w:hint="eastAsia" w:hAnsi="宋体" w:cs="宋体"/>
                <w:b/>
                <w:bCs/>
                <w:color w:val="auto"/>
                <w:sz w:val="24"/>
                <w:szCs w:val="24"/>
                <w:lang w:val="en-US" w:eastAsia="zh-CN" w:bidi="en-US"/>
              </w:rPr>
              <w:t>20</w:t>
            </w:r>
            <w:r>
              <w:rPr>
                <w:rFonts w:hint="eastAsia" w:hAnsi="宋体" w:cs="宋体"/>
                <w:b/>
                <w:bCs/>
                <w:color w:val="auto"/>
                <w:sz w:val="24"/>
                <w:szCs w:val="24"/>
                <w:lang w:bidi="en-US"/>
              </w:rPr>
              <w:t xml:space="preserve">  地下水、土壤污染防治分区情况表</w:t>
            </w:r>
          </w:p>
          <w:tbl>
            <w:tblPr>
              <w:tblStyle w:val="34"/>
              <w:tblW w:w="8430"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083"/>
              <w:gridCol w:w="4334"/>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2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名称</w:t>
                  </w:r>
                </w:p>
              </w:tc>
              <w:tc>
                <w:tcPr>
                  <w:tcW w:w="315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范围</w:t>
                  </w:r>
                </w:p>
              </w:tc>
              <w:tc>
                <w:tcPr>
                  <w:tcW w:w="442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防渗结构要求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2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重点防渗区</w:t>
                  </w:r>
                </w:p>
              </w:tc>
              <w:tc>
                <w:tcPr>
                  <w:tcW w:w="3151" w:type="dxa"/>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喷漆房，</w:t>
                  </w:r>
                  <w:r>
                    <w:rPr>
                      <w:rFonts w:hint="eastAsia" w:ascii="Times New Roman" w:hAnsi="Times New Roman" w:cs="Times New Roman"/>
                      <w:color w:val="auto"/>
                      <w:szCs w:val="21"/>
                      <w:lang w:eastAsia="zh-CN"/>
                    </w:rPr>
                    <w:t>漆料间</w:t>
                  </w:r>
                  <w:r>
                    <w:rPr>
                      <w:rFonts w:hint="default" w:ascii="Times New Roman" w:hAnsi="Times New Roman" w:cs="Times New Roman"/>
                      <w:color w:val="auto"/>
                      <w:szCs w:val="21"/>
                    </w:rPr>
                    <w:t>，危废暂存间，</w:t>
                  </w:r>
                  <w:r>
                    <w:rPr>
                      <w:rFonts w:hint="eastAsia" w:cs="Times New Roman"/>
                      <w:color w:val="auto"/>
                      <w:szCs w:val="21"/>
                      <w:lang w:val="en-US" w:eastAsia="zh-CN"/>
                    </w:rPr>
                    <w:t>机油</w:t>
                  </w:r>
                  <w:r>
                    <w:rPr>
                      <w:rFonts w:hint="default" w:ascii="Times New Roman" w:hAnsi="Times New Roman" w:cs="Times New Roman"/>
                      <w:color w:val="auto"/>
                      <w:szCs w:val="21"/>
                    </w:rPr>
                    <w:t>存储间，事故池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化粪池</w:t>
                  </w:r>
                </w:p>
              </w:tc>
              <w:tc>
                <w:tcPr>
                  <w:tcW w:w="442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底部用水泥硬化，四周壁用砖砌再用水泥硬化防渗，全池涂环氧树脂防腐防渗，防渗材料采用环氧树脂（渗透系数≤10</w:t>
                  </w:r>
                  <w:r>
                    <w:rPr>
                      <w:rFonts w:hint="default" w:ascii="Times New Roman" w:hAnsi="Times New Roman" w:cs="Times New Roman"/>
                      <w:color w:val="auto"/>
                      <w:szCs w:val="21"/>
                      <w:vertAlign w:val="superscript"/>
                    </w:rPr>
                    <w:t>-10</w:t>
                  </w:r>
                  <w:r>
                    <w:rPr>
                      <w:rFonts w:hint="default" w:ascii="Times New Roman" w:hAnsi="Times New Roman" w:cs="Times New Roman"/>
                      <w:color w:val="auto"/>
                      <w:szCs w:val="21"/>
                    </w:rPr>
                    <w:t>m/s﹚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2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一般防渗区</w:t>
                  </w:r>
                </w:p>
              </w:tc>
              <w:tc>
                <w:tcPr>
                  <w:tcW w:w="315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车间其他区域</w:t>
                  </w:r>
                </w:p>
              </w:tc>
              <w:tc>
                <w:tcPr>
                  <w:tcW w:w="442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面采取粘土铺底，再在上层铺10~15cm的水泥进行硬化，通过上述措施可使一般污染区各单元防渗层（渗透系数≤10</w:t>
                  </w:r>
                  <w:r>
                    <w:rPr>
                      <w:rFonts w:hint="default" w:ascii="Times New Roman" w:hAnsi="Times New Roman" w:cs="Times New Roman"/>
                      <w:color w:val="auto"/>
                      <w:szCs w:val="21"/>
                      <w:vertAlign w:val="superscript"/>
                    </w:rPr>
                    <w:t>-7</w:t>
                  </w:r>
                  <w:r>
                    <w:rPr>
                      <w:rFonts w:hint="default" w:ascii="Times New Roman" w:hAnsi="Times New Roman" w:cs="Times New Roman"/>
                      <w:color w:val="auto"/>
                      <w:szCs w:val="21"/>
                    </w:rPr>
                    <w:t>cm/s）</w:t>
                  </w:r>
                </w:p>
              </w:tc>
            </w:tr>
          </w:tbl>
          <w:p>
            <w:pPr>
              <w:pStyle w:val="2"/>
              <w:spacing w:line="360" w:lineRule="auto"/>
              <w:ind w:firstLine="480" w:firstLineChars="200"/>
              <w:rPr>
                <w:rFonts w:ascii="Times New Roman" w:cs="Times New Roman"/>
                <w:color w:val="auto"/>
                <w:sz w:val="24"/>
                <w:szCs w:val="24"/>
              </w:rPr>
            </w:pPr>
            <w:r>
              <w:rPr>
                <w:rFonts w:hint="eastAsia" w:ascii="Times New Roman" w:cs="Times New Roman"/>
                <w:color w:val="auto"/>
                <w:sz w:val="24"/>
                <w:szCs w:val="24"/>
              </w:rPr>
              <w:t>经采取以上措施后，可以有效避免对土壤、地下水造成污染。</w:t>
            </w:r>
          </w:p>
          <w:p>
            <w:pPr>
              <w:pStyle w:val="2"/>
              <w:spacing w:line="360" w:lineRule="auto"/>
              <w:rPr>
                <w:b/>
                <w:color w:val="auto"/>
                <w:sz w:val="24"/>
                <w:szCs w:val="24"/>
              </w:rPr>
            </w:pPr>
            <w:r>
              <w:rPr>
                <w:rFonts w:hint="eastAsia"/>
                <w:b/>
                <w:color w:val="auto"/>
                <w:sz w:val="24"/>
                <w:szCs w:val="24"/>
              </w:rPr>
              <w:t>6、</w:t>
            </w:r>
            <w:r>
              <w:rPr>
                <w:b/>
                <w:color w:val="auto"/>
                <w:sz w:val="24"/>
                <w:szCs w:val="24"/>
              </w:rPr>
              <w:t>环境风险</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（一）环境风险物质和风险源分布情况</w:t>
            </w:r>
          </w:p>
          <w:p>
            <w:pPr>
              <w:adjustRightInd w:val="0"/>
              <w:snapToGrid w:val="0"/>
              <w:spacing w:line="360" w:lineRule="auto"/>
              <w:ind w:firstLine="440" w:firstLineChars="200"/>
              <w:rPr>
                <w:rFonts w:hint="default" w:ascii="Times New Roman" w:hAnsi="Times New Roman" w:cs="Times New Roman"/>
                <w:bCs/>
                <w:color w:val="auto"/>
                <w:spacing w:val="-10"/>
                <w:sz w:val="24"/>
                <w:szCs w:val="24"/>
                <w:lang w:bidi="ar"/>
              </w:rPr>
            </w:pPr>
            <w:r>
              <w:rPr>
                <w:rFonts w:hint="default" w:ascii="Times New Roman" w:hAnsi="Times New Roman" w:cs="Times New Roman"/>
                <w:bCs/>
                <w:color w:val="auto"/>
                <w:spacing w:val="-10"/>
                <w:sz w:val="24"/>
                <w:szCs w:val="24"/>
                <w:lang w:bidi="ar"/>
              </w:rPr>
              <w:t>1、建设项目风险源调查</w:t>
            </w:r>
          </w:p>
          <w:p>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根据《建设项目环境风险评价技术导则》（HJ 169-2018），本项目使用的</w:t>
            </w:r>
            <w:r>
              <w:rPr>
                <w:rFonts w:hint="eastAsia" w:cs="Times New Roman"/>
                <w:color w:val="auto"/>
                <w:sz w:val="24"/>
                <w:szCs w:val="24"/>
                <w:lang w:val="en-US" w:eastAsia="zh-CN"/>
              </w:rPr>
              <w:t>水性漆</w:t>
            </w:r>
            <w:r>
              <w:rPr>
                <w:rFonts w:hint="default" w:ascii="Times New Roman" w:hAnsi="Times New Roman" w:cs="Times New Roman"/>
                <w:color w:val="auto"/>
                <w:sz w:val="24"/>
                <w:szCs w:val="24"/>
              </w:rPr>
              <w:t>（水性环氧富锌底漆</w:t>
            </w:r>
            <w:r>
              <w:rPr>
                <w:rFonts w:hint="eastAsia" w:cs="Times New Roman"/>
                <w:color w:val="auto"/>
                <w:sz w:val="24"/>
                <w:szCs w:val="24"/>
                <w:lang w:val="en-US" w:eastAsia="zh-CN"/>
              </w:rPr>
              <w:t>和</w:t>
            </w:r>
            <w:r>
              <w:rPr>
                <w:rFonts w:hint="default" w:ascii="Times New Roman" w:hAnsi="Times New Roman" w:cs="Times New Roman"/>
                <w:color w:val="auto"/>
                <w:sz w:val="24"/>
                <w:szCs w:val="24"/>
              </w:rPr>
              <w:t>水性醇酸面漆）、乙炔、</w:t>
            </w:r>
            <w:r>
              <w:rPr>
                <w:rFonts w:hint="eastAsia" w:cs="Times New Roman"/>
                <w:color w:val="auto"/>
                <w:sz w:val="24"/>
                <w:szCs w:val="24"/>
                <w:lang w:val="en-US" w:eastAsia="zh-CN"/>
              </w:rPr>
              <w:t>机油</w:t>
            </w:r>
            <w:r>
              <w:rPr>
                <w:rFonts w:hint="default" w:ascii="Times New Roman" w:hAnsi="Times New Roman" w:cs="Times New Roman"/>
                <w:color w:val="auto"/>
                <w:sz w:val="24"/>
                <w:szCs w:val="24"/>
              </w:rPr>
              <w:t>（按矿物油核算）</w:t>
            </w:r>
            <w:r>
              <w:rPr>
                <w:rFonts w:hint="eastAsia" w:cs="Times New Roman"/>
                <w:color w:val="auto"/>
                <w:sz w:val="24"/>
                <w:szCs w:val="24"/>
                <w:lang w:eastAsia="zh-CN"/>
              </w:rPr>
              <w:t>、</w:t>
            </w:r>
            <w:r>
              <w:rPr>
                <w:rFonts w:hint="eastAsia" w:cs="Times New Roman"/>
                <w:color w:val="auto"/>
                <w:sz w:val="24"/>
                <w:szCs w:val="24"/>
                <w:lang w:val="en-US" w:eastAsia="zh-CN"/>
              </w:rPr>
              <w:t>废机油</w:t>
            </w:r>
            <w:r>
              <w:rPr>
                <w:rFonts w:hint="default" w:ascii="Times New Roman" w:hAnsi="Times New Roman" w:cs="Times New Roman"/>
                <w:color w:val="auto"/>
                <w:sz w:val="24"/>
                <w:szCs w:val="24"/>
              </w:rPr>
              <w:t>等，漆料泄漏可能会引起火灾，气瓶可能会引起爆炸。</w:t>
            </w:r>
          </w:p>
          <w:p>
            <w:pPr>
              <w:adjustRightInd w:val="0"/>
              <w:snapToGrid w:val="0"/>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bidi="ar"/>
              </w:rPr>
              <w:t>2、环境风险物质储存情况分析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计算所涉及的每种危险物质在厂界内最大存总量与其在《建设项目环境风险评价技术导则》（HJ/T169-2018）附录B中对应临界量的比值。</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lang w:bidi="ar"/>
              </w:rPr>
              <w:t>若这些危险化学品在同一个贮库内，则根据下式计算：</w:t>
            </w:r>
          </w:p>
          <w:p>
            <w:pPr>
              <w:spacing w:before="240"/>
              <w:ind w:firstLine="420" w:firstLineChars="200"/>
              <w:jc w:val="center"/>
              <w:rPr>
                <w:rFonts w:hint="default" w:ascii="Times New Roman" w:hAnsi="Times New Roman" w:cs="Times New Roman"/>
                <w:color w:val="auto"/>
                <w:sz w:val="24"/>
              </w:rPr>
            </w:pPr>
            <w:r>
              <w:rPr>
                <w:rFonts w:hint="default" w:ascii="Times New Roman" w:hAnsi="Times New Roman" w:cs="Times New Roman"/>
                <w:color w:val="auto"/>
                <w:szCs w:val="21"/>
                <w:lang w:bidi="ar"/>
              </w:rPr>
              <w:fldChar w:fldCharType="begin"/>
            </w:r>
            <w:r>
              <w:rPr>
                <w:rFonts w:hint="default" w:ascii="Times New Roman" w:hAnsi="Times New Roman" w:cs="Times New Roman"/>
                <w:color w:val="auto"/>
                <w:szCs w:val="21"/>
                <w:lang w:bidi="ar"/>
              </w:rPr>
              <w:instrText xml:space="preserve">INCLUDEPICTURE \d "C:\\Users\\ADMINI~1\\AppData\\Local\\Temp\\ksohtml9640\\wps1.jpg" \* MERGEFORMATINET </w:instrText>
            </w:r>
            <w:r>
              <w:rPr>
                <w:rFonts w:hint="default" w:ascii="Times New Roman" w:hAnsi="Times New Roman" w:cs="Times New Roman"/>
                <w:color w:val="auto"/>
                <w:szCs w:val="21"/>
                <w:lang w:bidi="ar"/>
              </w:rPr>
              <w:fldChar w:fldCharType="separate"/>
            </w:r>
            <w:r>
              <w:rPr>
                <w:rFonts w:hint="default" w:ascii="Times New Roman" w:hAnsi="Times New Roman" w:cs="Times New Roman"/>
                <w:color w:val="auto"/>
                <w:szCs w:val="21"/>
              </w:rPr>
              <w:drawing>
                <wp:inline distT="0" distB="0" distL="114300" distR="114300">
                  <wp:extent cx="1143000" cy="419100"/>
                  <wp:effectExtent l="0" t="0" r="0" b="0"/>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6"/>
                          <pic:cNvPicPr>
                            <a:picLocks noChangeAspect="1"/>
                          </pic:cNvPicPr>
                        </pic:nvPicPr>
                        <pic:blipFill>
                          <a:blip r:embed="rId13"/>
                          <a:stretch>
                            <a:fillRect/>
                          </a:stretch>
                        </pic:blipFill>
                        <pic:spPr>
                          <a:xfrm>
                            <a:off x="0" y="0"/>
                            <a:ext cx="1143000" cy="419100"/>
                          </a:xfrm>
                          <a:prstGeom prst="rect">
                            <a:avLst/>
                          </a:prstGeom>
                          <a:noFill/>
                          <a:ln>
                            <a:noFill/>
                          </a:ln>
                        </pic:spPr>
                      </pic:pic>
                    </a:graphicData>
                  </a:graphic>
                </wp:inline>
              </w:drawing>
            </w:r>
            <w:r>
              <w:rPr>
                <w:rFonts w:hint="default" w:ascii="Times New Roman" w:hAnsi="Times New Roman" w:cs="Times New Roman"/>
                <w:color w:val="auto"/>
                <w:szCs w:val="21"/>
                <w:lang w:bidi="ar"/>
              </w:rPr>
              <w:fldChar w:fldCharType="end"/>
            </w:r>
          </w:p>
          <w:p>
            <w:pPr>
              <w:spacing w:before="240"/>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lang w:bidi="ar"/>
              </w:rPr>
              <w:t xml:space="preserve"> </w:t>
            </w:r>
            <w:r>
              <w:rPr>
                <w:rFonts w:hint="default" w:ascii="Times New Roman" w:hAnsi="Times New Roman" w:cs="Times New Roman"/>
                <w:color w:val="auto"/>
                <w:sz w:val="24"/>
                <w:szCs w:val="24"/>
                <w:lang w:bidi="ar"/>
              </w:rPr>
              <w:t>式中q</w:t>
            </w:r>
            <w:r>
              <w:rPr>
                <w:rFonts w:hint="default" w:ascii="Times New Roman" w:hAnsi="Times New Roman" w:cs="Times New Roman"/>
                <w:color w:val="auto"/>
                <w:sz w:val="24"/>
                <w:szCs w:val="24"/>
                <w:vertAlign w:val="subscript"/>
                <w:lang w:bidi="ar"/>
              </w:rPr>
              <w:t>1</w:t>
            </w:r>
            <w:r>
              <w:rPr>
                <w:rFonts w:hint="default" w:ascii="Times New Roman" w:hAnsi="Times New Roman" w:cs="Times New Roman"/>
                <w:color w:val="auto"/>
                <w:sz w:val="24"/>
                <w:szCs w:val="24"/>
                <w:lang w:bidi="ar"/>
              </w:rPr>
              <w:t>，q</w:t>
            </w:r>
            <w:r>
              <w:rPr>
                <w:rFonts w:hint="default" w:ascii="Times New Roman" w:hAnsi="Times New Roman" w:cs="Times New Roman"/>
                <w:color w:val="auto"/>
                <w:sz w:val="24"/>
                <w:szCs w:val="24"/>
                <w:vertAlign w:val="subscript"/>
                <w:lang w:bidi="ar"/>
              </w:rPr>
              <w:t>2</w:t>
            </w:r>
            <w:r>
              <w:rPr>
                <w:rFonts w:hint="default" w:ascii="Times New Roman" w:hAnsi="Times New Roman" w:cs="Times New Roman"/>
                <w:color w:val="auto"/>
                <w:sz w:val="24"/>
                <w:szCs w:val="24"/>
                <w:lang w:bidi="ar"/>
              </w:rPr>
              <w:t>……q</w:t>
            </w:r>
            <w:r>
              <w:rPr>
                <w:rFonts w:hint="default" w:ascii="Times New Roman" w:hAnsi="Times New Roman" w:cs="Times New Roman"/>
                <w:color w:val="auto"/>
                <w:sz w:val="24"/>
                <w:szCs w:val="24"/>
                <w:vertAlign w:val="subscript"/>
                <w:lang w:bidi="ar"/>
              </w:rPr>
              <w:t>n</w:t>
            </w:r>
            <w:r>
              <w:rPr>
                <w:rFonts w:hint="default" w:ascii="Times New Roman" w:hAnsi="Times New Roman" w:cs="Times New Roman"/>
                <w:color w:val="auto"/>
                <w:sz w:val="24"/>
                <w:szCs w:val="24"/>
                <w:lang w:bidi="ar"/>
              </w:rPr>
              <w:t>——每种危险物质实际存在量，t。</w:t>
            </w:r>
          </w:p>
          <w:p>
            <w:pPr>
              <w:spacing w:after="12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Q</w:t>
            </w:r>
            <w:r>
              <w:rPr>
                <w:rFonts w:hint="default" w:ascii="Times New Roman" w:hAnsi="Times New Roman" w:cs="Times New Roman"/>
                <w:color w:val="auto"/>
                <w:sz w:val="24"/>
                <w:szCs w:val="24"/>
                <w:vertAlign w:val="subscript"/>
                <w:lang w:bidi="ar"/>
              </w:rPr>
              <w:t>1</w:t>
            </w:r>
            <w:r>
              <w:rPr>
                <w:rFonts w:hint="default" w:ascii="Times New Roman" w:hAnsi="Times New Roman" w:cs="Times New Roman"/>
                <w:color w:val="auto"/>
                <w:sz w:val="24"/>
                <w:szCs w:val="24"/>
                <w:lang w:bidi="ar"/>
              </w:rPr>
              <w:t>，Q</w:t>
            </w:r>
            <w:r>
              <w:rPr>
                <w:rFonts w:hint="default" w:ascii="Times New Roman" w:hAnsi="Times New Roman" w:cs="Times New Roman"/>
                <w:color w:val="auto"/>
                <w:sz w:val="24"/>
                <w:szCs w:val="24"/>
                <w:vertAlign w:val="subscript"/>
                <w:lang w:bidi="ar"/>
              </w:rPr>
              <w:t>2</w:t>
            </w:r>
            <w:r>
              <w:rPr>
                <w:rFonts w:hint="default" w:ascii="Times New Roman" w:hAnsi="Times New Roman" w:cs="Times New Roman"/>
                <w:color w:val="auto"/>
                <w:sz w:val="24"/>
                <w:szCs w:val="24"/>
                <w:lang w:bidi="ar"/>
              </w:rPr>
              <w:t>……Q</w:t>
            </w:r>
            <w:r>
              <w:rPr>
                <w:rFonts w:hint="default" w:ascii="Times New Roman" w:hAnsi="Times New Roman" w:cs="Times New Roman"/>
                <w:color w:val="auto"/>
                <w:sz w:val="24"/>
                <w:szCs w:val="24"/>
                <w:vertAlign w:val="subscript"/>
                <w:lang w:bidi="ar"/>
              </w:rPr>
              <w:t>n</w:t>
            </w:r>
            <w:r>
              <w:rPr>
                <w:rFonts w:hint="default" w:ascii="Times New Roman" w:hAnsi="Times New Roman" w:cs="Times New Roman"/>
                <w:color w:val="auto"/>
                <w:sz w:val="24"/>
                <w:szCs w:val="24"/>
                <w:lang w:bidi="ar"/>
              </w:rPr>
              <w:t>——与各危险物质相对应的生产场所或贮存区的临界量，t。</w:t>
            </w:r>
          </w:p>
          <w:p>
            <w:pPr>
              <w:spacing w:after="12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当Q＜1时，该项目环境风险潜势为I。</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当Q≥1时，将Q值划分为：（1）1≤Q＜10；（2）10≤Q＜100；（3）Q≥100。</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bidi="ar"/>
              </w:rPr>
              <w:t>本项目危险物质储存量与临界量比值计算情况如下：</w:t>
            </w:r>
          </w:p>
          <w:p>
            <w:pPr>
              <w:spacing w:line="360" w:lineRule="auto"/>
              <w:ind w:firstLine="482" w:firstLineChars="200"/>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bidi="ar"/>
              </w:rPr>
              <w:t>表4-</w:t>
            </w:r>
            <w:r>
              <w:rPr>
                <w:rFonts w:hint="eastAsia" w:cs="Times New Roman"/>
                <w:b/>
                <w:bCs/>
                <w:color w:val="auto"/>
                <w:sz w:val="24"/>
                <w:szCs w:val="24"/>
                <w:lang w:val="en-US" w:eastAsia="zh-CN" w:bidi="ar"/>
              </w:rPr>
              <w:t>21</w:t>
            </w:r>
            <w:r>
              <w:rPr>
                <w:rFonts w:hint="default" w:ascii="Times New Roman" w:hAnsi="Times New Roman" w:cs="Times New Roman"/>
                <w:b/>
                <w:bCs/>
                <w:color w:val="auto"/>
                <w:sz w:val="24"/>
                <w:szCs w:val="24"/>
                <w:lang w:bidi="ar"/>
              </w:rPr>
              <w:t xml:space="preserve">   本项目危险物质储存量、临界量一览表</w:t>
            </w:r>
          </w:p>
          <w:tbl>
            <w:tblPr>
              <w:tblStyle w:val="34"/>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097"/>
              <w:gridCol w:w="1607"/>
              <w:gridCol w:w="1669"/>
              <w:gridCol w:w="1331"/>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lang w:bidi="ar"/>
                    </w:rPr>
                    <w:t>序号</w:t>
                  </w:r>
                </w:p>
              </w:tc>
              <w:tc>
                <w:tcPr>
                  <w:tcW w:w="65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lang w:bidi="ar"/>
                    </w:rPr>
                    <w:t>储存位置</w:t>
                  </w:r>
                </w:p>
              </w:tc>
              <w:tc>
                <w:tcPr>
                  <w:tcW w:w="961"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lang w:bidi="ar"/>
                    </w:rPr>
                    <w:t>物质名称</w:t>
                  </w:r>
                </w:p>
              </w:tc>
              <w:tc>
                <w:tcPr>
                  <w:tcW w:w="998"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lang w:bidi="ar"/>
                    </w:rPr>
                    <w:t>最大存储量（t）</w:t>
                  </w:r>
                </w:p>
              </w:tc>
              <w:tc>
                <w:tcPr>
                  <w:tcW w:w="79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color w:val="auto"/>
                      <w:szCs w:val="21"/>
                      <w:lang w:bidi="ar"/>
                    </w:rPr>
                    <w:t>临界量（t）</w:t>
                  </w:r>
                </w:p>
              </w:tc>
              <w:tc>
                <w:tcPr>
                  <w:tcW w:w="87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lang w:bidi="ar"/>
                    </w:rPr>
                    <w:t>qn/Qn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1</w:t>
                  </w:r>
                </w:p>
              </w:tc>
              <w:tc>
                <w:tcPr>
                  <w:tcW w:w="656" w:type="pct"/>
                  <w:tcBorders>
                    <w:top w:val="nil"/>
                    <w:left w:val="nil"/>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rPr>
                    <w:t>原料库</w:t>
                  </w:r>
                </w:p>
              </w:tc>
              <w:tc>
                <w:tcPr>
                  <w:tcW w:w="961" w:type="pct"/>
                  <w:tcBorders>
                    <w:top w:val="single" w:color="auto" w:sz="4" w:space="0"/>
                    <w:left w:val="nil"/>
                    <w:bottom w:val="single" w:color="auto" w:sz="4" w:space="0"/>
                    <w:right w:val="single" w:color="auto" w:sz="4" w:space="0"/>
                  </w:tcBorders>
                  <w:vAlign w:val="bottom"/>
                </w:tcPr>
                <w:p>
                  <w:pPr>
                    <w:widowControl/>
                    <w:spacing w:line="240" w:lineRule="auto"/>
                    <w:jc w:val="center"/>
                    <w:textAlignment w:val="bottom"/>
                    <w:rPr>
                      <w:rFonts w:hint="default" w:ascii="Times New Roman" w:hAnsi="Times New Roman" w:cs="Times New Roman"/>
                      <w:color w:val="auto"/>
                      <w:szCs w:val="21"/>
                    </w:rPr>
                  </w:pPr>
                  <w:r>
                    <w:rPr>
                      <w:rFonts w:hint="default" w:ascii="Times New Roman" w:hAnsi="Times New Roman" w:cs="Times New Roman"/>
                      <w:color w:val="auto"/>
                      <w:kern w:val="0"/>
                      <w:sz w:val="22"/>
                      <w:szCs w:val="22"/>
                    </w:rPr>
                    <w:t>乙炔</w:t>
                  </w:r>
                </w:p>
              </w:tc>
              <w:tc>
                <w:tcPr>
                  <w:tcW w:w="998"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0.0005</w:t>
                  </w:r>
                </w:p>
              </w:tc>
              <w:tc>
                <w:tcPr>
                  <w:tcW w:w="79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10</w:t>
                  </w:r>
                </w:p>
              </w:tc>
              <w:tc>
                <w:tcPr>
                  <w:tcW w:w="87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1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2</w:t>
                  </w:r>
                </w:p>
              </w:tc>
              <w:tc>
                <w:tcPr>
                  <w:tcW w:w="656" w:type="pct"/>
                  <w:tcBorders>
                    <w:left w:val="nil"/>
                    <w:right w:val="single" w:color="auto" w:sz="4" w:space="0"/>
                  </w:tcBorders>
                  <w:vAlign w:val="center"/>
                </w:tcPr>
                <w:p>
                  <w:pPr>
                    <w:spacing w:line="240" w:lineRule="auto"/>
                    <w:jc w:val="center"/>
                    <w:rPr>
                      <w:rFonts w:hint="default" w:ascii="Times New Roman" w:hAnsi="Times New Roman" w:cs="Times New Roman"/>
                      <w:color w:val="auto"/>
                      <w:szCs w:val="21"/>
                      <w:lang w:bidi="ar"/>
                    </w:rPr>
                  </w:pPr>
                  <w:r>
                    <w:rPr>
                      <w:rFonts w:hint="eastAsia" w:cs="Times New Roman"/>
                      <w:color w:val="auto"/>
                      <w:szCs w:val="21"/>
                      <w:lang w:val="en-US" w:eastAsia="zh-CN" w:bidi="ar"/>
                    </w:rPr>
                    <w:t>漆料间</w:t>
                  </w:r>
                </w:p>
              </w:tc>
              <w:tc>
                <w:tcPr>
                  <w:tcW w:w="961" w:type="pc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rPr>
                    <w:t>机油</w:t>
                  </w:r>
                </w:p>
              </w:tc>
              <w:tc>
                <w:tcPr>
                  <w:tcW w:w="998" w:type="pct"/>
                  <w:tcBorders>
                    <w:top w:val="single" w:color="auto" w:sz="4" w:space="0"/>
                    <w:left w:val="nil"/>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Cs w:val="21"/>
                      <w:lang w:val="en-US" w:eastAsia="zh-CN" w:bidi="ar"/>
                    </w:rPr>
                  </w:pPr>
                  <w:r>
                    <w:rPr>
                      <w:rFonts w:hint="default" w:ascii="Times New Roman" w:hAnsi="Times New Roman" w:cs="Times New Roman"/>
                      <w:color w:val="auto"/>
                      <w:szCs w:val="21"/>
                      <w:lang w:bidi="ar"/>
                    </w:rPr>
                    <w:t>0.0</w:t>
                  </w:r>
                  <w:r>
                    <w:rPr>
                      <w:rFonts w:hint="eastAsia" w:cs="Times New Roman"/>
                      <w:color w:val="auto"/>
                      <w:szCs w:val="21"/>
                      <w:lang w:val="en-US" w:eastAsia="zh-CN" w:bidi="ar"/>
                    </w:rPr>
                    <w:t>4</w:t>
                  </w:r>
                </w:p>
              </w:tc>
              <w:tc>
                <w:tcPr>
                  <w:tcW w:w="79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2500</w:t>
                  </w:r>
                </w:p>
              </w:tc>
              <w:tc>
                <w:tcPr>
                  <w:tcW w:w="87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0.0000</w:t>
                  </w:r>
                  <w:r>
                    <w:rPr>
                      <w:rFonts w:hint="eastAsia" w:cs="Times New Roman"/>
                      <w:color w:val="auto"/>
                      <w:szCs w:val="21"/>
                      <w:lang w:val="en-US" w:eastAsia="zh-CN" w:bidi="ar"/>
                    </w:rPr>
                    <w:t>1</w:t>
                  </w:r>
                  <w:r>
                    <w:rPr>
                      <w:rFonts w:hint="default" w:ascii="Times New Roman" w:hAnsi="Times New Roman" w:cs="Times New Roman"/>
                      <w:color w:val="auto"/>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1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3</w:t>
                  </w:r>
                </w:p>
              </w:tc>
              <w:tc>
                <w:tcPr>
                  <w:tcW w:w="656" w:type="pct"/>
                  <w:tcBorders>
                    <w:left w:val="nil"/>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漆料间</w:t>
                  </w:r>
                </w:p>
              </w:tc>
              <w:tc>
                <w:tcPr>
                  <w:tcW w:w="961" w:type="pc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水性漆</w:t>
                  </w:r>
                </w:p>
              </w:tc>
              <w:tc>
                <w:tcPr>
                  <w:tcW w:w="998" w:type="pct"/>
                  <w:tcBorders>
                    <w:top w:val="single" w:color="auto" w:sz="4" w:space="0"/>
                    <w:left w:val="nil"/>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2</w:t>
                  </w:r>
                </w:p>
              </w:tc>
              <w:tc>
                <w:tcPr>
                  <w:tcW w:w="79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r>
                    <w:rPr>
                      <w:color w:val="auto"/>
                      <w:sz w:val="21"/>
                      <w:szCs w:val="21"/>
                    </w:rPr>
                    <w:t>2500</w:t>
                  </w:r>
                </w:p>
              </w:tc>
              <w:tc>
                <w:tcPr>
                  <w:tcW w:w="87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1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4</w:t>
                  </w:r>
                </w:p>
              </w:tc>
              <w:tc>
                <w:tcPr>
                  <w:tcW w:w="656" w:type="pct"/>
                  <w:tcBorders>
                    <w:left w:val="nil"/>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szCs w:val="21"/>
                      <w:lang w:val="en-US" w:eastAsia="zh-CN" w:bidi="ar"/>
                    </w:rPr>
                    <w:t>危险废物暂存间</w:t>
                  </w:r>
                </w:p>
              </w:tc>
              <w:tc>
                <w:tcPr>
                  <w:tcW w:w="961" w:type="pc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废机油</w:t>
                  </w:r>
                </w:p>
              </w:tc>
              <w:tc>
                <w:tcPr>
                  <w:tcW w:w="998"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0.15</w:t>
                  </w:r>
                </w:p>
              </w:tc>
              <w:tc>
                <w:tcPr>
                  <w:tcW w:w="79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r>
                    <w:rPr>
                      <w:color w:val="auto"/>
                      <w:sz w:val="21"/>
                      <w:szCs w:val="21"/>
                    </w:rPr>
                    <w:t>2500</w:t>
                  </w:r>
                </w:p>
              </w:tc>
              <w:tc>
                <w:tcPr>
                  <w:tcW w:w="87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1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p>
              </w:tc>
              <w:tc>
                <w:tcPr>
                  <w:tcW w:w="656" w:type="pct"/>
                  <w:tcBorders>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p>
              </w:tc>
              <w:tc>
                <w:tcPr>
                  <w:tcW w:w="961" w:type="pc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998"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p>
              </w:tc>
              <w:tc>
                <w:tcPr>
                  <w:tcW w:w="79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Cs w:val="21"/>
                      <w:lang w:bidi="ar"/>
                    </w:rPr>
                  </w:pPr>
                </w:p>
              </w:tc>
              <w:tc>
                <w:tcPr>
                  <w:tcW w:w="876" w:type="pct"/>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Cs w:val="21"/>
                      <w:lang w:val="en-US" w:eastAsia="zh-CN" w:bidi="ar"/>
                    </w:rPr>
                  </w:pPr>
                  <w:r>
                    <w:rPr>
                      <w:rFonts w:hint="default" w:ascii="Times New Roman" w:hAnsi="Times New Roman" w:cs="Times New Roman"/>
                      <w:color w:val="auto"/>
                      <w:szCs w:val="21"/>
                      <w:lang w:bidi="ar"/>
                    </w:rPr>
                    <w:t>0.000</w:t>
                  </w:r>
                  <w:r>
                    <w:rPr>
                      <w:rFonts w:hint="eastAsia" w:cs="Times New Roman"/>
                      <w:color w:val="auto"/>
                      <w:szCs w:val="21"/>
                      <w:lang w:val="en-US" w:eastAsia="zh-CN" w:bidi="ar"/>
                    </w:rPr>
                    <w:t>926</w:t>
                  </w:r>
                </w:p>
              </w:tc>
            </w:tr>
          </w:tbl>
          <w:p>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本项目Q=</w:t>
            </w:r>
            <w:r>
              <w:rPr>
                <w:rFonts w:hint="eastAsia" w:cs="Times New Roman"/>
                <w:color w:val="auto"/>
                <w:sz w:val="24"/>
                <w:szCs w:val="24"/>
                <w:lang w:eastAsia="zh-CN"/>
              </w:rPr>
              <w:t>0.000926</w:t>
            </w:r>
            <w:r>
              <w:rPr>
                <w:rFonts w:hint="default" w:ascii="Times New Roman" w:hAnsi="Times New Roman" w:cs="Times New Roman"/>
                <w:color w:val="auto"/>
                <w:sz w:val="24"/>
                <w:szCs w:val="24"/>
              </w:rPr>
              <w:t>＜1，厂区内的风险物质储存量均未超过临界量，</w:t>
            </w:r>
            <w:r>
              <w:rPr>
                <w:rFonts w:hint="default" w:ascii="Times New Roman" w:hAnsi="Times New Roman" w:cs="Times New Roman"/>
                <w:bCs/>
                <w:color w:val="auto"/>
                <w:sz w:val="24"/>
                <w:szCs w:val="24"/>
              </w:rPr>
              <w:t>环境风险潜势为I</w:t>
            </w:r>
            <w:r>
              <w:rPr>
                <w:rFonts w:hint="default" w:ascii="Times New Roman" w:hAnsi="Times New Roman" w:cs="Times New Roman"/>
                <w:color w:val="auto"/>
                <w:sz w:val="24"/>
                <w:szCs w:val="24"/>
              </w:rPr>
              <w:t>。</w:t>
            </w:r>
          </w:p>
          <w:p>
            <w:pPr>
              <w:spacing w:line="360" w:lineRule="auto"/>
              <w:ind w:firstLine="482" w:firstLineChars="200"/>
              <w:jc w:val="center"/>
              <w:rPr>
                <w:rFonts w:hint="default" w:ascii="Times New Roman" w:hAnsi="Times New Roman" w:cs="Times New Roman"/>
                <w:b/>
                <w:bCs/>
                <w:color w:val="auto"/>
                <w:sz w:val="24"/>
                <w:szCs w:val="24"/>
                <w:lang w:bidi="ar"/>
              </w:rPr>
            </w:pPr>
            <w:r>
              <w:rPr>
                <w:rFonts w:hint="default" w:ascii="Times New Roman" w:hAnsi="Times New Roman" w:cs="Times New Roman"/>
                <w:b/>
                <w:bCs/>
                <w:color w:val="auto"/>
                <w:sz w:val="24"/>
                <w:szCs w:val="24"/>
                <w:lang w:bidi="ar"/>
              </w:rPr>
              <w:t>表4-</w:t>
            </w:r>
            <w:r>
              <w:rPr>
                <w:rFonts w:hint="eastAsia" w:cs="Times New Roman"/>
                <w:b/>
                <w:bCs/>
                <w:color w:val="auto"/>
                <w:sz w:val="24"/>
                <w:szCs w:val="24"/>
                <w:lang w:val="en-US" w:eastAsia="zh-CN" w:bidi="ar"/>
              </w:rPr>
              <w:t>22</w:t>
            </w:r>
            <w:r>
              <w:rPr>
                <w:rFonts w:hint="default" w:ascii="Times New Roman" w:hAnsi="Times New Roman" w:cs="Times New Roman"/>
                <w:b/>
                <w:bCs/>
                <w:color w:val="auto"/>
                <w:sz w:val="24"/>
                <w:szCs w:val="24"/>
                <w:lang w:bidi="ar"/>
              </w:rPr>
              <w:t xml:space="preserve">  风险评价工作级别划分</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727"/>
              <w:gridCol w:w="1687"/>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2" w:type="dxa"/>
                  <w:vAlign w:val="center"/>
                </w:tcPr>
                <w:p>
                  <w:pPr>
                    <w:adjustRightInd w:val="0"/>
                    <w:snapToGrid w:val="0"/>
                    <w:spacing w:line="240" w:lineRule="atLeast"/>
                    <w:contextualSpacing/>
                    <w:jc w:val="center"/>
                    <w:rPr>
                      <w:rFonts w:hint="default" w:ascii="Times New Roman" w:hAnsi="Times New Roman" w:cs="Times New Roman"/>
                      <w:b/>
                      <w:bCs/>
                      <w:color w:val="auto"/>
                    </w:rPr>
                  </w:pPr>
                  <w:r>
                    <w:rPr>
                      <w:rFonts w:hint="default" w:ascii="Times New Roman" w:hAnsi="Times New Roman" w:cs="Times New Roman"/>
                      <w:b/>
                      <w:bCs/>
                      <w:color w:val="auto"/>
                    </w:rPr>
                    <w:t>环境风险潜势</w:t>
                  </w:r>
                </w:p>
              </w:tc>
              <w:tc>
                <w:tcPr>
                  <w:tcW w:w="1893" w:type="dxa"/>
                  <w:vAlign w:val="center"/>
                </w:tcPr>
                <w:p>
                  <w:pPr>
                    <w:adjustRightInd w:val="0"/>
                    <w:snapToGrid w:val="0"/>
                    <w:spacing w:line="240" w:lineRule="atLeast"/>
                    <w:contextualSpacing/>
                    <w:jc w:val="center"/>
                    <w:rPr>
                      <w:rFonts w:hint="default" w:ascii="Times New Roman" w:hAnsi="Times New Roman" w:cs="Times New Roman"/>
                      <w:b/>
                      <w:bCs/>
                      <w:color w:val="auto"/>
                    </w:rPr>
                  </w:pPr>
                  <w:r>
                    <w:rPr>
                      <w:rFonts w:hint="default" w:ascii="Times New Roman" w:hAnsi="Times New Roman" w:cs="Times New Roman"/>
                      <w:b/>
                      <w:bCs/>
                      <w:color w:val="auto"/>
                    </w:rPr>
                    <w:t>IV</w:t>
                  </w:r>
                  <w:r>
                    <w:rPr>
                      <w:rFonts w:hint="default" w:ascii="Times New Roman" w:hAnsi="Times New Roman" w:cs="Times New Roman"/>
                      <w:b/>
                      <w:bCs/>
                      <w:color w:val="auto"/>
                      <w:vertAlign w:val="superscript"/>
                    </w:rPr>
                    <w:t>+</w:t>
                  </w:r>
                  <w:r>
                    <w:rPr>
                      <w:rFonts w:hint="default" w:ascii="Times New Roman" w:hAnsi="Times New Roman" w:cs="Times New Roman"/>
                      <w:b/>
                      <w:bCs/>
                      <w:color w:val="auto"/>
                    </w:rPr>
                    <w:t>、IV</w:t>
                  </w:r>
                </w:p>
              </w:tc>
              <w:tc>
                <w:tcPr>
                  <w:tcW w:w="1892" w:type="dxa"/>
                  <w:vAlign w:val="center"/>
                </w:tcPr>
                <w:p>
                  <w:pPr>
                    <w:adjustRightInd w:val="0"/>
                    <w:snapToGrid w:val="0"/>
                    <w:spacing w:line="240" w:lineRule="atLeast"/>
                    <w:contextualSpacing/>
                    <w:jc w:val="center"/>
                    <w:rPr>
                      <w:rFonts w:hint="default" w:ascii="Times New Roman" w:hAnsi="Times New Roman" w:cs="Times New Roman"/>
                      <w:b/>
                      <w:bCs/>
                      <w:color w:val="auto"/>
                    </w:rPr>
                  </w:pPr>
                  <w:r>
                    <w:rPr>
                      <w:rFonts w:hint="default" w:ascii="Times New Roman" w:hAnsi="Times New Roman" w:cs="Times New Roman"/>
                      <w:b/>
                      <w:bCs/>
                      <w:color w:val="auto"/>
                    </w:rPr>
                    <w:t>III</w:t>
                  </w:r>
                </w:p>
              </w:tc>
              <w:tc>
                <w:tcPr>
                  <w:tcW w:w="1893" w:type="dxa"/>
                  <w:vAlign w:val="center"/>
                </w:tcPr>
                <w:p>
                  <w:pPr>
                    <w:adjustRightInd w:val="0"/>
                    <w:snapToGrid w:val="0"/>
                    <w:spacing w:line="240" w:lineRule="atLeast"/>
                    <w:contextualSpacing/>
                    <w:jc w:val="center"/>
                    <w:rPr>
                      <w:rFonts w:hint="default" w:ascii="Times New Roman" w:hAnsi="Times New Roman" w:cs="Times New Roman"/>
                      <w:b/>
                      <w:bCs/>
                      <w:color w:val="auto"/>
                    </w:rPr>
                  </w:pPr>
                  <w:r>
                    <w:rPr>
                      <w:rFonts w:hint="default" w:ascii="Times New Roman" w:hAnsi="Times New Roman" w:cs="Times New Roman"/>
                      <w:b/>
                      <w:bCs/>
                      <w:color w:val="auto"/>
                    </w:rPr>
                    <w:t>II</w:t>
                  </w:r>
                </w:p>
              </w:tc>
              <w:tc>
                <w:tcPr>
                  <w:tcW w:w="1893" w:type="dxa"/>
                  <w:vAlign w:val="center"/>
                </w:tcPr>
                <w:p>
                  <w:pPr>
                    <w:adjustRightInd w:val="0"/>
                    <w:snapToGrid w:val="0"/>
                    <w:spacing w:line="240" w:lineRule="atLeast"/>
                    <w:contextualSpacing/>
                    <w:jc w:val="center"/>
                    <w:rPr>
                      <w:rFonts w:hint="default" w:ascii="Times New Roman" w:hAnsi="Times New Roman" w:cs="Times New Roman"/>
                      <w:b/>
                      <w:bCs/>
                      <w:color w:val="auto"/>
                    </w:rPr>
                  </w:pPr>
                  <w:r>
                    <w:rPr>
                      <w:rFonts w:hint="default" w:ascii="Times New Roman" w:hAnsi="Times New Roman" w:cs="Times New Roman"/>
                      <w:b/>
                      <w:bCs/>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2" w:type="dxa"/>
                  <w:vAlign w:val="center"/>
                </w:tcPr>
                <w:p>
                  <w:pPr>
                    <w:adjustRightInd w:val="0"/>
                    <w:snapToGrid w:val="0"/>
                    <w:spacing w:line="240" w:lineRule="atLeast"/>
                    <w:contextualSpacing/>
                    <w:jc w:val="center"/>
                    <w:rPr>
                      <w:rFonts w:hint="default" w:ascii="Times New Roman" w:hAnsi="Times New Roman" w:cs="Times New Roman"/>
                      <w:color w:val="auto"/>
                    </w:rPr>
                  </w:pPr>
                  <w:r>
                    <w:rPr>
                      <w:rFonts w:hint="default" w:ascii="Times New Roman" w:hAnsi="Times New Roman" w:cs="Times New Roman"/>
                      <w:color w:val="auto"/>
                    </w:rPr>
                    <w:t>评价工作等级</w:t>
                  </w:r>
                </w:p>
              </w:tc>
              <w:tc>
                <w:tcPr>
                  <w:tcW w:w="1893" w:type="dxa"/>
                  <w:vAlign w:val="center"/>
                </w:tcPr>
                <w:p>
                  <w:pPr>
                    <w:adjustRightInd w:val="0"/>
                    <w:snapToGrid w:val="0"/>
                    <w:spacing w:line="240" w:lineRule="atLeast"/>
                    <w:contextualSpacing/>
                    <w:jc w:val="center"/>
                    <w:rPr>
                      <w:rFonts w:hint="default" w:ascii="Times New Roman" w:hAnsi="Times New Roman" w:cs="Times New Roman"/>
                      <w:color w:val="auto"/>
                    </w:rPr>
                  </w:pPr>
                  <w:r>
                    <w:rPr>
                      <w:rFonts w:hint="default" w:ascii="Times New Roman" w:hAnsi="Times New Roman" w:cs="Times New Roman"/>
                      <w:color w:val="auto"/>
                    </w:rPr>
                    <w:t>一</w:t>
                  </w:r>
                </w:p>
              </w:tc>
              <w:tc>
                <w:tcPr>
                  <w:tcW w:w="1892" w:type="dxa"/>
                  <w:vAlign w:val="center"/>
                </w:tcPr>
                <w:p>
                  <w:pPr>
                    <w:adjustRightInd w:val="0"/>
                    <w:snapToGrid w:val="0"/>
                    <w:spacing w:line="240" w:lineRule="atLeast"/>
                    <w:contextualSpacing/>
                    <w:jc w:val="center"/>
                    <w:rPr>
                      <w:rFonts w:hint="default" w:ascii="Times New Roman" w:hAnsi="Times New Roman" w:cs="Times New Roman"/>
                      <w:color w:val="auto"/>
                    </w:rPr>
                  </w:pPr>
                  <w:r>
                    <w:rPr>
                      <w:rFonts w:hint="default" w:ascii="Times New Roman" w:hAnsi="Times New Roman" w:cs="Times New Roman"/>
                      <w:color w:val="auto"/>
                    </w:rPr>
                    <w:t>二</w:t>
                  </w:r>
                </w:p>
              </w:tc>
              <w:tc>
                <w:tcPr>
                  <w:tcW w:w="1893" w:type="dxa"/>
                  <w:vAlign w:val="center"/>
                </w:tcPr>
                <w:p>
                  <w:pPr>
                    <w:adjustRightInd w:val="0"/>
                    <w:snapToGrid w:val="0"/>
                    <w:spacing w:line="240" w:lineRule="atLeast"/>
                    <w:contextualSpacing/>
                    <w:jc w:val="center"/>
                    <w:rPr>
                      <w:rFonts w:hint="default" w:ascii="Times New Roman" w:hAnsi="Times New Roman" w:cs="Times New Roman"/>
                      <w:color w:val="auto"/>
                    </w:rPr>
                  </w:pPr>
                  <w:r>
                    <w:rPr>
                      <w:rFonts w:hint="default" w:ascii="Times New Roman" w:hAnsi="Times New Roman" w:cs="Times New Roman"/>
                      <w:color w:val="auto"/>
                    </w:rPr>
                    <w:t>三</w:t>
                  </w:r>
                </w:p>
              </w:tc>
              <w:tc>
                <w:tcPr>
                  <w:tcW w:w="1893" w:type="dxa"/>
                  <w:vAlign w:val="center"/>
                </w:tcPr>
                <w:p>
                  <w:pPr>
                    <w:adjustRightInd w:val="0"/>
                    <w:snapToGrid w:val="0"/>
                    <w:spacing w:line="240" w:lineRule="atLeast"/>
                    <w:contextualSpacing/>
                    <w:jc w:val="center"/>
                    <w:rPr>
                      <w:rFonts w:hint="default" w:ascii="Times New Roman" w:hAnsi="Times New Roman" w:cs="Times New Roman"/>
                      <w:color w:val="auto"/>
                    </w:rPr>
                  </w:pPr>
                  <w:r>
                    <w:rPr>
                      <w:rFonts w:hint="default" w:ascii="Times New Roman" w:hAnsi="Times New Roman" w:cs="Times New Roman"/>
                      <w:color w:val="auto"/>
                    </w:rPr>
                    <w:t>简单分析</w:t>
                  </w:r>
                  <w:r>
                    <w:rPr>
                      <w:rFonts w:hint="default" w:ascii="Times New Roman" w:hAnsi="Times New Roman" w:cs="Times New Roman"/>
                      <w:color w:val="auto"/>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3" w:type="dxa"/>
                  <w:gridSpan w:val="5"/>
                  <w:vAlign w:val="center"/>
                </w:tcPr>
                <w:p>
                  <w:pPr>
                    <w:adjustRightInd w:val="0"/>
                    <w:snapToGrid w:val="0"/>
                    <w:spacing w:line="240" w:lineRule="atLeast"/>
                    <w:contextualSpacing/>
                    <w:jc w:val="left"/>
                    <w:rPr>
                      <w:rFonts w:hint="default" w:ascii="Times New Roman" w:hAnsi="Times New Roman" w:cs="Times New Roman"/>
                      <w:color w:val="auto"/>
                    </w:rPr>
                  </w:pPr>
                  <w:r>
                    <w:rPr>
                      <w:rFonts w:hint="default" w:ascii="Times New Roman" w:hAnsi="Times New Roman" w:cs="Times New Roman"/>
                      <w:color w:val="auto"/>
                    </w:rPr>
                    <w:t>a是相对于详细评价工作内容而言，在描述危险物质、环境影响途径、环境危害后果、风险防范措施等方面给出定性说明。见附录A。</w:t>
                  </w:r>
                </w:p>
              </w:tc>
            </w:tr>
          </w:tbl>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根据上表可知，项目风险评价等级为“简单分析”。</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（二）环境风险防范措施：</w:t>
            </w:r>
          </w:p>
          <w:p>
            <w:pPr>
              <w:widowControl/>
              <w:spacing w:line="360" w:lineRule="auto"/>
              <w:ind w:firstLine="48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为避免因事故性排放而造成的对环境的污染，通过本报告中有关污染事故的影响分析，提高环境污染的风险意识，加强安全生产的管理，制定重大环境事故发生的应急计划以消除事故隐患，提出解决突</w:t>
            </w:r>
            <w:r>
              <w:rPr>
                <w:rFonts w:hint="eastAsia" w:cs="Times New Roman"/>
                <w:color w:val="auto"/>
                <w:sz w:val="24"/>
                <w:szCs w:val="24"/>
                <w:lang w:val="en-US" w:eastAsia="zh-CN"/>
              </w:rPr>
              <w:t>发</w:t>
            </w:r>
            <w:r>
              <w:rPr>
                <w:rFonts w:hint="default" w:ascii="Times New Roman" w:hAnsi="Times New Roman" w:cs="Times New Roman"/>
                <w:color w:val="auto"/>
                <w:sz w:val="24"/>
                <w:szCs w:val="24"/>
              </w:rPr>
              <w:t>性事故的应急办法。</w:t>
            </w:r>
          </w:p>
          <w:p>
            <w:pPr>
              <w:widowControl/>
              <w:spacing w:line="360" w:lineRule="auto"/>
              <w:ind w:firstLine="482" w:firstLineChars="200"/>
              <w:rPr>
                <w:b/>
                <w:bCs/>
                <w:color w:val="auto"/>
                <w:kern w:val="0"/>
                <w:sz w:val="24"/>
                <w:szCs w:val="24"/>
              </w:rPr>
            </w:pPr>
            <w:r>
              <w:rPr>
                <w:b/>
                <w:bCs/>
                <w:color w:val="auto"/>
                <w:kern w:val="0"/>
                <w:sz w:val="24"/>
                <w:szCs w:val="24"/>
              </w:rPr>
              <w:t>（1）电气、电讯安全防范风险防范措施</w:t>
            </w:r>
          </w:p>
          <w:p>
            <w:pPr>
              <w:widowControl/>
              <w:spacing w:line="360" w:lineRule="auto"/>
              <w:ind w:firstLine="480"/>
              <w:rPr>
                <w:color w:val="auto"/>
                <w:kern w:val="0"/>
                <w:sz w:val="24"/>
                <w:szCs w:val="24"/>
              </w:rPr>
            </w:pPr>
            <w:r>
              <w:rPr>
                <w:color w:val="auto"/>
                <w:kern w:val="0"/>
                <w:sz w:val="24"/>
                <w:szCs w:val="24"/>
              </w:rPr>
              <w:t xml:space="preserve">①建议该项目设置事故警报，提醒人员及时疏散。 </w:t>
            </w:r>
          </w:p>
          <w:p>
            <w:pPr>
              <w:widowControl/>
              <w:spacing w:line="360" w:lineRule="auto"/>
              <w:ind w:firstLine="480"/>
              <w:rPr>
                <w:color w:val="auto"/>
                <w:kern w:val="0"/>
                <w:sz w:val="24"/>
                <w:szCs w:val="24"/>
              </w:rPr>
            </w:pPr>
            <w:r>
              <w:rPr>
                <w:color w:val="auto"/>
                <w:kern w:val="0"/>
                <w:sz w:val="24"/>
                <w:szCs w:val="24"/>
              </w:rPr>
              <w:t>②在</w:t>
            </w:r>
            <w:r>
              <w:rPr>
                <w:rFonts w:hint="eastAsia"/>
                <w:color w:val="auto"/>
                <w:kern w:val="0"/>
                <w:sz w:val="24"/>
                <w:szCs w:val="24"/>
              </w:rPr>
              <w:t>车间</w:t>
            </w:r>
            <w:r>
              <w:rPr>
                <w:color w:val="auto"/>
                <w:kern w:val="0"/>
                <w:sz w:val="24"/>
                <w:szCs w:val="24"/>
              </w:rPr>
              <w:t xml:space="preserve">顶部设有一个风向标，便于本厂职工及附近范围内员工观察，同时备有照明，以备一旦发生泄漏或火灾时，利于人们了解当时的主风向，迅速躲避，免于受害。 </w:t>
            </w:r>
          </w:p>
          <w:p>
            <w:pPr>
              <w:widowControl/>
              <w:spacing w:line="360" w:lineRule="auto"/>
              <w:ind w:firstLine="480"/>
              <w:rPr>
                <w:color w:val="auto"/>
                <w:kern w:val="0"/>
                <w:sz w:val="24"/>
                <w:szCs w:val="24"/>
              </w:rPr>
            </w:pPr>
            <w:r>
              <w:rPr>
                <w:color w:val="auto"/>
                <w:kern w:val="0"/>
                <w:sz w:val="24"/>
                <w:szCs w:val="24"/>
              </w:rPr>
              <w:t xml:space="preserve">③按照生产装置的风险区划分，对厂房、各相关设备及管道设置防雷及防静电接地系统。 </w:t>
            </w:r>
          </w:p>
          <w:p>
            <w:pPr>
              <w:widowControl/>
              <w:spacing w:line="360" w:lineRule="auto"/>
              <w:ind w:firstLine="480"/>
              <w:rPr>
                <w:color w:val="auto"/>
                <w:kern w:val="0"/>
                <w:sz w:val="24"/>
                <w:szCs w:val="24"/>
              </w:rPr>
            </w:pPr>
            <w:r>
              <w:rPr>
                <w:b/>
                <w:bCs/>
                <w:color w:val="auto"/>
                <w:kern w:val="0"/>
                <w:sz w:val="24"/>
                <w:szCs w:val="24"/>
              </w:rPr>
              <w:t>（2）消防及火灾报警系统</w:t>
            </w:r>
            <w:r>
              <w:rPr>
                <w:color w:val="auto"/>
                <w:kern w:val="0"/>
                <w:sz w:val="24"/>
                <w:szCs w:val="24"/>
              </w:rPr>
              <w:t xml:space="preserve"> </w:t>
            </w:r>
          </w:p>
          <w:p>
            <w:pPr>
              <w:widowControl/>
              <w:spacing w:line="360" w:lineRule="auto"/>
              <w:ind w:firstLine="480"/>
              <w:rPr>
                <w:color w:val="auto"/>
                <w:kern w:val="0"/>
                <w:sz w:val="24"/>
                <w:szCs w:val="24"/>
              </w:rPr>
            </w:pPr>
            <w:r>
              <w:rPr>
                <w:color w:val="auto"/>
                <w:kern w:val="0"/>
                <w:sz w:val="24"/>
                <w:szCs w:val="24"/>
              </w:rPr>
              <w:t xml:space="preserve">①本项目区设有消防水管网。根据《建筑设计防火规范》和《建筑灭火器配置设计规范》等要求，设置与生产、储存和办公场所相适应的消防设备。 </w:t>
            </w:r>
          </w:p>
          <w:p>
            <w:pPr>
              <w:widowControl/>
              <w:spacing w:line="360" w:lineRule="auto"/>
              <w:ind w:firstLine="480"/>
              <w:rPr>
                <w:color w:val="auto"/>
                <w:kern w:val="0"/>
                <w:sz w:val="24"/>
                <w:szCs w:val="24"/>
              </w:rPr>
            </w:pPr>
            <w:r>
              <w:rPr>
                <w:color w:val="auto"/>
                <w:kern w:val="0"/>
                <w:sz w:val="24"/>
                <w:szCs w:val="24"/>
              </w:rPr>
              <w:t>②设置火灾自动报警系统。</w:t>
            </w:r>
          </w:p>
          <w:p>
            <w:pPr>
              <w:widowControl/>
              <w:spacing w:line="360" w:lineRule="auto"/>
              <w:ind w:firstLine="480"/>
              <w:rPr>
                <w:color w:val="auto"/>
                <w:kern w:val="0"/>
                <w:sz w:val="24"/>
                <w:szCs w:val="24"/>
              </w:rPr>
            </w:pPr>
            <w:r>
              <w:rPr>
                <w:b/>
                <w:bCs/>
                <w:color w:val="auto"/>
                <w:kern w:val="0"/>
                <w:sz w:val="24"/>
                <w:szCs w:val="24"/>
              </w:rPr>
              <w:t>（3）个体防护措施</w:t>
            </w:r>
            <w:r>
              <w:rPr>
                <w:color w:val="auto"/>
                <w:kern w:val="0"/>
                <w:sz w:val="24"/>
                <w:szCs w:val="24"/>
              </w:rPr>
              <w:t xml:space="preserve">  </w:t>
            </w:r>
          </w:p>
          <w:p>
            <w:pPr>
              <w:widowControl/>
              <w:spacing w:line="360" w:lineRule="auto"/>
              <w:ind w:firstLine="480"/>
              <w:rPr>
                <w:color w:val="auto"/>
                <w:kern w:val="0"/>
                <w:sz w:val="24"/>
                <w:szCs w:val="24"/>
              </w:rPr>
            </w:pPr>
            <w:r>
              <w:rPr>
                <w:color w:val="auto"/>
                <w:kern w:val="0"/>
                <w:sz w:val="24"/>
                <w:szCs w:val="24"/>
              </w:rPr>
              <w:t xml:space="preserve">为生产装置职工按要求配置安全帽、工作服、工作鞋、化学安全型护目镜、抗溶性橡胶手套、口罩以及防毒面具等。企业安排专人保管防护用品，定期检查和更新，并定期对操作人员进行身体检查，防治职业病。本项目配备常用的医疗器械、药品，并配置洗眼器、呼吸器、氧气瓶、纱布、急救药箱等紧急状况使用的药品。 </w:t>
            </w:r>
          </w:p>
          <w:p>
            <w:pPr>
              <w:widowControl/>
              <w:spacing w:line="360" w:lineRule="auto"/>
              <w:ind w:firstLine="480"/>
              <w:rPr>
                <w:color w:val="auto"/>
                <w:kern w:val="0"/>
                <w:sz w:val="24"/>
                <w:szCs w:val="24"/>
              </w:rPr>
            </w:pPr>
            <w:r>
              <w:rPr>
                <w:b/>
                <w:bCs/>
                <w:color w:val="auto"/>
                <w:kern w:val="0"/>
                <w:sz w:val="24"/>
                <w:szCs w:val="24"/>
              </w:rPr>
              <w:t>（4）危险化学品贮运安全防范措施</w:t>
            </w:r>
            <w:r>
              <w:rPr>
                <w:color w:val="auto"/>
                <w:kern w:val="0"/>
                <w:sz w:val="24"/>
                <w:szCs w:val="24"/>
              </w:rPr>
              <w:t xml:space="preserve"> </w:t>
            </w:r>
          </w:p>
          <w:p>
            <w:pPr>
              <w:widowControl/>
              <w:spacing w:line="360" w:lineRule="auto"/>
              <w:ind w:firstLine="480" w:firstLineChars="200"/>
              <w:rPr>
                <w:color w:val="auto"/>
                <w:kern w:val="0"/>
                <w:sz w:val="24"/>
                <w:szCs w:val="24"/>
              </w:rPr>
            </w:pPr>
            <w:r>
              <w:rPr>
                <w:color w:val="auto"/>
                <w:kern w:val="0"/>
                <w:sz w:val="24"/>
                <w:szCs w:val="24"/>
              </w:rPr>
              <w:t>本项目所涉及的原料，具有一定的火灾危险性，应设专人对这些场所进行管理，设置防火堤、警告标志等防护措施，并备有应急设施，防止物质泄露或爆炸造成严重后果。另外，对于需运输的原辅材料，应加强运输过程的监督管理，必须符合危险化学品运输安全管理的相关条例，确保运输过程的安全。同时还应加强对运输司机的培训，使其熟悉危险品运输的注意事项，发生事故后的求救及应急处理方式。</w:t>
            </w:r>
          </w:p>
          <w:p>
            <w:pPr>
              <w:spacing w:line="360" w:lineRule="auto"/>
              <w:ind w:firstLine="482" w:firstLineChars="200"/>
              <w:rPr>
                <w:b/>
                <w:bCs/>
                <w:color w:val="auto"/>
                <w:sz w:val="24"/>
                <w:szCs w:val="24"/>
              </w:rPr>
            </w:pPr>
            <w:r>
              <w:rPr>
                <w:b/>
                <w:bCs/>
                <w:color w:val="auto"/>
                <w:sz w:val="24"/>
                <w:szCs w:val="24"/>
              </w:rPr>
              <w:t>（5）物料泄漏事故的预防措施</w:t>
            </w:r>
          </w:p>
          <w:p>
            <w:pPr>
              <w:spacing w:line="360" w:lineRule="auto"/>
              <w:ind w:firstLine="480" w:firstLineChars="200"/>
              <w:rPr>
                <w:color w:val="auto"/>
                <w:sz w:val="24"/>
                <w:szCs w:val="24"/>
              </w:rPr>
            </w:pPr>
            <w:r>
              <w:rPr>
                <w:color w:val="auto"/>
                <w:sz w:val="24"/>
                <w:szCs w:val="24"/>
              </w:rPr>
              <w:t>泄漏事故的预防是物料储运中最重要的环节，发生泄漏事故可能引起火灾和爆炸等一系列重大事故。经验表明：设备失灵和人为的操作失误是引发泄漏的主要原因。因此选用较好的设备、精心设计、认真管理和操作人员的责任心是减少泄漏事故的关键。本项目应主要采取以下预防措施：</w:t>
            </w:r>
          </w:p>
          <w:p>
            <w:pPr>
              <w:spacing w:line="360" w:lineRule="auto"/>
              <w:ind w:firstLine="480" w:firstLineChars="200"/>
              <w:rPr>
                <w:color w:val="auto"/>
                <w:sz w:val="24"/>
                <w:szCs w:val="24"/>
              </w:rPr>
            </w:pPr>
            <w:r>
              <w:rPr>
                <w:color w:val="auto"/>
                <w:sz w:val="24"/>
                <w:szCs w:val="24"/>
              </w:rPr>
              <w:t>①安装防爆、防泄漏报警系统，及时监控无组织气体排放浓度，以便及早发现泄漏，及早处理。</w:t>
            </w:r>
          </w:p>
          <w:p>
            <w:pPr>
              <w:spacing w:line="360" w:lineRule="auto"/>
              <w:ind w:firstLine="480" w:firstLineChars="200"/>
              <w:rPr>
                <w:color w:val="auto"/>
                <w:sz w:val="24"/>
                <w:szCs w:val="24"/>
              </w:rPr>
            </w:pPr>
            <w:r>
              <w:rPr>
                <w:color w:val="auto"/>
                <w:sz w:val="24"/>
                <w:szCs w:val="24"/>
              </w:rPr>
              <w:t>②在</w:t>
            </w:r>
            <w:r>
              <w:rPr>
                <w:rFonts w:hint="eastAsia"/>
                <w:color w:val="auto"/>
                <w:sz w:val="24"/>
                <w:szCs w:val="24"/>
              </w:rPr>
              <w:t>喷漆房</w:t>
            </w:r>
            <w:r>
              <w:rPr>
                <w:rFonts w:hint="eastAsia"/>
                <w:color w:val="auto"/>
                <w:sz w:val="24"/>
                <w:szCs w:val="24"/>
                <w:lang w:eastAsia="zh-CN"/>
              </w:rPr>
              <w:t>、</w:t>
            </w:r>
            <w:r>
              <w:rPr>
                <w:rFonts w:hint="eastAsia"/>
                <w:color w:val="auto"/>
                <w:sz w:val="24"/>
                <w:szCs w:val="24"/>
                <w:lang w:val="en-US" w:eastAsia="zh-CN"/>
              </w:rPr>
              <w:t>漆料间</w:t>
            </w:r>
            <w:r>
              <w:rPr>
                <w:color w:val="auto"/>
                <w:sz w:val="24"/>
                <w:szCs w:val="24"/>
              </w:rPr>
              <w:t>、</w:t>
            </w:r>
            <w:r>
              <w:rPr>
                <w:rFonts w:hint="eastAsia"/>
                <w:color w:val="auto"/>
                <w:sz w:val="24"/>
                <w:szCs w:val="24"/>
              </w:rPr>
              <w:t>气体存放区、</w:t>
            </w:r>
            <w:r>
              <w:rPr>
                <w:color w:val="auto"/>
                <w:sz w:val="24"/>
                <w:szCs w:val="24"/>
              </w:rPr>
              <w:t>危废暂存区等所在区域设置不渗漏的地基并设置围堰（混凝土），以确保任何物质的冒溢能被回收，并配有收集沟和泵，从而防止地下水环境污染。</w:t>
            </w:r>
          </w:p>
          <w:p>
            <w:pPr>
              <w:spacing w:line="360" w:lineRule="auto"/>
              <w:ind w:firstLine="480" w:firstLineChars="200"/>
              <w:rPr>
                <w:color w:val="auto"/>
                <w:sz w:val="24"/>
                <w:szCs w:val="24"/>
              </w:rPr>
            </w:pPr>
            <w:r>
              <w:rPr>
                <w:color w:val="auto"/>
                <w:sz w:val="24"/>
                <w:szCs w:val="24"/>
              </w:rPr>
              <w:t>③经常检查管道，地上管道应防止汽车碰撞，并控制管道支撑的磨损。定期系统试压、定期检漏。</w:t>
            </w:r>
          </w:p>
          <w:p>
            <w:pPr>
              <w:spacing w:line="360" w:lineRule="auto"/>
              <w:ind w:firstLine="482" w:firstLineChars="200"/>
              <w:rPr>
                <w:b/>
                <w:bCs/>
                <w:color w:val="auto"/>
                <w:sz w:val="24"/>
                <w:szCs w:val="24"/>
              </w:rPr>
            </w:pPr>
            <w:r>
              <w:rPr>
                <w:b/>
                <w:bCs/>
                <w:color w:val="auto"/>
                <w:sz w:val="24"/>
                <w:szCs w:val="24"/>
              </w:rPr>
              <w:t>（6）火灾和爆炸的预防措施</w:t>
            </w:r>
          </w:p>
          <w:p>
            <w:pPr>
              <w:spacing w:line="360" w:lineRule="auto"/>
              <w:ind w:firstLine="480" w:firstLineChars="200"/>
              <w:rPr>
                <w:color w:val="auto"/>
                <w:sz w:val="24"/>
                <w:szCs w:val="24"/>
              </w:rPr>
            </w:pPr>
            <w:r>
              <w:rPr>
                <w:color w:val="auto"/>
                <w:sz w:val="24"/>
                <w:szCs w:val="24"/>
              </w:rPr>
              <w:t>①设备的安全管理：定期对设备进行安全检测，检测内容、时间、人员应有记录保存。安全检测应根据设备的安全性、危险性设定检测频次。</w:t>
            </w:r>
          </w:p>
          <w:p>
            <w:pPr>
              <w:spacing w:line="360" w:lineRule="auto"/>
              <w:ind w:firstLine="480" w:firstLineChars="200"/>
              <w:rPr>
                <w:color w:val="auto"/>
                <w:sz w:val="24"/>
                <w:szCs w:val="24"/>
              </w:rPr>
            </w:pPr>
            <w:r>
              <w:rPr>
                <w:color w:val="auto"/>
                <w:sz w:val="24"/>
                <w:szCs w:val="24"/>
              </w:rPr>
              <w:t>②在气体贮罐以及其它设备上，设置永久性接地装置；在装液体化工物料时防止静电产生，防止操作人员带电作业；在危险操作时，操作人员应使用抗静电工作帽和具有导电性的作业鞋；要有防雷装置，特别防止雷击。</w:t>
            </w:r>
          </w:p>
          <w:p>
            <w:pPr>
              <w:spacing w:line="360" w:lineRule="auto"/>
              <w:ind w:firstLine="480" w:firstLineChars="200"/>
              <w:rPr>
                <w:color w:val="auto"/>
                <w:sz w:val="24"/>
                <w:szCs w:val="24"/>
              </w:rPr>
            </w:pPr>
            <w:r>
              <w:rPr>
                <w:color w:val="auto"/>
                <w:sz w:val="24"/>
                <w:szCs w:val="24"/>
              </w:rPr>
              <w:t>③应加强火源的管理，严禁烟火带入，对设备需进行维修焊接，应经安全部门确认、准许，并有记录。机动车在厂内行驶，须安装阻火器，必要设备安装防火、防爆装置。</w:t>
            </w:r>
          </w:p>
          <w:p>
            <w:pPr>
              <w:spacing w:line="360" w:lineRule="auto"/>
              <w:ind w:firstLine="480" w:firstLineChars="200"/>
              <w:rPr>
                <w:color w:val="auto"/>
                <w:sz w:val="24"/>
                <w:szCs w:val="24"/>
              </w:rPr>
            </w:pPr>
            <w:r>
              <w:rPr>
                <w:color w:val="auto"/>
                <w:sz w:val="24"/>
                <w:szCs w:val="24"/>
              </w:rPr>
              <w:t>④要有完善的安全消防措施。平面布置应按国家消防安全规定，设置足够的安全距离和道路，以便安全疏散和消防。各重点部位设备应设置完善的报警联锁系统以及消防系统</w:t>
            </w:r>
            <w:r>
              <w:rPr>
                <w:rFonts w:hint="eastAsia"/>
                <w:color w:val="auto"/>
                <w:sz w:val="24"/>
                <w:szCs w:val="24"/>
              </w:rPr>
              <w:t>、</w:t>
            </w:r>
            <w:r>
              <w:rPr>
                <w:color w:val="auto"/>
                <w:sz w:val="24"/>
                <w:szCs w:val="24"/>
              </w:rPr>
              <w:t>灭火器等。</w:t>
            </w:r>
          </w:p>
          <w:p>
            <w:pPr>
              <w:spacing w:line="360" w:lineRule="auto"/>
              <w:ind w:firstLine="480" w:firstLineChars="200"/>
              <w:rPr>
                <w:color w:val="auto"/>
                <w:sz w:val="24"/>
                <w:szCs w:val="24"/>
              </w:rPr>
            </w:pPr>
            <w:r>
              <w:rPr>
                <w:color w:val="auto"/>
                <w:sz w:val="24"/>
                <w:szCs w:val="24"/>
              </w:rPr>
              <w:t>⑤加强职工安全素质教育和岗位操作能力培训。</w:t>
            </w:r>
          </w:p>
          <w:p>
            <w:pPr>
              <w:spacing w:line="360" w:lineRule="auto"/>
              <w:ind w:firstLine="482" w:firstLineChars="200"/>
              <w:rPr>
                <w:b/>
                <w:bCs/>
                <w:color w:val="auto"/>
                <w:sz w:val="24"/>
                <w:szCs w:val="24"/>
              </w:rPr>
            </w:pPr>
            <w:r>
              <w:rPr>
                <w:b/>
                <w:bCs/>
                <w:color w:val="auto"/>
                <w:sz w:val="24"/>
                <w:szCs w:val="24"/>
              </w:rPr>
              <w:t>（7）</w:t>
            </w:r>
            <w:r>
              <w:rPr>
                <w:rFonts w:hint="eastAsia"/>
                <w:b/>
                <w:bCs/>
                <w:color w:val="auto"/>
                <w:sz w:val="24"/>
                <w:szCs w:val="24"/>
              </w:rPr>
              <w:t>喷漆房</w:t>
            </w:r>
            <w:r>
              <w:rPr>
                <w:b/>
                <w:bCs/>
                <w:color w:val="auto"/>
                <w:sz w:val="24"/>
                <w:szCs w:val="24"/>
              </w:rPr>
              <w:t>废气处理装置事故防范措施</w:t>
            </w:r>
          </w:p>
          <w:p>
            <w:pPr>
              <w:spacing w:line="360" w:lineRule="auto"/>
              <w:ind w:firstLine="480" w:firstLineChars="200"/>
              <w:rPr>
                <w:color w:val="auto"/>
                <w:sz w:val="24"/>
                <w:szCs w:val="24"/>
              </w:rPr>
            </w:pPr>
            <w:r>
              <w:rPr>
                <w:color w:val="auto"/>
                <w:sz w:val="24"/>
                <w:szCs w:val="24"/>
              </w:rPr>
              <w:t>①建立严格的操作规程，实行目标责任制，保证环境保护设施的正常运行。</w:t>
            </w:r>
          </w:p>
          <w:p>
            <w:pPr>
              <w:spacing w:line="360" w:lineRule="auto"/>
              <w:ind w:firstLine="480" w:firstLineChars="200"/>
              <w:rPr>
                <w:color w:val="auto"/>
                <w:sz w:val="24"/>
                <w:szCs w:val="24"/>
              </w:rPr>
            </w:pPr>
            <w:r>
              <w:rPr>
                <w:color w:val="auto"/>
                <w:sz w:val="24"/>
                <w:szCs w:val="24"/>
              </w:rPr>
              <w:t>②应严格按工艺规程进行操作，特别在易发生事故工序，应坚决杜绝为了提高产量等而不严格按要求配料、操作等情况，同时，操作人员应穿戴好劳动防护用品。</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3 \* GB3 \* MERGEFORMAT </w:instrText>
            </w:r>
            <w:r>
              <w:rPr>
                <w:color w:val="auto"/>
                <w:sz w:val="24"/>
                <w:szCs w:val="24"/>
              </w:rPr>
              <w:fldChar w:fldCharType="separate"/>
            </w:r>
            <w:r>
              <w:rPr>
                <w:color w:val="auto"/>
                <w:sz w:val="24"/>
                <w:szCs w:val="24"/>
              </w:rPr>
              <w:t>③</w:t>
            </w:r>
            <w:r>
              <w:rPr>
                <w:color w:val="auto"/>
                <w:sz w:val="24"/>
                <w:szCs w:val="24"/>
              </w:rPr>
              <w:fldChar w:fldCharType="end"/>
            </w:r>
            <w:r>
              <w:rPr>
                <w:color w:val="auto"/>
                <w:sz w:val="24"/>
                <w:szCs w:val="24"/>
              </w:rPr>
              <w:t>储存注意事项：对各种原材料应分别储存于符合相应要求的库房中。加强防火，达到消防、安全等有关部门的要求。</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4 \* GB3 \* MERGEFORMAT </w:instrText>
            </w:r>
            <w:r>
              <w:rPr>
                <w:color w:val="auto"/>
                <w:sz w:val="24"/>
                <w:szCs w:val="24"/>
              </w:rPr>
              <w:fldChar w:fldCharType="separate"/>
            </w:r>
            <w:r>
              <w:rPr>
                <w:color w:val="auto"/>
                <w:sz w:val="24"/>
                <w:szCs w:val="24"/>
              </w:rPr>
              <w:t>④</w:t>
            </w:r>
            <w:r>
              <w:rPr>
                <w:color w:val="auto"/>
                <w:sz w:val="24"/>
                <w:szCs w:val="24"/>
              </w:rPr>
              <w:fldChar w:fldCharType="end"/>
            </w:r>
            <w:r>
              <w:rPr>
                <w:color w:val="auto"/>
                <w:sz w:val="24"/>
                <w:szCs w:val="24"/>
              </w:rPr>
              <w:t>跑冒滴漏处理措施：发生跑冒滴漏时，必须配戴防护用具进行处理，尽量回收物料。当发生严重泄露和灾害时，可直接与消防队联系，并要求予以指导和协助，以免事故影响扩大。</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5 \* GB3 \* MERGEFORMAT </w:instrText>
            </w:r>
            <w:r>
              <w:rPr>
                <w:color w:val="auto"/>
                <w:sz w:val="24"/>
                <w:szCs w:val="24"/>
              </w:rPr>
              <w:fldChar w:fldCharType="separate"/>
            </w:r>
            <w:r>
              <w:rPr>
                <w:color w:val="auto"/>
                <w:sz w:val="24"/>
                <w:szCs w:val="24"/>
              </w:rPr>
              <w:t>⑤</w:t>
            </w:r>
            <w:r>
              <w:rPr>
                <w:color w:val="auto"/>
                <w:sz w:val="24"/>
                <w:szCs w:val="24"/>
              </w:rPr>
              <w:fldChar w:fldCharType="end"/>
            </w:r>
            <w:r>
              <w:rPr>
                <w:color w:val="auto"/>
                <w:sz w:val="24"/>
                <w:szCs w:val="24"/>
              </w:rPr>
              <w:t>加强对职工的安全教育，制定严格的工作守则和个人卫生措施，所有操作人员必须了解接触化学品的有害作用及对患者的急救措施，以保证生产的正常运行和员工的身体健康。</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6 \* GB3 \* MERGEFORMAT </w:instrText>
            </w:r>
            <w:r>
              <w:rPr>
                <w:color w:val="auto"/>
                <w:sz w:val="24"/>
                <w:szCs w:val="24"/>
              </w:rPr>
              <w:fldChar w:fldCharType="separate"/>
            </w:r>
            <w:r>
              <w:rPr>
                <w:color w:val="auto"/>
                <w:sz w:val="24"/>
                <w:szCs w:val="24"/>
              </w:rPr>
              <w:t>⑥</w:t>
            </w:r>
            <w:r>
              <w:rPr>
                <w:color w:val="auto"/>
                <w:sz w:val="24"/>
                <w:szCs w:val="24"/>
              </w:rPr>
              <w:fldChar w:fldCharType="end"/>
            </w:r>
            <w:r>
              <w:rPr>
                <w:color w:val="auto"/>
                <w:sz w:val="24"/>
                <w:szCs w:val="24"/>
              </w:rPr>
              <w:t>事故发生时的行动计划：应当制定一个当事故发生时的必须采取哪些行动的计划。这种行动计划应该得到地方紧急事故服务部门（例如消防、救护、交通以及公安等有关负责部门）的同意，并向他们提供有关有毒有害物质危害的资料，还需定期进行演习以检查行动计划的效果。</w:t>
            </w:r>
          </w:p>
          <w:p>
            <w:pPr>
              <w:spacing w:line="360" w:lineRule="auto"/>
              <w:ind w:firstLine="480" w:firstLineChars="200"/>
              <w:rPr>
                <w:color w:val="auto"/>
                <w:sz w:val="24"/>
                <w:szCs w:val="24"/>
              </w:rPr>
            </w:pPr>
            <w:r>
              <w:rPr>
                <w:color w:val="auto"/>
                <w:sz w:val="24"/>
                <w:szCs w:val="24"/>
              </w:rPr>
              <w:t>行动计划的内容应包括：</w:t>
            </w:r>
          </w:p>
          <w:p>
            <w:pPr>
              <w:spacing w:line="360" w:lineRule="auto"/>
              <w:ind w:firstLine="480" w:firstLineChars="200"/>
              <w:rPr>
                <w:color w:val="auto"/>
                <w:sz w:val="24"/>
                <w:szCs w:val="24"/>
              </w:rPr>
            </w:pPr>
            <w:r>
              <w:rPr>
                <w:color w:val="auto"/>
                <w:sz w:val="24"/>
                <w:szCs w:val="24"/>
              </w:rPr>
              <w:t>①事故一发生就要立即对事故的级别，对厂内外职工和居民，对周围其它设备及邻近工厂的影响范围、影响的性质和程度等迅速作出估计和判断。</w:t>
            </w:r>
          </w:p>
          <w:p>
            <w:pPr>
              <w:spacing w:line="360" w:lineRule="auto"/>
              <w:ind w:firstLine="480" w:firstLineChars="200"/>
              <w:rPr>
                <w:color w:val="auto"/>
                <w:sz w:val="24"/>
                <w:szCs w:val="24"/>
              </w:rPr>
            </w:pPr>
            <w:r>
              <w:rPr>
                <w:color w:val="auto"/>
                <w:sz w:val="24"/>
                <w:szCs w:val="24"/>
              </w:rPr>
              <w:t>②对控制事故和减缓影响所必须采取的行动，如发生火灾时，全厂紧急停工，及时报警，由消防队根据火灾的具体情况实施灭火方案，断绝火源，避免火灾扩大等。</w:t>
            </w:r>
          </w:p>
          <w:p>
            <w:pPr>
              <w:spacing w:line="360" w:lineRule="auto"/>
              <w:ind w:firstLine="480" w:firstLineChars="200"/>
              <w:rPr>
                <w:color w:val="auto"/>
                <w:sz w:val="24"/>
                <w:szCs w:val="24"/>
              </w:rPr>
            </w:pPr>
            <w:r>
              <w:rPr>
                <w:color w:val="auto"/>
                <w:sz w:val="24"/>
                <w:szCs w:val="24"/>
              </w:rPr>
              <w:t>③对污染物向下风向的扩散不断进行监测。</w:t>
            </w:r>
          </w:p>
          <w:p>
            <w:pPr>
              <w:spacing w:line="360" w:lineRule="auto"/>
              <w:ind w:firstLine="480" w:firstLineChars="200"/>
              <w:rPr>
                <w:color w:val="auto"/>
                <w:sz w:val="24"/>
                <w:szCs w:val="24"/>
              </w:rPr>
            </w:pPr>
            <w:r>
              <w:rPr>
                <w:color w:val="auto"/>
                <w:sz w:val="24"/>
                <w:szCs w:val="24"/>
              </w:rPr>
              <w:t>④保护厂内外职工和可能受影响的居民所采取的措施（例如疏散等）。</w:t>
            </w:r>
          </w:p>
          <w:p>
            <w:pPr>
              <w:spacing w:line="360" w:lineRule="auto"/>
              <w:ind w:firstLine="480" w:firstLineChars="200"/>
              <w:rPr>
                <w:color w:val="auto"/>
                <w:sz w:val="24"/>
                <w:szCs w:val="24"/>
              </w:rPr>
            </w:pPr>
            <w:r>
              <w:rPr>
                <w:color w:val="auto"/>
                <w:sz w:val="24"/>
                <w:szCs w:val="24"/>
              </w:rPr>
              <w:t>⑤保护周围的设备和邻近的工厂所采取的措施。</w:t>
            </w:r>
          </w:p>
          <w:p>
            <w:pPr>
              <w:spacing w:line="360" w:lineRule="auto"/>
              <w:ind w:firstLine="480" w:firstLineChars="200"/>
              <w:rPr>
                <w:color w:val="auto"/>
                <w:sz w:val="24"/>
                <w:szCs w:val="24"/>
              </w:rPr>
            </w:pPr>
            <w:r>
              <w:rPr>
                <w:color w:val="auto"/>
                <w:sz w:val="24"/>
                <w:szCs w:val="24"/>
              </w:rPr>
              <w:t>⑥向地方紧急事故服务部门提供处理处置污染物的应急工具、仪器和设备。</w:t>
            </w:r>
          </w:p>
          <w:p>
            <w:pPr>
              <w:spacing w:line="360" w:lineRule="auto"/>
              <w:ind w:firstLine="482" w:firstLineChars="200"/>
              <w:rPr>
                <w:b/>
                <w:bCs/>
                <w:color w:val="auto"/>
                <w:sz w:val="24"/>
                <w:szCs w:val="24"/>
              </w:rPr>
            </w:pPr>
            <w:r>
              <w:rPr>
                <w:b/>
                <w:bCs/>
                <w:color w:val="auto"/>
                <w:sz w:val="24"/>
                <w:szCs w:val="24"/>
              </w:rPr>
              <w:t>（8）危险废物渗漏的防范措施</w:t>
            </w:r>
          </w:p>
          <w:p>
            <w:pPr>
              <w:spacing w:line="360" w:lineRule="auto"/>
              <w:ind w:firstLine="480" w:firstLineChars="200"/>
              <w:rPr>
                <w:color w:val="auto"/>
                <w:sz w:val="24"/>
                <w:szCs w:val="24"/>
              </w:rPr>
            </w:pPr>
            <w:r>
              <w:rPr>
                <w:color w:val="auto"/>
                <w:sz w:val="24"/>
                <w:szCs w:val="24"/>
              </w:rPr>
              <w:t>①厂内化学</w:t>
            </w:r>
            <w:r>
              <w:rPr>
                <w:rFonts w:hint="eastAsia"/>
                <w:color w:val="auto"/>
                <w:sz w:val="24"/>
                <w:szCs w:val="24"/>
              </w:rPr>
              <w:t>品物料</w:t>
            </w:r>
            <w:r>
              <w:rPr>
                <w:rFonts w:hint="eastAsia"/>
                <w:color w:val="auto"/>
                <w:sz w:val="24"/>
                <w:szCs w:val="24"/>
                <w:lang w:eastAsia="zh-CN"/>
              </w:rPr>
              <w:t>（</w:t>
            </w:r>
            <w:r>
              <w:rPr>
                <w:rFonts w:hint="eastAsia"/>
                <w:color w:val="auto"/>
                <w:sz w:val="24"/>
                <w:szCs w:val="24"/>
                <w:lang w:val="en-US" w:eastAsia="zh-CN"/>
              </w:rPr>
              <w:t>漆料、机油</w:t>
            </w:r>
            <w:r>
              <w:rPr>
                <w:rFonts w:hint="eastAsia"/>
                <w:color w:val="auto"/>
                <w:sz w:val="24"/>
                <w:szCs w:val="24"/>
                <w:lang w:eastAsia="zh-CN"/>
              </w:rPr>
              <w:t>）</w:t>
            </w:r>
            <w:r>
              <w:rPr>
                <w:color w:val="auto"/>
                <w:sz w:val="24"/>
                <w:szCs w:val="24"/>
              </w:rPr>
              <w:t>均为专用容器盛装，储存库地面为水泥地坪，在水泥地板上做防腐工艺，即采用涂刷环氧树脂5-6mm厚之方式，以防止化学品泄露，给土壤和地下水造成污染。</w:t>
            </w:r>
          </w:p>
          <w:p>
            <w:pPr>
              <w:spacing w:line="360" w:lineRule="auto"/>
              <w:ind w:firstLine="480" w:firstLineChars="200"/>
              <w:rPr>
                <w:color w:val="auto"/>
                <w:sz w:val="24"/>
                <w:szCs w:val="24"/>
              </w:rPr>
            </w:pPr>
            <w:r>
              <w:rPr>
                <w:color w:val="auto"/>
                <w:sz w:val="24"/>
                <w:szCs w:val="24"/>
              </w:rPr>
              <w:t>②危险废物厂内贮存执行《危险废物贮存污染控制标准》要求设置危险废物临时贮存场。</w:t>
            </w:r>
          </w:p>
          <w:p>
            <w:pPr>
              <w:spacing w:line="360" w:lineRule="auto"/>
              <w:ind w:firstLine="480" w:firstLineChars="200"/>
              <w:rPr>
                <w:color w:val="auto"/>
                <w:sz w:val="24"/>
                <w:szCs w:val="24"/>
              </w:rPr>
            </w:pPr>
            <w:r>
              <w:rPr>
                <w:color w:val="auto"/>
                <w:sz w:val="24"/>
                <w:szCs w:val="24"/>
              </w:rPr>
              <w:t>③危险废物贮存等固废暂存场所地面与裙脚用坚固、防渗的材料建造，用以存放装载液体、半固体危险废物容器的地方，有耐腐蚀的硬化地面，且表面无裂隙。基础必须防渗，防渗层为至少1米厚粘土层（渗透系数≤10</w:t>
            </w:r>
            <w:r>
              <w:rPr>
                <w:color w:val="auto"/>
                <w:sz w:val="24"/>
                <w:szCs w:val="24"/>
                <w:vertAlign w:val="superscript"/>
              </w:rPr>
              <w:t>-7</w:t>
            </w:r>
            <w:r>
              <w:rPr>
                <w:color w:val="auto"/>
                <w:sz w:val="24"/>
                <w:szCs w:val="24"/>
              </w:rPr>
              <w:t>厘米/秒），或2毫米厚高密度聚乙烯，或至少2毫米厚的其它人工材料，渗透系数≤10</w:t>
            </w:r>
            <w:r>
              <w:rPr>
                <w:color w:val="auto"/>
                <w:sz w:val="24"/>
                <w:szCs w:val="24"/>
                <w:vertAlign w:val="superscript"/>
              </w:rPr>
              <w:t>-10</w:t>
            </w:r>
            <w:r>
              <w:rPr>
                <w:color w:val="auto"/>
                <w:sz w:val="24"/>
                <w:szCs w:val="24"/>
              </w:rPr>
              <w:t>厘米/秒。防止对土壤和地下水造成污染。</w:t>
            </w:r>
          </w:p>
          <w:p>
            <w:pPr>
              <w:spacing w:line="360" w:lineRule="auto"/>
              <w:ind w:firstLine="480" w:firstLineChars="200"/>
              <w:rPr>
                <w:rFonts w:hint="default" w:ascii="Times New Roman" w:hAnsi="Times New Roman" w:cs="Times New Roman"/>
                <w:color w:val="auto"/>
                <w:sz w:val="24"/>
                <w:szCs w:val="24"/>
              </w:rPr>
            </w:pPr>
            <w:r>
              <w:rPr>
                <w:color w:val="auto"/>
                <w:sz w:val="24"/>
                <w:szCs w:val="24"/>
              </w:rPr>
              <w:t>④设施内</w:t>
            </w:r>
            <w:r>
              <w:rPr>
                <w:rFonts w:hint="default" w:ascii="Times New Roman" w:hAnsi="Times New Roman" w:cs="Times New Roman"/>
                <w:color w:val="auto"/>
                <w:sz w:val="24"/>
                <w:szCs w:val="24"/>
              </w:rPr>
              <w:t>有安全照明设施和观察窗口。</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⑤从设计、管理中防止和减少污染物料的跑、冒、滴、漏而采取的各种措施，主要措施包括工艺、管道、设备、土建、给排水、总图布置等防止污染物泄漏的措施；运行期严格管理，加强巡检，及时发现污染物泄漏；定期检查检修设备，将污染物泄漏的环境风险事故降到最低。</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 xml:space="preserve">  （9）气瓶使用</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①使用气瓶前使用者对气瓶进行安全状况检查，检查减压器、流量表、软管、防回火装置是否有泄漏、磨损及接头松懈等现象，并对盛装气体进行确认。检查不合格的气瓶不能使用。</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②气瓶在通风良好的场所使用。</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③气瓶的放置地点不得靠近热源，环境温度超40℃时，采取遮阳等措施降温。</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④气瓶使用时分开放置，保持5m间距，且距明火10m 以外。</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⑤气瓶及附件保持清洁、干燥，防止沾染腐蚀性介质、灰尘等。</w:t>
            </w:r>
          </w:p>
          <w:p>
            <w:pPr>
              <w:spacing w:line="360" w:lineRule="auto"/>
              <w:rPr>
                <w:rFonts w:ascii="宋体" w:hAnsi="宋体" w:cs="宋体"/>
                <w:color w:val="auto"/>
                <w:sz w:val="24"/>
                <w:szCs w:val="24"/>
              </w:rPr>
            </w:pPr>
            <w:r>
              <w:rPr>
                <w:rFonts w:hint="eastAsia" w:ascii="宋体" w:hAnsi="宋体" w:cs="宋体"/>
                <w:color w:val="auto"/>
                <w:sz w:val="24"/>
                <w:szCs w:val="24"/>
              </w:rPr>
              <w:t xml:space="preserve">    ⑥禁止将气瓶与电气设备及电路接触，以免形成电气回路。</w:t>
            </w:r>
          </w:p>
          <w:p>
            <w:pPr>
              <w:spacing w:line="360" w:lineRule="auto"/>
              <w:rPr>
                <w:rFonts w:ascii="宋体" w:hAnsi="宋体" w:cs="宋体"/>
                <w:color w:val="auto"/>
                <w:sz w:val="24"/>
                <w:szCs w:val="24"/>
              </w:rPr>
            </w:pPr>
            <w:r>
              <w:rPr>
                <w:rFonts w:hint="eastAsia" w:ascii="宋体" w:hAnsi="宋体" w:cs="宋体"/>
                <w:color w:val="auto"/>
                <w:sz w:val="24"/>
                <w:szCs w:val="24"/>
              </w:rPr>
              <w:t xml:space="preserve">    ⑦开启或关闭瓶阀时，用专用扳手，不准使用其他工具，以防损坏阀件。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（10）三级应急防控措施</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拟建项目在生产过程中有涉及漆料等风险物质，为防止此环节发生风险事故时对周围环境及受纳水体产生影响，其环境风险应设立三级应急防控体系。</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一级防控措施：涂料库、危废暂存间分别设置导流沟、围堰，若桶装液体物料泄漏，可将泄漏液体有效收集在围堰内。二级防控措施：建设事故水池一座，一方面作为废水处理的事故水池，另一方面风险事故情况下，一级防控措施不能满足使用要求时，将物料及消防水等引入该事故水池，防止污染物进入地表水水体；三级防控措施：设计对厂区污水及雨水总排口均设置切断措施，防止事故情况下物料经雨水及污水管线进入地表水水体。</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（1）事故池计算</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snapToGrid w:val="0"/>
                <w:color w:val="auto"/>
                <w:sz w:val="24"/>
                <w:szCs w:val="24"/>
              </w:rPr>
              <w:t>根据</w:t>
            </w:r>
            <w:r>
              <w:rPr>
                <w:rFonts w:hint="default" w:ascii="Times New Roman" w:hAnsi="Times New Roman" w:cs="Times New Roman"/>
                <w:color w:val="auto"/>
                <w:sz w:val="24"/>
                <w:szCs w:val="24"/>
              </w:rPr>
              <w:t>《事故状态下水体污染的预防与控制技术要求》（Q/SY1190-2013）中对事故应急池大小的规定：</w:t>
            </w:r>
          </w:p>
          <w:p>
            <w:pPr>
              <w:spacing w:line="360" w:lineRule="auto"/>
              <w:ind w:firstLine="480"/>
              <w:jc w:val="center"/>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总</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1</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2</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3</w:t>
            </w:r>
            <w:r>
              <w:rPr>
                <w:rFonts w:hint="default" w:ascii="Times New Roman" w:hAnsi="Times New Roman" w:cs="Times New Roman"/>
                <w:snapToGrid w:val="0"/>
                <w:color w:val="auto"/>
                <w:sz w:val="24"/>
                <w:szCs w:val="24"/>
              </w:rPr>
              <w:t>）max+V</w:t>
            </w:r>
            <w:r>
              <w:rPr>
                <w:rFonts w:hint="default" w:ascii="Times New Roman" w:hAnsi="Times New Roman" w:cs="Times New Roman"/>
                <w:snapToGrid w:val="0"/>
                <w:color w:val="auto"/>
                <w:sz w:val="24"/>
                <w:szCs w:val="24"/>
                <w:vertAlign w:val="subscript"/>
              </w:rPr>
              <w:t>4</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5</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注：（V</w:t>
            </w:r>
            <w:r>
              <w:rPr>
                <w:rFonts w:hint="default" w:ascii="Times New Roman" w:hAnsi="Times New Roman" w:cs="Times New Roman"/>
                <w:snapToGrid w:val="0"/>
                <w:color w:val="auto"/>
                <w:sz w:val="24"/>
                <w:szCs w:val="24"/>
                <w:vertAlign w:val="subscript"/>
              </w:rPr>
              <w:t>1</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2</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3</w:t>
            </w:r>
            <w:r>
              <w:rPr>
                <w:rFonts w:hint="default" w:ascii="Times New Roman" w:hAnsi="Times New Roman" w:cs="Times New Roman"/>
                <w:snapToGrid w:val="0"/>
                <w:color w:val="auto"/>
                <w:sz w:val="24"/>
                <w:szCs w:val="24"/>
              </w:rPr>
              <w:t>）max是指对收集系统范围内不同罐组或装置分别计算V</w:t>
            </w:r>
            <w:r>
              <w:rPr>
                <w:rFonts w:hint="default" w:ascii="Times New Roman" w:hAnsi="Times New Roman" w:cs="Times New Roman"/>
                <w:snapToGrid w:val="0"/>
                <w:color w:val="auto"/>
                <w:sz w:val="24"/>
                <w:szCs w:val="24"/>
                <w:vertAlign w:val="subscript"/>
              </w:rPr>
              <w:t>1</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2</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3</w:t>
            </w:r>
            <w:r>
              <w:rPr>
                <w:rFonts w:hint="default" w:ascii="Times New Roman" w:hAnsi="Times New Roman" w:cs="Times New Roman"/>
                <w:snapToGrid w:val="0"/>
                <w:color w:val="auto"/>
                <w:sz w:val="24"/>
                <w:szCs w:val="24"/>
              </w:rPr>
              <w:t>，取其中最大值。</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1</w:t>
            </w:r>
            <w:r>
              <w:rPr>
                <w:rFonts w:hint="default" w:ascii="Times New Roman" w:hAnsi="Times New Roman" w:cs="Times New Roman"/>
                <w:snapToGrid w:val="0"/>
                <w:color w:val="auto"/>
                <w:sz w:val="24"/>
                <w:szCs w:val="24"/>
              </w:rPr>
              <w:t>——收集系统范围内发生事故的一个罐组或一套装置的物料量。项目存储量最大的是漆料为25千克/桶，因此发生事故时一个罐组物料泄漏最大量V</w:t>
            </w:r>
            <w:r>
              <w:rPr>
                <w:rFonts w:hint="default" w:ascii="Times New Roman" w:hAnsi="Times New Roman" w:cs="Times New Roman"/>
                <w:snapToGrid w:val="0"/>
                <w:color w:val="auto"/>
                <w:sz w:val="24"/>
                <w:szCs w:val="24"/>
                <w:vertAlign w:val="subscript"/>
              </w:rPr>
              <w:t>1</w:t>
            </w:r>
            <w:r>
              <w:rPr>
                <w:rFonts w:hint="default" w:ascii="Times New Roman" w:hAnsi="Times New Roman" w:cs="Times New Roman"/>
                <w:snapToGrid w:val="0"/>
                <w:color w:val="auto"/>
                <w:sz w:val="24"/>
                <w:szCs w:val="24"/>
              </w:rPr>
              <w:t>约0.02m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2</w:t>
            </w:r>
            <w:r>
              <w:rPr>
                <w:rFonts w:hint="default" w:ascii="Times New Roman" w:hAnsi="Times New Roman" w:cs="Times New Roman"/>
                <w:snapToGrid w:val="0"/>
                <w:color w:val="auto"/>
                <w:sz w:val="24"/>
                <w:szCs w:val="24"/>
              </w:rPr>
              <w:t>——发生事故的储罐或装置的消防水量，m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r>
              <w:rPr>
                <w:rFonts w:hint="default" w:ascii="Times New Roman" w:hAnsi="Times New Roman" w:cs="Times New Roman"/>
                <w:snapToGrid w:val="0"/>
                <w:color w:val="auto"/>
                <w:sz w:val="24"/>
                <w:szCs w:val="24"/>
                <w:lang w:val="zh-CN"/>
              </w:rPr>
              <w:t>本项目</w:t>
            </w:r>
            <w:r>
              <w:rPr>
                <w:rFonts w:hint="default" w:ascii="Times New Roman" w:hAnsi="Times New Roman" w:cs="Times New Roman"/>
                <w:snapToGrid w:val="0"/>
                <w:color w:val="auto"/>
                <w:sz w:val="24"/>
                <w:szCs w:val="24"/>
              </w:rPr>
              <w:t>消防用水量按20L/s，同一时间内的火灾次数为1次，一次火灾延续时间为30min计算，消防水量V</w:t>
            </w:r>
            <w:r>
              <w:rPr>
                <w:rFonts w:hint="default" w:ascii="Times New Roman" w:hAnsi="Times New Roman" w:cs="Times New Roman"/>
                <w:snapToGrid w:val="0"/>
                <w:color w:val="auto"/>
                <w:sz w:val="24"/>
                <w:szCs w:val="24"/>
                <w:vertAlign w:val="subscript"/>
              </w:rPr>
              <w:t>2</w:t>
            </w:r>
            <w:r>
              <w:rPr>
                <w:rFonts w:hint="default" w:ascii="Times New Roman" w:hAnsi="Times New Roman" w:cs="Times New Roman"/>
                <w:snapToGrid w:val="0"/>
                <w:color w:val="auto"/>
                <w:sz w:val="24"/>
                <w:szCs w:val="24"/>
              </w:rPr>
              <w:t>为36m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3</w:t>
            </w:r>
            <w:r>
              <w:rPr>
                <w:rFonts w:hint="default" w:ascii="Times New Roman" w:hAnsi="Times New Roman" w:cs="Times New Roman"/>
                <w:snapToGrid w:val="0"/>
                <w:color w:val="auto"/>
                <w:sz w:val="24"/>
                <w:szCs w:val="24"/>
              </w:rPr>
              <w:t>——发生事故时可以转输到其他储存或处理设施的物料量，m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。按最坏情况考虑，V</w:t>
            </w:r>
            <w:r>
              <w:rPr>
                <w:rFonts w:hint="default" w:ascii="Times New Roman" w:hAnsi="Times New Roman" w:cs="Times New Roman"/>
                <w:snapToGrid w:val="0"/>
                <w:color w:val="auto"/>
                <w:sz w:val="24"/>
                <w:szCs w:val="24"/>
                <w:vertAlign w:val="subscript"/>
              </w:rPr>
              <w:t>3</w:t>
            </w:r>
            <w:r>
              <w:rPr>
                <w:rFonts w:hint="default" w:ascii="Times New Roman" w:hAnsi="Times New Roman" w:cs="Times New Roman"/>
                <w:snapToGrid w:val="0"/>
                <w:color w:val="auto"/>
                <w:sz w:val="24"/>
                <w:szCs w:val="24"/>
              </w:rPr>
              <w:t>为0m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4</w:t>
            </w:r>
            <w:r>
              <w:rPr>
                <w:rFonts w:hint="default" w:ascii="Times New Roman" w:hAnsi="Times New Roman" w:cs="Times New Roman"/>
                <w:snapToGrid w:val="0"/>
                <w:color w:val="auto"/>
                <w:sz w:val="24"/>
                <w:szCs w:val="24"/>
              </w:rPr>
              <w:t>——发生事故时仍必须进入该收集系统的生产废水量，m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。根据项目情况，本项目故发生事故时进入该收集系统的生产废水量V</w:t>
            </w:r>
            <w:r>
              <w:rPr>
                <w:rFonts w:hint="default" w:ascii="Times New Roman" w:hAnsi="Times New Roman" w:cs="Times New Roman"/>
                <w:snapToGrid w:val="0"/>
                <w:color w:val="auto"/>
                <w:sz w:val="24"/>
                <w:szCs w:val="24"/>
                <w:vertAlign w:val="subscript"/>
              </w:rPr>
              <w:t>4</w:t>
            </w:r>
            <w:r>
              <w:rPr>
                <w:rFonts w:hint="default" w:ascii="Times New Roman" w:hAnsi="Times New Roman" w:cs="Times New Roman"/>
                <w:snapToGrid w:val="0"/>
                <w:color w:val="auto"/>
                <w:sz w:val="24"/>
                <w:szCs w:val="24"/>
              </w:rPr>
              <w:t>取0m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5</w:t>
            </w:r>
            <w:r>
              <w:rPr>
                <w:rFonts w:hint="default" w:ascii="Times New Roman" w:hAnsi="Times New Roman" w:cs="Times New Roman"/>
                <w:snapToGrid w:val="0"/>
                <w:color w:val="auto"/>
                <w:sz w:val="24"/>
                <w:szCs w:val="24"/>
              </w:rPr>
              <w:t>——发生事故时可能进入该收集系统的降雨量，m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r>
              <w:rPr>
                <w:rFonts w:hint="default" w:ascii="Times New Roman" w:hAnsi="Times New Roman" w:cs="Times New Roman"/>
                <w:color w:val="auto"/>
                <w:kern w:val="0"/>
                <w:sz w:val="24"/>
                <w:szCs w:val="24"/>
              </w:rPr>
              <w:t>降雨量按</w:t>
            </w:r>
            <w:r>
              <w:rPr>
                <w:rFonts w:hint="default" w:ascii="Times New Roman" w:hAnsi="Times New Roman" w:cs="Times New Roman"/>
                <w:i/>
                <w:color w:val="auto"/>
                <w:kern w:val="0"/>
                <w:sz w:val="24"/>
                <w:szCs w:val="24"/>
              </w:rPr>
              <w:t>V</w:t>
            </w:r>
            <w:r>
              <w:rPr>
                <w:rFonts w:hint="default" w:ascii="Times New Roman" w:hAnsi="Times New Roman" w:cs="Times New Roman"/>
                <w:color w:val="auto"/>
                <w:kern w:val="0"/>
                <w:sz w:val="24"/>
                <w:szCs w:val="24"/>
                <w:vertAlign w:val="subscript"/>
              </w:rPr>
              <w:t>雨</w:t>
            </w:r>
            <w:r>
              <w:rPr>
                <w:rFonts w:hint="default" w:ascii="Times New Roman" w:hAnsi="Times New Roman" w:cs="Times New Roman"/>
                <w:color w:val="auto"/>
                <w:kern w:val="0"/>
                <w:sz w:val="24"/>
                <w:szCs w:val="24"/>
              </w:rPr>
              <w:t>=10</w:t>
            </w:r>
            <w:r>
              <w:rPr>
                <w:rFonts w:hint="default" w:ascii="Times New Roman" w:hAnsi="Times New Roman" w:cs="Times New Roman"/>
                <w:color w:val="auto"/>
                <w:spacing w:val="-5"/>
                <w:kern w:val="0"/>
                <w:sz w:val="24"/>
                <w:szCs w:val="24"/>
              </w:rPr>
              <w:t>qF，其中，q为平均日降雨量，由年平均降雨量（863mm）/年平均降雨日数（取80天）计算；</w:t>
            </w:r>
            <w:r>
              <w:rPr>
                <w:rFonts w:hint="default" w:ascii="Times New Roman" w:hAnsi="Times New Roman" w:cs="Times New Roman"/>
                <w:snapToGrid w:val="0"/>
                <w:color w:val="auto"/>
                <w:sz w:val="24"/>
                <w:szCs w:val="24"/>
              </w:rPr>
              <w:t>V</w:t>
            </w:r>
            <w:r>
              <w:rPr>
                <w:rFonts w:hint="default" w:ascii="Times New Roman" w:hAnsi="Times New Roman" w:cs="Times New Roman"/>
                <w:snapToGrid w:val="0"/>
                <w:color w:val="auto"/>
                <w:sz w:val="24"/>
                <w:szCs w:val="24"/>
                <w:vertAlign w:val="subscript"/>
              </w:rPr>
              <w:t>5</w:t>
            </w:r>
            <w:r>
              <w:rPr>
                <w:rFonts w:hint="default" w:ascii="Times New Roman" w:hAnsi="Times New Roman" w:cs="Times New Roman"/>
                <w:snapToGrid w:val="0"/>
                <w:color w:val="auto"/>
                <w:sz w:val="24"/>
                <w:szCs w:val="24"/>
              </w:rPr>
              <w:t>约20m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w:t>
            </w:r>
          </w:p>
          <w:p>
            <w:pPr>
              <w:spacing w:line="360" w:lineRule="auto"/>
              <w:ind w:firstLine="480"/>
              <w:rPr>
                <w:rFonts w:hint="default" w:ascii="Times New Roman" w:hAnsi="Times New Roman" w:cs="Times New Roman"/>
                <w:snapToGrid w:val="0"/>
                <w:color w:val="auto"/>
                <w:sz w:val="24"/>
                <w:szCs w:val="24"/>
              </w:rPr>
            </w:pPr>
            <w:r>
              <w:rPr>
                <w:rFonts w:hint="default" w:ascii="Times New Roman" w:hAnsi="Times New Roman" w:cs="Times New Roman"/>
                <w:snapToGrid w:val="0"/>
                <w:color w:val="auto"/>
                <w:sz w:val="24"/>
                <w:szCs w:val="24"/>
              </w:rPr>
              <w:t>经计算，项目事故池有效容积至少为56.02m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。建设单位应设置事故池有效容积60m</w:t>
            </w:r>
            <w:r>
              <w:rPr>
                <w:rFonts w:hint="default" w:ascii="Times New Roman" w:hAnsi="Times New Roman" w:cs="Times New Roman"/>
                <w:snapToGrid w:val="0"/>
                <w:color w:val="auto"/>
                <w:sz w:val="24"/>
                <w:szCs w:val="24"/>
                <w:vertAlign w:val="superscript"/>
              </w:rPr>
              <w:t>3</w:t>
            </w:r>
            <w:r>
              <w:rPr>
                <w:rFonts w:hint="default" w:ascii="Times New Roman" w:hAnsi="Times New Roman" w:cs="Times New Roman"/>
                <w:snapToGrid w:val="0"/>
                <w:color w:val="auto"/>
                <w:sz w:val="24"/>
                <w:szCs w:val="24"/>
              </w:rPr>
              <w:t>以上，以满足事故时消防废水、泄漏的物料暂存</w:t>
            </w:r>
            <w:r>
              <w:rPr>
                <w:rFonts w:hint="default" w:ascii="Times New Roman" w:hAnsi="Times New Roman" w:cs="Times New Roman"/>
                <w:snapToGrid w:val="0"/>
                <w:color w:val="auto"/>
                <w:sz w:val="24"/>
                <w:szCs w:val="24"/>
                <w:lang w:val="zh-CN"/>
              </w:rPr>
              <w:t>，避免外流进入周围环境</w:t>
            </w:r>
            <w:r>
              <w:rPr>
                <w:rFonts w:hint="default" w:ascii="Times New Roman" w:hAnsi="Times New Roman" w:cs="Times New Roman"/>
                <w:snapToGrid w:val="0"/>
                <w:color w:val="auto"/>
                <w:sz w:val="24"/>
                <w:szCs w:val="24"/>
              </w:rPr>
              <w:t>。</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发生火灾时，在组织灭火的同时迅速切断雨水排放口与外界的联通，将消防废水滞留在厂区内，待火灾过后，再收集此废水进行处理。只要能够按应急预案要求处理得当，事故时的废水就不会直接进入地表水体，避免水污染事故发生。</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（2）事故废水的截断措施</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漆料库、危废暂存间分别设置地沟、围堰，确保泄漏物不出围堰。同时在设计中将雨水管网和污水管网设置可切换的阀门，一旦发生事故又下雨时，可将阀门切换至污水管网系统。</w:t>
            </w:r>
          </w:p>
          <w:p>
            <w:pPr>
              <w:spacing w:line="360" w:lineRule="auto"/>
              <w:ind w:firstLine="480"/>
              <w:rPr>
                <w:rFonts w:hint="default" w:ascii="Times New Roman" w:hAnsi="Times New Roman" w:cs="Times New Roman"/>
                <w:color w:val="auto"/>
              </w:rPr>
            </w:pPr>
            <w:r>
              <w:rPr>
                <w:rFonts w:hint="default" w:ascii="Times New Roman" w:hAnsi="Times New Roman" w:cs="Times New Roman"/>
                <w:color w:val="auto"/>
                <w:sz w:val="24"/>
                <w:szCs w:val="24"/>
              </w:rPr>
              <w:t>本项目事故废水切断措施示意图见图</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p>
          <w:p>
            <w:pPr>
              <w:ind w:firstLine="480"/>
              <w:jc w:val="center"/>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3457575" cy="1466850"/>
                  <wp:effectExtent l="0" t="0" r="9525" b="0"/>
                  <wp:docPr id="146"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9" descr="IMG_256"/>
                          <pic:cNvPicPr>
                            <a:picLocks noChangeAspect="1"/>
                          </pic:cNvPicPr>
                        </pic:nvPicPr>
                        <pic:blipFill>
                          <a:blip r:embed="rId14" cstate="print"/>
                          <a:stretch>
                            <a:fillRect/>
                          </a:stretch>
                        </pic:blipFill>
                        <pic:spPr>
                          <a:xfrm>
                            <a:off x="0" y="0"/>
                            <a:ext cx="3457575" cy="1466850"/>
                          </a:xfrm>
                          <a:prstGeom prst="rect">
                            <a:avLst/>
                          </a:prstGeom>
                          <a:noFill/>
                          <a:ln>
                            <a:noFill/>
                          </a:ln>
                        </pic:spPr>
                      </pic:pic>
                    </a:graphicData>
                  </a:graphic>
                </wp:inline>
              </w:drawing>
            </w:r>
          </w:p>
          <w:p>
            <w:pPr>
              <w:ind w:firstLine="482"/>
              <w:jc w:val="center"/>
              <w:rPr>
                <w:rFonts w:hint="default" w:ascii="Times New Roman" w:hAnsi="Times New Roman" w:cs="Times New Roman"/>
                <w:b/>
                <w:bCs/>
                <w:color w:val="auto"/>
              </w:rPr>
            </w:pPr>
            <w:r>
              <w:rPr>
                <w:rFonts w:hint="default" w:ascii="Times New Roman" w:hAnsi="Times New Roman" w:cs="Times New Roman"/>
                <w:b/>
                <w:bCs/>
                <w:color w:val="auto"/>
              </w:rPr>
              <w:t>图4-2   项目事故废水切断措施示意图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根据《建设项目环境风险评价技术导则》（HJ/T169-2018），采取以上事故风险防范措施情况下，项目对周围环境的风险影响在可接受的范围之内。</w:t>
            </w:r>
          </w:p>
          <w:p>
            <w:pPr>
              <w:pStyle w:val="14"/>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b/>
                <w:color w:val="auto"/>
                <w:sz w:val="21"/>
                <w:szCs w:val="21"/>
              </w:rPr>
            </w:pPr>
            <w:r>
              <w:rPr>
                <w:rFonts w:hint="eastAsia"/>
                <w:b/>
                <w:color w:val="auto"/>
                <w:sz w:val="21"/>
                <w:szCs w:val="21"/>
                <w:lang w:val="en-US" w:eastAsia="zh-CN"/>
              </w:rPr>
              <w:t xml:space="preserve">表4-23  </w:t>
            </w:r>
            <w:r>
              <w:rPr>
                <w:b/>
                <w:color w:val="auto"/>
                <w:sz w:val="21"/>
                <w:szCs w:val="21"/>
              </w:rPr>
              <w:t>环境风险分析内容表</w:t>
            </w:r>
          </w:p>
          <w:tbl>
            <w:tblPr>
              <w:tblStyle w:val="34"/>
              <w:tblW w:w="499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2"/>
              <w:gridCol w:w="1308"/>
              <w:gridCol w:w="1699"/>
              <w:gridCol w:w="1179"/>
              <w:gridCol w:w="2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建设项目名称</w:t>
                  </w:r>
                </w:p>
              </w:tc>
              <w:tc>
                <w:tcPr>
                  <w:tcW w:w="4082" w:type="pct"/>
                  <w:gridSpan w:val="4"/>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lang w:eastAsia="zh-CN"/>
                    </w:rPr>
                  </w:pPr>
                  <w:r>
                    <w:rPr>
                      <w:rFonts w:hint="default" w:ascii="Times New Roman" w:hAnsi="Times New Roman" w:eastAsia="宋体" w:cs="Times New Roman"/>
                      <w:bCs/>
                      <w:color w:val="auto"/>
                      <w:szCs w:val="21"/>
                      <w:lang w:val="zh-CN"/>
                    </w:rPr>
                    <w:t>中拓机械制造项目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1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建设地点</w:t>
                  </w:r>
                </w:p>
              </w:tc>
              <w:tc>
                <w:tcPr>
                  <w:tcW w:w="773"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（安徽）</w:t>
                  </w:r>
                  <w:r>
                    <w:rPr>
                      <w:rFonts w:hint="default" w:ascii="Times New Roman" w:hAnsi="Times New Roman" w:eastAsia="宋体" w:cs="Times New Roman"/>
                      <w:color w:val="auto"/>
                      <w:lang w:val="en-US" w:eastAsia="zh-CN"/>
                    </w:rPr>
                    <w:t>省</w:t>
                  </w:r>
                </w:p>
              </w:tc>
              <w:tc>
                <w:tcPr>
                  <w:tcW w:w="1004"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淮北</w:t>
                  </w:r>
                  <w:r>
                    <w:rPr>
                      <w:rFonts w:hint="default" w:ascii="Times New Roman" w:hAnsi="Times New Roman" w:eastAsia="宋体" w:cs="Times New Roman"/>
                      <w:color w:val="auto"/>
                    </w:rPr>
                    <w:t>）市</w:t>
                  </w:r>
                </w:p>
              </w:tc>
              <w:tc>
                <w:tcPr>
                  <w:tcW w:w="69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杜集</w:t>
                  </w:r>
                  <w:r>
                    <w:rPr>
                      <w:rFonts w:hint="default" w:ascii="Times New Roman" w:hAnsi="Times New Roman" w:eastAsia="宋体" w:cs="Times New Roman"/>
                      <w:color w:val="auto"/>
                    </w:rPr>
                    <w:t>）区</w:t>
                  </w:r>
                </w:p>
              </w:tc>
              <w:tc>
                <w:tcPr>
                  <w:tcW w:w="160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杜集</w:t>
                  </w:r>
                  <w:r>
                    <w:rPr>
                      <w:rFonts w:hint="default" w:ascii="Times New Roman" w:hAnsi="Times New Roman" w:eastAsia="宋体" w:cs="Times New Roman"/>
                      <w:color w:val="auto"/>
                      <w:lang w:eastAsia="zh-CN"/>
                    </w:rPr>
                    <w:t>经济开发区</w:t>
                  </w:r>
                  <w:r>
                    <w:rPr>
                      <w:rFonts w:hint="default" w:ascii="Times New Roman" w:hAnsi="Times New Roman" w:eastAsia="宋体" w:cs="Times New Roman"/>
                      <w:color w:val="auto"/>
                    </w:rPr>
                    <w:t>）园区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地理坐标</w:t>
                  </w:r>
                </w:p>
              </w:tc>
              <w:tc>
                <w:tcPr>
                  <w:tcW w:w="773"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经度</w:t>
                  </w:r>
                </w:p>
              </w:tc>
              <w:tc>
                <w:tcPr>
                  <w:tcW w:w="1004"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东经116度49分27.842秒</w:t>
                  </w:r>
                </w:p>
              </w:tc>
              <w:tc>
                <w:tcPr>
                  <w:tcW w:w="69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纬度</w:t>
                  </w:r>
                </w:p>
              </w:tc>
              <w:tc>
                <w:tcPr>
                  <w:tcW w:w="160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北纬34度3分17.493秒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主要危险物质</w:t>
                  </w:r>
                </w:p>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及分布</w:t>
                  </w:r>
                </w:p>
              </w:tc>
              <w:tc>
                <w:tcPr>
                  <w:tcW w:w="4082" w:type="pct"/>
                  <w:gridSpan w:val="4"/>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rPr>
                    <w:t>乙炔</w:t>
                  </w:r>
                  <w:r>
                    <w:rPr>
                      <w:rFonts w:hint="eastAsia" w:cs="Times New Roman"/>
                      <w:color w:val="auto"/>
                      <w:sz w:val="21"/>
                      <w:szCs w:val="21"/>
                      <w:lang w:val="en-US" w:eastAsia="zh-CN"/>
                    </w:rPr>
                    <w:t>存放在原料库内</w:t>
                  </w:r>
                  <w:r>
                    <w:rPr>
                      <w:rFonts w:hint="eastAsia" w:cs="Times New Roman"/>
                      <w:color w:val="auto"/>
                      <w:sz w:val="21"/>
                      <w:szCs w:val="21"/>
                      <w:lang w:eastAsia="zh-CN"/>
                    </w:rPr>
                    <w:t>，</w:t>
                  </w:r>
                  <w:r>
                    <w:rPr>
                      <w:rFonts w:hint="eastAsia" w:cs="Times New Roman"/>
                      <w:color w:val="auto"/>
                      <w:sz w:val="21"/>
                      <w:szCs w:val="21"/>
                      <w:lang w:val="en-US" w:eastAsia="zh-CN"/>
                    </w:rPr>
                    <w:t>水性漆和</w:t>
                  </w:r>
                  <w:r>
                    <w:rPr>
                      <w:rFonts w:hint="default" w:ascii="Times New Roman" w:hAnsi="Times New Roman" w:eastAsia="宋体" w:cs="Times New Roman"/>
                      <w:color w:val="auto"/>
                      <w:sz w:val="21"/>
                      <w:szCs w:val="21"/>
                      <w:lang w:val="en-US" w:eastAsia="zh-CN"/>
                    </w:rPr>
                    <w:t>机油</w:t>
                  </w:r>
                  <w:r>
                    <w:rPr>
                      <w:rFonts w:hint="eastAsia" w:cs="Times New Roman"/>
                      <w:color w:val="auto"/>
                      <w:sz w:val="21"/>
                      <w:szCs w:val="21"/>
                      <w:lang w:val="en-US" w:eastAsia="zh-CN"/>
                    </w:rPr>
                    <w:t>存放在漆料间，废机油存放在危险废物暂存间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p>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环境影响途径及危害后果</w:t>
                  </w:r>
                </w:p>
              </w:tc>
              <w:tc>
                <w:tcPr>
                  <w:tcW w:w="4082" w:type="pct"/>
                  <w:gridSpan w:val="4"/>
                  <w:tcBorders>
                    <w:tl2br w:val="nil"/>
                    <w:tr2bl w:val="nil"/>
                  </w:tcBorders>
                  <w:vAlign w:val="center"/>
                </w:tcPr>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（1）</w:t>
                  </w:r>
                  <w:r>
                    <w:rPr>
                      <w:rFonts w:hint="eastAsia" w:cs="Times New Roman"/>
                      <w:color w:val="auto"/>
                      <w:lang w:val="en-US" w:eastAsia="zh-CN"/>
                    </w:rPr>
                    <w:t>漆料、</w:t>
                  </w:r>
                  <w:r>
                    <w:rPr>
                      <w:rFonts w:hint="default" w:ascii="Times New Roman" w:hAnsi="Times New Roman" w:eastAsia="宋体" w:cs="Times New Roman"/>
                      <w:color w:val="auto"/>
                      <w:lang w:val="en-US" w:eastAsia="zh-CN"/>
                    </w:rPr>
                    <w:t>机油</w:t>
                  </w:r>
                  <w:r>
                    <w:rPr>
                      <w:rFonts w:hint="default" w:ascii="Times New Roman" w:hAnsi="Times New Roman" w:eastAsia="宋体" w:cs="Times New Roman"/>
                      <w:color w:val="auto"/>
                    </w:rPr>
                    <w:t>泄露事故环境风险影响分析</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泄露时，</w:t>
                  </w:r>
                  <w:r>
                    <w:rPr>
                      <w:rFonts w:hint="default" w:ascii="Times New Roman" w:hAnsi="Times New Roman" w:eastAsia="宋体" w:cs="Times New Roman"/>
                      <w:color w:val="auto"/>
                      <w:lang w:val="en-US" w:eastAsia="zh-CN"/>
                    </w:rPr>
                    <w:t>有害物质挥发</w:t>
                  </w:r>
                  <w:r>
                    <w:rPr>
                      <w:rFonts w:hint="default" w:ascii="Times New Roman" w:hAnsi="Times New Roman" w:eastAsia="宋体" w:cs="Times New Roman"/>
                      <w:color w:val="auto"/>
                    </w:rPr>
                    <w:t>释放到空气中，</w:t>
                  </w:r>
                  <w:r>
                    <w:rPr>
                      <w:rFonts w:hint="default" w:ascii="Times New Roman" w:hAnsi="Times New Roman" w:eastAsia="宋体" w:cs="Times New Roman"/>
                      <w:color w:val="auto"/>
                      <w:lang w:val="en-US" w:eastAsia="zh-CN"/>
                    </w:rPr>
                    <w:t>但其挥发性较低、挥发量较小，</w:t>
                  </w:r>
                  <w:r>
                    <w:rPr>
                      <w:rFonts w:hint="default" w:ascii="Times New Roman" w:hAnsi="Times New Roman" w:eastAsia="宋体" w:cs="Times New Roman"/>
                      <w:color w:val="auto"/>
                    </w:rPr>
                    <w:t>对环境及人身安全造成影响</w:t>
                  </w:r>
                  <w:r>
                    <w:rPr>
                      <w:rFonts w:hint="default" w:ascii="Times New Roman" w:hAnsi="Times New Roman" w:eastAsia="宋体" w:cs="Times New Roman"/>
                      <w:color w:val="auto"/>
                      <w:lang w:val="en-US" w:eastAsia="zh-CN"/>
                    </w:rPr>
                    <w:t>较小</w:t>
                  </w:r>
                  <w:r>
                    <w:rPr>
                      <w:rFonts w:hint="default" w:ascii="Times New Roman" w:hAnsi="Times New Roman" w:eastAsia="宋体" w:cs="Times New Roman"/>
                      <w:color w:val="auto"/>
                    </w:rPr>
                    <w:t>。</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（2）火灾爆炸及次生风险影响分析</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火灾是工业生产过程常见的风险事故，项目</w:t>
                  </w:r>
                  <w:r>
                    <w:rPr>
                      <w:rFonts w:hint="default" w:ascii="Times New Roman" w:hAnsi="Times New Roman" w:eastAsia="宋体" w:cs="Times New Roman"/>
                      <w:color w:val="auto"/>
                      <w:lang w:val="en-US" w:eastAsia="zh-CN"/>
                    </w:rPr>
                    <w:t>乙炔</w:t>
                  </w:r>
                  <w:r>
                    <w:rPr>
                      <w:rFonts w:hint="default" w:ascii="Times New Roman" w:hAnsi="Times New Roman" w:eastAsia="宋体" w:cs="Times New Roman"/>
                      <w:color w:val="auto"/>
                    </w:rPr>
                    <w:t>等易燃的物料造成火灾、热辐射的影响</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可能会发生爆炸事故，因爆炸产生的破碎物四处飞散，产生的冲击波会毁坏周围的建筑，导致危险物质进入大气环境和水环境，对周围环境产生危害。</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（3）废气处理设施事故排放环境风险影响分析</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废气处理设施事故排放事件为：①风机故障导致废气收集率降低；②处理措施管理系统出现故障导致废气处理设施未能正常运行而停止工作。在非正常工况排放情况下，污染物排放对周围环境空气质量影响较大。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9"/>
                    <w:bidi w:val="0"/>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风险防范措施要求</w:t>
                  </w:r>
                </w:p>
              </w:tc>
              <w:tc>
                <w:tcPr>
                  <w:tcW w:w="4082" w:type="pct"/>
                  <w:gridSpan w:val="4"/>
                  <w:tcBorders>
                    <w:tl2br w:val="nil"/>
                    <w:tr2bl w:val="nil"/>
                  </w:tcBorders>
                  <w:vAlign w:val="center"/>
                </w:tcPr>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（1）加强日常巡查管理，加大检查制度，以降低泄露的概率，一旦出现泄露排放的情况，需要采取一系列措施，如紧急生产停工，工程应急措施及必要的社会应急措施，降低环境影响。</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（2）加强日常维护、巡视，发现问题马上解决。库房必须装有通风设施，并配有消防设施、火灾报警装置，防爆灯等。设置一座的</w:t>
                  </w:r>
                  <w:r>
                    <w:rPr>
                      <w:rFonts w:hint="default" w:ascii="Times New Roman" w:hAnsi="Times New Roman" w:eastAsia="宋体" w:cs="Times New Roman"/>
                      <w:color w:val="auto"/>
                      <w:lang w:val="en-US" w:eastAsia="zh-CN"/>
                    </w:rPr>
                    <w:t>事故</w:t>
                  </w:r>
                  <w:r>
                    <w:rPr>
                      <w:rFonts w:hint="default" w:ascii="Times New Roman" w:hAnsi="Times New Roman" w:eastAsia="宋体" w:cs="Times New Roman"/>
                      <w:color w:val="auto"/>
                    </w:rPr>
                    <w:t>废水收集池，一旦发生火灾，消防废水收集进入</w:t>
                  </w:r>
                  <w:r>
                    <w:rPr>
                      <w:rFonts w:hint="default" w:ascii="Times New Roman" w:hAnsi="Times New Roman" w:eastAsia="宋体" w:cs="Times New Roman"/>
                      <w:color w:val="auto"/>
                      <w:lang w:val="en-US" w:eastAsia="zh-CN"/>
                    </w:rPr>
                    <w:t>事故水池</w:t>
                  </w:r>
                  <w:r>
                    <w:rPr>
                      <w:rFonts w:hint="default" w:ascii="Times New Roman" w:hAnsi="Times New Roman" w:eastAsia="宋体" w:cs="Times New Roman"/>
                      <w:color w:val="auto"/>
                    </w:rPr>
                    <w:t>，以满足事故应急要求。</w:t>
                  </w:r>
                  <w:r>
                    <w:rPr>
                      <w:rFonts w:hint="default" w:ascii="Times New Roman" w:hAnsi="Times New Roman" w:eastAsia="宋体" w:cs="Times New Roman"/>
                      <w:color w:val="auto"/>
                      <w:lang w:val="en-US" w:eastAsia="zh-CN"/>
                    </w:rPr>
                    <w:t>事故水池</w:t>
                  </w:r>
                  <w:r>
                    <w:rPr>
                      <w:rFonts w:hint="default" w:ascii="Times New Roman" w:hAnsi="Times New Roman" w:eastAsia="宋体" w:cs="Times New Roman"/>
                      <w:color w:val="auto"/>
                    </w:rPr>
                    <w:t>平时处于空闲状态，不得储存水，待事故发生时，确保发生事故时废水不从雨水管直接进入附近地表水体。</w:t>
                  </w:r>
                </w:p>
                <w:p>
                  <w:pPr>
                    <w:pStyle w:val="49"/>
                    <w:keepNext w:val="0"/>
                    <w:keepLines w:val="0"/>
                    <w:pageBreakBefore w:val="0"/>
                    <w:widowControl w:val="0"/>
                    <w:kinsoku/>
                    <w:wordWrap w:val="0"/>
                    <w:overflowPunct w:val="0"/>
                    <w:topLinePunct w:val="0"/>
                    <w:autoSpaceDE w:val="0"/>
                    <w:autoSpaceDN w:val="0"/>
                    <w:bidi w:val="0"/>
                    <w:adjustRightInd/>
                    <w:snapToGrid/>
                    <w:spacing w:line="240" w:lineRule="auto"/>
                    <w:ind w:firstLine="420" w:firstLineChars="200"/>
                    <w:jc w:val="left"/>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（3）废气处理设施事故防范措施企业应加强废气收集和处理设施的管理和维护工作，确保废气治理设施正常运行，杜绝废气非正常排放。</w:t>
                  </w:r>
                </w:p>
              </w:tc>
            </w:tr>
          </w:tbl>
          <w:p>
            <w:pPr>
              <w:tabs>
                <w:tab w:val="left" w:pos="447"/>
              </w:tabs>
              <w:spacing w:line="360" w:lineRule="auto"/>
              <w:ind w:firstLine="482" w:firstLineChars="200"/>
              <w:rPr>
                <w:b/>
                <w:bCs/>
                <w:color w:val="auto"/>
                <w:sz w:val="24"/>
                <w:szCs w:val="24"/>
              </w:rPr>
            </w:pPr>
            <w:r>
              <w:rPr>
                <w:rFonts w:hint="eastAsia"/>
                <w:b/>
                <w:color w:val="auto"/>
                <w:sz w:val="24"/>
                <w:szCs w:val="24"/>
                <w:lang w:val="en-US" w:eastAsia="zh-CN"/>
              </w:rPr>
              <w:t>7、</w:t>
            </w:r>
            <w:r>
              <w:rPr>
                <w:b/>
                <w:bCs/>
                <w:color w:val="auto"/>
                <w:sz w:val="24"/>
                <w:szCs w:val="24"/>
              </w:rPr>
              <w:t>排污口规范化设置</w:t>
            </w:r>
          </w:p>
          <w:p>
            <w:pPr>
              <w:adjustRightInd w:val="0"/>
              <w:snapToGrid w:val="0"/>
              <w:spacing w:line="360" w:lineRule="auto"/>
              <w:ind w:firstLine="480" w:firstLineChars="200"/>
              <w:rPr>
                <w:color w:val="auto"/>
                <w:sz w:val="24"/>
                <w:szCs w:val="24"/>
              </w:rPr>
            </w:pPr>
            <w:r>
              <w:rPr>
                <w:color w:val="auto"/>
                <w:sz w:val="24"/>
                <w:szCs w:val="24"/>
              </w:rPr>
              <w:t>根据国家环境保护部门《关于开展排放口规范化整治工作的通知》及《安徽省污染源排放口规范化整治管理办法》的排水体制的规定要求。建设项目必须严格实施“雨污分流”、“清污分流”，正确设置废水、废气等排放口，并设立明显标志，以便于监管。</w:t>
            </w:r>
          </w:p>
          <w:p>
            <w:pPr>
              <w:adjustRightInd w:val="0"/>
              <w:snapToGrid w:val="0"/>
              <w:spacing w:line="360" w:lineRule="auto"/>
              <w:ind w:firstLine="480" w:firstLineChars="200"/>
              <w:rPr>
                <w:color w:val="auto"/>
                <w:sz w:val="24"/>
                <w:szCs w:val="24"/>
              </w:rPr>
            </w:pPr>
            <w:r>
              <w:rPr>
                <w:color w:val="auto"/>
                <w:sz w:val="24"/>
                <w:szCs w:val="24"/>
              </w:rPr>
              <w:t>（1）废水排放口：</w:t>
            </w:r>
            <w:r>
              <w:rPr>
                <w:rFonts w:hint="eastAsia"/>
                <w:color w:val="auto"/>
                <w:sz w:val="24"/>
                <w:szCs w:val="24"/>
              </w:rPr>
              <w:t>实行雨污分流制，厂区设置雨水排放口（</w:t>
            </w:r>
            <w:r>
              <w:rPr>
                <w:rFonts w:hint="eastAsia"/>
                <w:color w:val="auto"/>
                <w:sz w:val="24"/>
                <w:szCs w:val="24"/>
                <w:lang w:val="en-US" w:eastAsia="zh-CN"/>
              </w:rPr>
              <w:t>YS</w:t>
            </w:r>
            <w:r>
              <w:rPr>
                <w:rFonts w:hint="eastAsia"/>
                <w:color w:val="auto"/>
                <w:sz w:val="24"/>
                <w:szCs w:val="24"/>
              </w:rPr>
              <w:t>001）、污水排放口（DW001）各一个，并在该处设置环境保护图形标志牌。</w:t>
            </w:r>
          </w:p>
          <w:p>
            <w:pPr>
              <w:adjustRightInd w:val="0"/>
              <w:snapToGrid w:val="0"/>
              <w:spacing w:line="360" w:lineRule="auto"/>
              <w:ind w:firstLine="480" w:firstLineChars="200"/>
              <w:rPr>
                <w:color w:val="auto"/>
                <w:sz w:val="24"/>
                <w:szCs w:val="24"/>
              </w:rPr>
            </w:pPr>
            <w:r>
              <w:rPr>
                <w:color w:val="auto"/>
                <w:sz w:val="24"/>
                <w:szCs w:val="24"/>
              </w:rPr>
              <w:t>（2）废气排放口：设置</w:t>
            </w:r>
            <w:r>
              <w:rPr>
                <w:rFonts w:hint="eastAsia"/>
                <w:color w:val="auto"/>
                <w:sz w:val="24"/>
                <w:szCs w:val="24"/>
                <w:lang w:val="en-US" w:eastAsia="zh-CN"/>
              </w:rPr>
              <w:t>4</w:t>
            </w:r>
            <w:r>
              <w:rPr>
                <w:color w:val="auto"/>
                <w:sz w:val="24"/>
                <w:szCs w:val="24"/>
              </w:rPr>
              <w:t>个不低于15m排气筒，为</w:t>
            </w:r>
            <w:r>
              <w:rPr>
                <w:rFonts w:hint="eastAsia"/>
                <w:color w:val="auto"/>
                <w:sz w:val="24"/>
                <w:szCs w:val="24"/>
              </w:rPr>
              <w:t>DA001、DA002</w:t>
            </w:r>
            <w:r>
              <w:rPr>
                <w:rFonts w:hint="eastAsia"/>
                <w:color w:val="auto"/>
                <w:sz w:val="24"/>
                <w:szCs w:val="24"/>
                <w:lang w:eastAsia="zh-CN"/>
              </w:rPr>
              <w:t>、</w:t>
            </w:r>
            <w:r>
              <w:rPr>
                <w:rFonts w:hint="eastAsia"/>
                <w:color w:val="auto"/>
                <w:sz w:val="24"/>
                <w:szCs w:val="24"/>
              </w:rPr>
              <w:t>DA00</w:t>
            </w:r>
            <w:r>
              <w:rPr>
                <w:rFonts w:hint="eastAsia"/>
                <w:color w:val="auto"/>
                <w:sz w:val="24"/>
                <w:szCs w:val="24"/>
                <w:lang w:val="en-US" w:eastAsia="zh-CN"/>
              </w:rPr>
              <w:t>3</w:t>
            </w:r>
            <w:r>
              <w:rPr>
                <w:rFonts w:hint="eastAsia"/>
                <w:color w:val="auto"/>
                <w:sz w:val="24"/>
                <w:szCs w:val="24"/>
              </w:rPr>
              <w:t>、DA00</w:t>
            </w:r>
            <w:r>
              <w:rPr>
                <w:rFonts w:hint="eastAsia"/>
                <w:color w:val="auto"/>
                <w:sz w:val="24"/>
                <w:szCs w:val="24"/>
                <w:lang w:val="en-US" w:eastAsia="zh-CN"/>
              </w:rPr>
              <w:t>4</w:t>
            </w:r>
            <w:r>
              <w:rPr>
                <w:color w:val="auto"/>
                <w:sz w:val="24"/>
                <w:szCs w:val="24"/>
              </w:rPr>
              <w:t>，并在排气筒上设置环境保护图形标志牌。</w:t>
            </w:r>
          </w:p>
          <w:p>
            <w:pPr>
              <w:adjustRightInd w:val="0"/>
              <w:snapToGrid w:val="0"/>
              <w:spacing w:line="360" w:lineRule="auto"/>
              <w:ind w:firstLine="480" w:firstLineChars="200"/>
              <w:rPr>
                <w:color w:val="auto"/>
                <w:sz w:val="24"/>
                <w:szCs w:val="24"/>
              </w:rPr>
            </w:pPr>
            <w:r>
              <w:rPr>
                <w:color w:val="auto"/>
                <w:sz w:val="24"/>
                <w:szCs w:val="24"/>
              </w:rPr>
              <w:t>（3）厂界噪声：参照《工业企业厂界环境噪声排放标准》（GB12348－2008）的规定，每</w:t>
            </w:r>
            <w:r>
              <w:rPr>
                <w:rFonts w:hint="eastAsia"/>
                <w:color w:val="auto"/>
                <w:sz w:val="24"/>
                <w:szCs w:val="24"/>
              </w:rPr>
              <w:t>季度</w:t>
            </w:r>
            <w:r>
              <w:rPr>
                <w:color w:val="auto"/>
                <w:sz w:val="24"/>
                <w:szCs w:val="24"/>
              </w:rPr>
              <w:t>监测1天（昼夜各一次），设置环境噪声监测点，并在该处附近醒目处设置环境保护图形标志牌。</w:t>
            </w:r>
          </w:p>
          <w:p>
            <w:pPr>
              <w:adjustRightInd w:val="0"/>
              <w:snapToGrid w:val="0"/>
              <w:spacing w:line="360" w:lineRule="auto"/>
              <w:ind w:firstLine="480" w:firstLineChars="200"/>
              <w:rPr>
                <w:color w:val="auto"/>
                <w:sz w:val="24"/>
                <w:szCs w:val="24"/>
              </w:rPr>
            </w:pPr>
            <w:r>
              <w:rPr>
                <w:color w:val="auto"/>
                <w:sz w:val="24"/>
                <w:szCs w:val="24"/>
              </w:rPr>
              <w:t>（4）固废暂存规范化：本项目固体废物应按照固废处理相关规定加强管理，应加强暂存期间的管理，存放场应采取严格的防渗、防流失措施，并在存放场边界和进出口位置设置环保标志牌。环境保护图形标志牌设置位置应距固体废物贮存（堆放）场较近且醒目处，并能长久保留。危险废物贮存（堆放）场应设置警告性环境保护图形标志牌。</w:t>
            </w:r>
          </w:p>
          <w:p>
            <w:pPr>
              <w:spacing w:line="360" w:lineRule="auto"/>
              <w:ind w:firstLine="482" w:firstLineChars="200"/>
              <w:rPr>
                <w:b/>
                <w:bCs/>
                <w:color w:val="auto"/>
                <w:sz w:val="24"/>
                <w:szCs w:val="24"/>
              </w:rPr>
            </w:pPr>
            <w:r>
              <w:rPr>
                <w:rFonts w:hint="eastAsia"/>
                <w:b/>
                <w:color w:val="auto"/>
                <w:sz w:val="24"/>
                <w:szCs w:val="24"/>
                <w:lang w:val="en-US" w:eastAsia="zh-CN"/>
              </w:rPr>
              <w:t>8、</w:t>
            </w:r>
            <w:r>
              <w:rPr>
                <w:rFonts w:hint="eastAsia"/>
                <w:b/>
                <w:bCs/>
                <w:color w:val="auto"/>
                <w:sz w:val="24"/>
                <w:szCs w:val="24"/>
              </w:rPr>
              <w:t>环评与排污许可联动</w:t>
            </w:r>
          </w:p>
          <w:p>
            <w:pPr>
              <w:spacing w:line="360" w:lineRule="auto"/>
              <w:ind w:firstLine="480" w:firstLineChars="200"/>
              <w:rPr>
                <w:rFonts w:hint="default"/>
                <w:color w:val="auto"/>
              </w:rPr>
            </w:pPr>
            <w:r>
              <w:rPr>
                <w:color w:val="auto"/>
                <w:sz w:val="24"/>
              </w:rPr>
              <w:t>根据安徽省生态环境厅文件2021年1月30号《关于统筹做好固定污染源排污许可日常监管工作的通知》（皖环发(2021) 7号）文件内容：二、主要任务——第（七）条积极探索排污许可与环评制度的联动试点中——属于现行《固定污染源排污许可分类管理名录》内重点管理和简化管理的行业，建设单位在组织编制建设项目环境影响报告书(表)时，可结合相应行业排污许可证申请与核发技术规范，在环评文件中一并明确“建设项目环境影响评价与排污许可联动内容”和《建设项目排污许可申请与填报信息表》，生态环境部门在环评文件受理和审批过程中同步审核。</w:t>
            </w:r>
            <w:r>
              <w:rPr>
                <w:rFonts w:hint="eastAsia"/>
                <w:color w:val="auto"/>
                <w:sz w:val="24"/>
              </w:rPr>
              <w:t>建设单位在实际排污行为发生前申领排污许可证，应按照项目实际建设情况，结合环评内容，填报排污许可申请材料；在编制自主验收报告时，应专章分析排污许可管理要求的落实情况。排污单位应依法开展排污许可证申领或排污许可登记，落实主体责任。排污单位应切实增强自行申报的主动性，并对申报内容的真实性、准确性、规范性负责，牢固树立“持证排污、按证排污”的守法意识。</w:t>
            </w:r>
          </w:p>
          <w:p>
            <w:pPr>
              <w:spacing w:line="360" w:lineRule="auto"/>
              <w:ind w:firstLine="480" w:firstLineChars="200"/>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根据《固定污染源排污许可分类管理名录》，本项目属于排污许可中的登记管理类别，不需要填报环评与排污许可联动内容。</w:t>
            </w:r>
          </w:p>
          <w:p>
            <w:pPr>
              <w:spacing w:line="360" w:lineRule="auto"/>
              <w:ind w:firstLine="482" w:firstLineChars="200"/>
              <w:jc w:val="both"/>
              <w:rPr>
                <w:rFonts w:hint="eastAsia" w:ascii="宋体" w:hAnsi="宋体" w:eastAsia="宋体" w:cs="宋体"/>
                <w:color w:val="auto"/>
                <w:sz w:val="24"/>
              </w:rPr>
            </w:pPr>
            <w:r>
              <w:rPr>
                <w:rFonts w:hint="eastAsia" w:cs="Times New Roman"/>
                <w:b/>
                <w:bCs/>
                <w:color w:val="auto"/>
                <w:sz w:val="24"/>
                <w:lang w:val="en-US" w:eastAsia="zh-CN"/>
              </w:rPr>
              <w:t>9</w:t>
            </w:r>
            <w:r>
              <w:rPr>
                <w:rFonts w:hint="eastAsia" w:ascii="Times New Roman" w:hAnsi="Times New Roman" w:eastAsia="宋体" w:cs="Times New Roman"/>
                <w:b/>
                <w:bCs/>
                <w:color w:val="auto"/>
                <w:sz w:val="24"/>
                <w:lang w:val="en-US" w:eastAsia="zh-CN"/>
              </w:rPr>
              <w:t>、</w:t>
            </w:r>
            <w:r>
              <w:rPr>
                <w:rFonts w:ascii="Times New Roman" w:hAnsi="Times New Roman" w:eastAsia="宋体" w:cs="Times New Roman"/>
                <w:b/>
                <w:bCs/>
                <w:color w:val="auto"/>
                <w:sz w:val="24"/>
              </w:rPr>
              <w:t>环保投资</w:t>
            </w:r>
          </w:p>
          <w:p>
            <w:pPr>
              <w:spacing w:line="360" w:lineRule="auto"/>
              <w:ind w:firstLine="480" w:firstLineChars="200"/>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该项目总投资</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8000万元，其中环保投资</w:t>
            </w:r>
            <w:r>
              <w:rPr>
                <w:rFonts w:hint="eastAsia" w:ascii="Times New Roman" w:hAnsi="Times New Roman" w:eastAsia="宋体" w:cs="Times New Roman"/>
                <w:color w:val="auto"/>
                <w:sz w:val="24"/>
                <w:lang w:val="en-US" w:eastAsia="zh-CN"/>
              </w:rPr>
              <w:t>167</w:t>
            </w:r>
            <w:r>
              <w:rPr>
                <w:rFonts w:hint="eastAsia" w:ascii="Times New Roman" w:hAnsi="Times New Roman" w:eastAsia="宋体" w:cs="Times New Roman"/>
                <w:color w:val="auto"/>
                <w:sz w:val="24"/>
              </w:rPr>
              <w:t>万元，占总投资的</w:t>
            </w:r>
            <w:r>
              <w:rPr>
                <w:rFonts w:hint="eastAsia" w:ascii="Times New Roman" w:hAnsi="Times New Roman" w:eastAsia="宋体" w:cs="Times New Roman"/>
                <w:color w:val="auto"/>
                <w:sz w:val="24"/>
                <w:lang w:val="en-US" w:eastAsia="zh-CN"/>
              </w:rPr>
              <w:t>0.288</w:t>
            </w:r>
            <w:r>
              <w:rPr>
                <w:rFonts w:hint="eastAsia" w:ascii="Times New Roman" w:hAnsi="Times New Roman" w:eastAsia="宋体" w:cs="Times New Roman"/>
                <w:color w:val="auto"/>
                <w:sz w:val="24"/>
              </w:rPr>
              <w:t>%，主要用于大气、废水、固体废物和噪声污染的治理。环保投资估算详见下表。</w:t>
            </w:r>
          </w:p>
          <w:p>
            <w:pPr>
              <w:spacing w:line="240" w:lineRule="auto"/>
              <w:jc w:val="center"/>
              <w:rPr>
                <w:rFonts w:ascii="Times New Roman" w:hAnsi="Times New Roman" w:eastAsia="宋体" w:cs="Times New Roman"/>
                <w:color w:val="auto"/>
                <w:sz w:val="24"/>
              </w:rPr>
            </w:pPr>
            <w:r>
              <w:rPr>
                <w:rFonts w:hint="eastAsia"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2</w:t>
            </w:r>
            <w:r>
              <w:rPr>
                <w:rFonts w:hint="eastAsia" w:cs="Times New Roman"/>
                <w:b/>
                <w:bCs/>
                <w:color w:val="auto"/>
                <w:sz w:val="24"/>
                <w:lang w:val="en-US" w:eastAsia="zh-CN"/>
              </w:rPr>
              <w:t>4</w:t>
            </w:r>
            <w:r>
              <w:rPr>
                <w:rFonts w:hint="eastAsia" w:ascii="Times New Roman" w:hAnsi="Times New Roman" w:eastAsia="宋体" w:cs="Times New Roman"/>
                <w:b/>
                <w:bCs/>
                <w:color w:val="auto"/>
                <w:sz w:val="24"/>
              </w:rPr>
              <w:t xml:space="preserve">  环保治理投资估算</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22"/>
              <w:gridCol w:w="492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noWrap w:val="0"/>
                  <w:vAlign w:val="center"/>
                </w:tcPr>
                <w:p>
                  <w:pPr>
                    <w:spacing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类别</w:t>
                  </w:r>
                </w:p>
              </w:tc>
              <w:tc>
                <w:tcPr>
                  <w:tcW w:w="4827" w:type="dxa"/>
                  <w:noWrap w:val="0"/>
                  <w:vAlign w:val="center"/>
                </w:tcPr>
                <w:p>
                  <w:pPr>
                    <w:spacing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治理措施</w:t>
                  </w:r>
                </w:p>
              </w:tc>
              <w:tc>
                <w:tcPr>
                  <w:tcW w:w="1307" w:type="dxa"/>
                  <w:noWrap w:val="0"/>
                  <w:vAlign w:val="center"/>
                </w:tcPr>
                <w:p>
                  <w:pPr>
                    <w:spacing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5" w:type="dxa"/>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废水</w:t>
                  </w:r>
                </w:p>
              </w:tc>
              <w:tc>
                <w:tcPr>
                  <w:tcW w:w="1588"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4827" w:type="dxa"/>
                  <w:noWrap w:val="0"/>
                  <w:vAlign w:val="center"/>
                </w:tcPr>
                <w:p>
                  <w:pPr>
                    <w:keepNext/>
                    <w:keepLines/>
                    <w:widowControl w:val="0"/>
                    <w:adjustRightInd/>
                    <w:snapToGrid/>
                    <w:spacing w:beforeLines="0" w:beforeAutospacing="0" w:afterLines="0" w:afterAutospacing="0" w:line="240" w:lineRule="auto"/>
                    <w:ind w:firstLine="0" w:firstLineChars="0"/>
                    <w:jc w:val="left"/>
                    <w:outlineLvl w:val="1"/>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化粪池预处理</w:t>
                  </w:r>
                </w:p>
              </w:tc>
              <w:tc>
                <w:tcPr>
                  <w:tcW w:w="130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65" w:type="dxa"/>
                  <w:vMerge w:val="restart"/>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废气</w:t>
                  </w:r>
                </w:p>
              </w:tc>
              <w:tc>
                <w:tcPr>
                  <w:tcW w:w="1588" w:type="dxa"/>
                  <w:noWrap w:val="0"/>
                  <w:vAlign w:val="center"/>
                </w:tcPr>
                <w:p>
                  <w:pPr>
                    <w:keepNext/>
                    <w:keepLines/>
                    <w:widowControl w:val="0"/>
                    <w:adjustRightInd/>
                    <w:snapToGrid/>
                    <w:spacing w:beforeLines="0" w:beforeAutospacing="0" w:afterLines="0" w:afterAutospacing="0" w:line="240" w:lineRule="auto"/>
                    <w:ind w:firstLine="0" w:firstLineChars="0"/>
                    <w:jc w:val="center"/>
                    <w:outlineLvl w:val="1"/>
                    <w:rPr>
                      <w:rFonts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颗粒物</w:t>
                  </w:r>
                </w:p>
              </w:tc>
              <w:tc>
                <w:tcPr>
                  <w:tcW w:w="4827" w:type="dxa"/>
                  <w:noWrap w:val="0"/>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集气系统+布袋除尘器+不低于15m高排气筒</w:t>
                  </w:r>
                </w:p>
              </w:tc>
              <w:tc>
                <w:tcPr>
                  <w:tcW w:w="1307" w:type="dxa"/>
                  <w:vMerge w:val="restart"/>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65" w:type="dxa"/>
                  <w:vMerge w:val="continue"/>
                  <w:noWrap w:val="0"/>
                  <w:vAlign w:val="center"/>
                </w:tcPr>
                <w:p>
                  <w:pPr>
                    <w:spacing w:line="240" w:lineRule="auto"/>
                    <w:jc w:val="left"/>
                    <w:rPr>
                      <w:color w:val="auto"/>
                    </w:rPr>
                  </w:pPr>
                </w:p>
              </w:tc>
              <w:tc>
                <w:tcPr>
                  <w:tcW w:w="1588" w:type="dxa"/>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颗粒物</w:t>
                  </w:r>
                </w:p>
              </w:tc>
              <w:tc>
                <w:tcPr>
                  <w:tcW w:w="4827" w:type="dxa"/>
                  <w:noWrap w:val="0"/>
                  <w:vAlign w:val="center"/>
                </w:tcPr>
                <w:p>
                  <w:pPr>
                    <w:keepNext w:val="0"/>
                    <w:keepLines w:val="0"/>
                    <w:pageBreakBefore w:val="0"/>
                    <w:widowControl w:val="0"/>
                    <w:kinsoku/>
                    <w:wordWrap/>
                    <w:overflowPunct/>
                    <w:topLinePunct w:val="0"/>
                    <w:autoSpaceDE/>
                    <w:autoSpaceDN/>
                    <w:bidi w:val="0"/>
                    <w:spacing w:line="300" w:lineRule="exact"/>
                    <w:ind w:right="-108" w:right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rPr>
                    <w:t>集气系统+布袋除尘器+不低于15m高排气筒</w:t>
                  </w:r>
                </w:p>
              </w:tc>
              <w:tc>
                <w:tcPr>
                  <w:tcW w:w="1307" w:type="dxa"/>
                  <w:vMerge w:val="continue"/>
                  <w:noWrap w:val="0"/>
                  <w:vAlign w:val="center"/>
                </w:tcPr>
                <w:p>
                  <w:pPr>
                    <w:spacing w:line="240" w:lineRule="auto"/>
                    <w:jc w:val="left"/>
                    <w:rPr>
                      <w:rFonts w:hint="eastAsia"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65" w:type="dxa"/>
                  <w:vMerge w:val="continue"/>
                  <w:noWrap w:val="0"/>
                  <w:vAlign w:val="center"/>
                </w:tcPr>
                <w:p>
                  <w:pPr>
                    <w:spacing w:line="240" w:lineRule="auto"/>
                    <w:jc w:val="left"/>
                    <w:rPr>
                      <w:rFonts w:hint="eastAsia" w:ascii="Times New Roman" w:hAnsi="Times New Roman" w:eastAsia="宋体" w:cs="Times New Roman"/>
                      <w:color w:val="auto"/>
                      <w:kern w:val="0"/>
                      <w:sz w:val="21"/>
                      <w:szCs w:val="21"/>
                      <w:lang w:val="en-US" w:eastAsia="zh-CN" w:bidi="ar-SA"/>
                    </w:rPr>
                  </w:pPr>
                </w:p>
              </w:tc>
              <w:tc>
                <w:tcPr>
                  <w:tcW w:w="1588" w:type="dxa"/>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颗粒物</w:t>
                  </w:r>
                </w:p>
              </w:tc>
              <w:tc>
                <w:tcPr>
                  <w:tcW w:w="48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rPr>
                    <w:t>集气系统+布袋除尘器+不低于15m高排气筒</w:t>
                  </w:r>
                </w:p>
              </w:tc>
              <w:tc>
                <w:tcPr>
                  <w:tcW w:w="1307" w:type="dxa"/>
                  <w:vMerge w:val="continue"/>
                  <w:noWrap w:val="0"/>
                  <w:vAlign w:val="center"/>
                </w:tcPr>
                <w:p>
                  <w:pPr>
                    <w:spacing w:line="240" w:lineRule="auto"/>
                    <w:jc w:val="left"/>
                    <w:rPr>
                      <w:rFonts w:hint="eastAsia"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65" w:type="dxa"/>
                  <w:vMerge w:val="continue"/>
                  <w:noWrap w:val="0"/>
                  <w:vAlign w:val="center"/>
                </w:tcPr>
                <w:p>
                  <w:pPr>
                    <w:spacing w:line="240" w:lineRule="auto"/>
                    <w:jc w:val="left"/>
                    <w:rPr>
                      <w:rFonts w:hint="eastAsia" w:ascii="Times New Roman" w:hAnsi="Times New Roman" w:eastAsia="宋体" w:cs="Times New Roman"/>
                      <w:color w:val="auto"/>
                      <w:kern w:val="0"/>
                      <w:sz w:val="21"/>
                      <w:szCs w:val="21"/>
                      <w:lang w:val="en-US" w:eastAsia="zh-CN" w:bidi="ar-SA"/>
                    </w:rPr>
                  </w:pPr>
                </w:p>
              </w:tc>
              <w:tc>
                <w:tcPr>
                  <w:tcW w:w="1588" w:type="dxa"/>
                  <w:noWrap w:val="0"/>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颗粒物、非甲烷总烃</w:t>
                  </w:r>
                </w:p>
              </w:tc>
              <w:tc>
                <w:tcPr>
                  <w:tcW w:w="48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rPr>
                    <w:t>密闭喷漆、晾干房，过滤棉+二级活性炭（活性炭纤维+活性炭颗粒）吸附装置+不低于15m高排气筒</w:t>
                  </w:r>
                </w:p>
              </w:tc>
              <w:tc>
                <w:tcPr>
                  <w:tcW w:w="1307" w:type="dxa"/>
                  <w:vMerge w:val="continue"/>
                  <w:noWrap w:val="0"/>
                  <w:vAlign w:val="center"/>
                </w:tcPr>
                <w:p>
                  <w:pPr>
                    <w:spacing w:line="240" w:lineRule="auto"/>
                    <w:jc w:val="left"/>
                    <w:rPr>
                      <w:rFonts w:hint="eastAsia"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w:t>
                  </w:r>
                </w:p>
              </w:tc>
              <w:tc>
                <w:tcPr>
                  <w:tcW w:w="4827" w:type="dxa"/>
                  <w:noWrap w:val="0"/>
                  <w:vAlign w:val="center"/>
                </w:tcPr>
                <w:p>
                  <w:pPr>
                    <w:spacing w:line="240" w:lineRule="auto"/>
                    <w:jc w:val="lef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减振基座、厂房隔声、绿化等</w:t>
                  </w:r>
                </w:p>
              </w:tc>
              <w:tc>
                <w:tcPr>
                  <w:tcW w:w="1307" w:type="dxa"/>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w:t>
                  </w:r>
                  <w:r>
                    <w:rPr>
                      <w:rFonts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5" w:type="dxa"/>
                  <w:vMerge w:val="restart"/>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固废</w:t>
                  </w:r>
                </w:p>
              </w:tc>
              <w:tc>
                <w:tcPr>
                  <w:tcW w:w="1588" w:type="dxa"/>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生活垃圾</w:t>
                  </w:r>
                </w:p>
              </w:tc>
              <w:tc>
                <w:tcPr>
                  <w:tcW w:w="4827" w:type="dxa"/>
                  <w:noWrap w:val="0"/>
                  <w:vAlign w:val="center"/>
                </w:tcPr>
                <w:p>
                  <w:pPr>
                    <w:spacing w:line="240" w:lineRule="auto"/>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生活垃圾经收集后由环卫部门统一清运处理</w:t>
                  </w:r>
                </w:p>
              </w:tc>
              <w:tc>
                <w:tcPr>
                  <w:tcW w:w="1307" w:type="dxa"/>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65" w:type="dxa"/>
                  <w:vMerge w:val="continue"/>
                  <w:noWrap w:val="0"/>
                  <w:vAlign w:val="center"/>
                </w:tcPr>
                <w:p>
                  <w:pPr>
                    <w:spacing w:line="240" w:lineRule="auto"/>
                    <w:jc w:val="center"/>
                    <w:rPr>
                      <w:rFonts w:ascii="Times New Roman" w:hAnsi="Times New Roman" w:eastAsia="宋体" w:cs="Times New Roman"/>
                      <w:color w:val="auto"/>
                      <w:sz w:val="21"/>
                      <w:szCs w:val="21"/>
                    </w:rPr>
                  </w:pPr>
                </w:p>
              </w:tc>
              <w:tc>
                <w:tcPr>
                  <w:tcW w:w="1588" w:type="dxa"/>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一般固废</w:t>
                  </w:r>
                </w:p>
              </w:tc>
              <w:tc>
                <w:tcPr>
                  <w:tcW w:w="4827" w:type="dxa"/>
                  <w:noWrap w:val="0"/>
                  <w:vAlign w:val="center"/>
                </w:tcPr>
                <w:p>
                  <w:pPr>
                    <w:spacing w:line="240" w:lineRule="auto"/>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一般固废暂存间</w:t>
                  </w:r>
                  <w:r>
                    <w:rPr>
                      <w:rFonts w:hint="eastAsia"/>
                      <w:color w:val="auto"/>
                      <w:szCs w:val="21"/>
                    </w:rPr>
                    <w:t>（</w:t>
                  </w:r>
                  <w:r>
                    <w:rPr>
                      <w:rFonts w:hint="eastAsia"/>
                      <w:color w:val="auto"/>
                      <w:szCs w:val="21"/>
                      <w:lang w:val="en-US" w:eastAsia="zh-CN"/>
                    </w:rPr>
                    <w:t>20</w:t>
                  </w:r>
                  <w:r>
                    <w:rPr>
                      <w:rFonts w:hint="eastAsia"/>
                      <w:color w:val="auto"/>
                      <w:szCs w:val="21"/>
                    </w:rPr>
                    <w:t>0m</w:t>
                  </w:r>
                  <w:r>
                    <w:rPr>
                      <w:rFonts w:hint="eastAsia"/>
                      <w:color w:val="auto"/>
                      <w:szCs w:val="21"/>
                      <w:vertAlign w:val="superscript"/>
                    </w:rPr>
                    <w:t>2</w:t>
                  </w:r>
                  <w:r>
                    <w:rPr>
                      <w:rFonts w:hint="eastAsia"/>
                      <w:color w:val="auto"/>
                      <w:szCs w:val="21"/>
                    </w:rPr>
                    <w:t>）</w:t>
                  </w:r>
                </w:p>
              </w:tc>
              <w:tc>
                <w:tcPr>
                  <w:tcW w:w="1307" w:type="dxa"/>
                  <w:vMerge w:val="restart"/>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65" w:type="dxa"/>
                  <w:vMerge w:val="continue"/>
                  <w:noWrap w:val="0"/>
                  <w:vAlign w:val="center"/>
                </w:tcPr>
                <w:p>
                  <w:pPr>
                    <w:spacing w:line="240" w:lineRule="auto"/>
                    <w:jc w:val="left"/>
                    <w:rPr>
                      <w:color w:val="auto"/>
                    </w:rPr>
                  </w:pPr>
                </w:p>
              </w:tc>
              <w:tc>
                <w:tcPr>
                  <w:tcW w:w="1588" w:type="dxa"/>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4827" w:type="dxa"/>
                  <w:noWrap w:val="0"/>
                  <w:vAlign w:val="center"/>
                </w:tcPr>
                <w:p>
                  <w:pPr>
                    <w:spacing w:line="240" w:lineRule="auto"/>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危险废物暂存间</w:t>
                  </w:r>
                  <w:r>
                    <w:rPr>
                      <w:rFonts w:hint="eastAsia"/>
                      <w:color w:val="auto"/>
                      <w:szCs w:val="21"/>
                    </w:rPr>
                    <w:t>（</w:t>
                  </w:r>
                  <w:r>
                    <w:rPr>
                      <w:rFonts w:hint="eastAsia"/>
                      <w:color w:val="auto"/>
                      <w:szCs w:val="21"/>
                      <w:lang w:val="en-US" w:eastAsia="zh-CN"/>
                    </w:rPr>
                    <w:t>3</w:t>
                  </w:r>
                  <w:r>
                    <w:rPr>
                      <w:rFonts w:hint="eastAsia"/>
                      <w:color w:val="auto"/>
                      <w:szCs w:val="21"/>
                    </w:rPr>
                    <w:t>0m</w:t>
                  </w:r>
                  <w:r>
                    <w:rPr>
                      <w:rFonts w:hint="eastAsia"/>
                      <w:color w:val="auto"/>
                      <w:szCs w:val="21"/>
                      <w:vertAlign w:val="superscript"/>
                    </w:rPr>
                    <w:t>2</w:t>
                  </w:r>
                  <w:r>
                    <w:rPr>
                      <w:rFonts w:hint="eastAsia"/>
                      <w:color w:val="auto"/>
                      <w:szCs w:val="21"/>
                    </w:rPr>
                    <w:t>）</w:t>
                  </w:r>
                </w:p>
              </w:tc>
              <w:tc>
                <w:tcPr>
                  <w:tcW w:w="1307" w:type="dxa"/>
                  <w:vMerge w:val="continue"/>
                  <w:noWrap w:val="0"/>
                  <w:vAlign w:val="center"/>
                </w:tcPr>
                <w:p>
                  <w:pPr>
                    <w:spacing w:line="240" w:lineRule="auto"/>
                    <w:jc w:val="left"/>
                    <w:rPr>
                      <w:rFonts w:hint="eastAsia"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地下水、土壤、防渗</w:t>
                  </w:r>
                </w:p>
              </w:tc>
              <w:tc>
                <w:tcPr>
                  <w:tcW w:w="4827" w:type="dxa"/>
                  <w:noWrap w:val="0"/>
                  <w:vAlign w:val="center"/>
                </w:tcPr>
                <w:p>
                  <w:pPr>
                    <w:widowControl w:val="0"/>
                    <w:spacing w:line="240" w:lineRule="auto"/>
                    <w:jc w:val="left"/>
                    <w:rPr>
                      <w:rFonts w:ascii="Times New Roman" w:hAnsi="Times New Roman" w:eastAsia="宋体" w:cs="Times New Roman"/>
                      <w:color w:val="auto"/>
                      <w:kern w:val="0"/>
                      <w:sz w:val="21"/>
                      <w:szCs w:val="21"/>
                      <w:lang w:val="en-US" w:eastAsia="zh-CN" w:bidi="ar-SA"/>
                    </w:rPr>
                  </w:pPr>
                  <w:r>
                    <w:rPr>
                      <w:rFonts w:hint="eastAsia" w:ascii="宋体" w:hAnsi="宋体" w:cs="宋体"/>
                      <w:color w:val="auto"/>
                      <w:szCs w:val="21"/>
                    </w:rPr>
                    <w:t>危废暂存间、漆料存储间、喷漆</w:t>
                  </w:r>
                  <w:r>
                    <w:rPr>
                      <w:rFonts w:hint="eastAsia" w:ascii="宋体" w:hAnsi="宋体" w:cs="宋体"/>
                      <w:color w:val="auto"/>
                      <w:szCs w:val="21"/>
                      <w:lang w:val="en-US" w:eastAsia="zh-CN"/>
                    </w:rPr>
                    <w:t>及</w:t>
                  </w:r>
                  <w:r>
                    <w:rPr>
                      <w:rFonts w:hint="eastAsia" w:ascii="宋体" w:hAnsi="宋体" w:cs="宋体"/>
                      <w:color w:val="auto"/>
                      <w:szCs w:val="21"/>
                    </w:rPr>
                    <w:t>晾干房、机油存储间、事故池</w:t>
                  </w:r>
                  <w:r>
                    <w:rPr>
                      <w:rFonts w:hint="eastAsia" w:ascii="宋体" w:hAnsi="宋体" w:cs="宋体"/>
                      <w:color w:val="auto"/>
                      <w:szCs w:val="21"/>
                      <w:lang w:eastAsia="zh-CN"/>
                    </w:rPr>
                    <w:t>、</w:t>
                  </w:r>
                  <w:r>
                    <w:rPr>
                      <w:rFonts w:hint="eastAsia" w:ascii="宋体" w:hAnsi="宋体" w:cs="宋体"/>
                      <w:color w:val="auto"/>
                      <w:szCs w:val="21"/>
                      <w:lang w:val="en-US" w:eastAsia="zh-CN"/>
                    </w:rPr>
                    <w:t>化粪池</w:t>
                  </w:r>
                  <w:r>
                    <w:rPr>
                      <w:rFonts w:hint="eastAsia" w:ascii="宋体" w:hAnsi="宋体" w:cs="宋体"/>
                      <w:color w:val="auto"/>
                      <w:szCs w:val="21"/>
                    </w:rPr>
                    <w:t>等进行重点防渗</w:t>
                  </w:r>
                  <w:r>
                    <w:rPr>
                      <w:rFonts w:hint="eastAsia" w:ascii="Times New Roman" w:hAnsi="Times New Roman" w:eastAsia="宋体" w:cs="Times New Roman"/>
                      <w:color w:val="auto"/>
                      <w:kern w:val="2"/>
                      <w:sz w:val="21"/>
                      <w:szCs w:val="21"/>
                      <w:lang w:val="en-US" w:eastAsia="zh-CN" w:bidi="ar-SA"/>
                    </w:rPr>
                    <w:t>；</w:t>
                  </w:r>
                  <w:r>
                    <w:rPr>
                      <w:rFonts w:hint="eastAsia" w:ascii="宋体" w:hAnsi="宋体" w:cs="宋体"/>
                      <w:color w:val="auto"/>
                      <w:szCs w:val="21"/>
                    </w:rPr>
                    <w:t>重点防渗区外的生产车间属于一般防渗区，进行简单防渗</w:t>
                  </w:r>
                </w:p>
              </w:tc>
              <w:tc>
                <w:tcPr>
                  <w:tcW w:w="1307" w:type="dxa"/>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50</w:t>
                  </w:r>
                  <w:r>
                    <w:rPr>
                      <w:rFonts w:hint="eastAsia"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风险</w:t>
                  </w:r>
                </w:p>
              </w:tc>
              <w:tc>
                <w:tcPr>
                  <w:tcW w:w="4827" w:type="dxa"/>
                  <w:noWrap w:val="0"/>
                  <w:vAlign w:val="center"/>
                </w:tcPr>
                <w:p>
                  <w:pPr>
                    <w:spacing w:line="240" w:lineRule="auto"/>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应急预案、消防器材</w:t>
                  </w:r>
                </w:p>
              </w:tc>
              <w:tc>
                <w:tcPr>
                  <w:tcW w:w="1307" w:type="dxa"/>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w:t>
                  </w:r>
                  <w:r>
                    <w:rPr>
                      <w:rFonts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noWrap w:val="0"/>
                  <w:vAlign w:val="center"/>
                </w:tcPr>
                <w:p>
                  <w:pPr>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环境管理与监测</w:t>
                  </w:r>
                </w:p>
              </w:tc>
              <w:tc>
                <w:tcPr>
                  <w:tcW w:w="4827" w:type="dxa"/>
                  <w:noWrap w:val="0"/>
                  <w:vAlign w:val="center"/>
                </w:tcPr>
                <w:p>
                  <w:pPr>
                    <w:spacing w:line="240" w:lineRule="auto"/>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应急预案、</w:t>
                  </w:r>
                  <w:r>
                    <w:rPr>
                      <w:rFonts w:hint="eastAsia" w:ascii="Times New Roman" w:hAnsi="Times New Roman" w:eastAsia="宋体" w:cs="Times New Roman"/>
                      <w:color w:val="auto"/>
                      <w:sz w:val="21"/>
                      <w:szCs w:val="21"/>
                    </w:rPr>
                    <w:t>定期演练</w:t>
                  </w:r>
                </w:p>
              </w:tc>
              <w:tc>
                <w:tcPr>
                  <w:tcW w:w="1307" w:type="dxa"/>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r>
                    <w:rPr>
                      <w:rFonts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0" w:type="dxa"/>
                  <w:gridSpan w:val="3"/>
                  <w:noWrap w:val="0"/>
                  <w:vAlign w:val="center"/>
                </w:tcPr>
                <w:p>
                  <w:pPr>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总计</w:t>
                  </w:r>
                </w:p>
              </w:tc>
              <w:tc>
                <w:tcPr>
                  <w:tcW w:w="130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167</w:t>
                  </w:r>
                </w:p>
              </w:tc>
            </w:tr>
          </w:tbl>
          <w:p>
            <w:pPr>
              <w:spacing w:line="360" w:lineRule="auto"/>
              <w:ind w:firstLine="480" w:firstLineChars="200"/>
              <w:rPr>
                <w:rFonts w:hint="eastAsia" w:cs="Times New Roman"/>
                <w:color w:val="auto"/>
                <w:sz w:val="24"/>
                <w:szCs w:val="24"/>
                <w:lang w:val="en-US" w:eastAsia="zh-CN"/>
              </w:rPr>
            </w:pPr>
          </w:p>
          <w:p>
            <w:pPr>
              <w:spacing w:line="360" w:lineRule="auto"/>
              <w:rPr>
                <w:rFonts w:hint="eastAsia" w:ascii="宋体" w:hAnsi="宋体" w:eastAsia="宋体" w:cs="宋体"/>
                <w:color w:val="auto"/>
                <w:sz w:val="24"/>
                <w:lang w:val="en-US" w:eastAsia="zh-CN"/>
              </w:rPr>
            </w:pPr>
          </w:p>
        </w:tc>
      </w:tr>
    </w:tbl>
    <w:p>
      <w:pPr>
        <w:jc w:val="center"/>
        <w:outlineLvl w:val="0"/>
        <w:rPr>
          <w:rFonts w:hint="eastAsia" w:ascii="黑体" w:hAnsi="黑体" w:eastAsia="黑体" w:cs="Times New Roman"/>
          <w:snapToGrid w:val="0"/>
          <w:color w:val="auto"/>
          <w:kern w:val="0"/>
          <w:sz w:val="30"/>
          <w:szCs w:val="30"/>
          <w:lang w:val="en-US" w:eastAsia="zh-CN" w:bidi="ar-SA"/>
        </w:rPr>
      </w:pPr>
      <w:r>
        <w:rPr>
          <w:rFonts w:hint="eastAsia" w:ascii="黑体" w:hAnsi="黑体" w:eastAsia="黑体"/>
          <w:snapToGrid w:val="0"/>
          <w:color w:val="auto"/>
          <w:sz w:val="30"/>
          <w:szCs w:val="30"/>
        </w:rPr>
        <w:br w:type="page"/>
      </w:r>
      <w:r>
        <w:rPr>
          <w:rFonts w:hint="eastAsia" w:ascii="黑体" w:hAnsi="黑体" w:eastAsia="黑体" w:cs="Times New Roman"/>
          <w:snapToGrid w:val="0"/>
          <w:color w:val="auto"/>
          <w:kern w:val="0"/>
          <w:sz w:val="30"/>
          <w:szCs w:val="30"/>
          <w:lang w:val="en-US" w:eastAsia="zh-CN" w:bidi="ar-SA"/>
        </w:rPr>
        <w:t>五、</w:t>
      </w:r>
      <w:bookmarkStart w:id="3" w:name="_Hlk54167917"/>
      <w:r>
        <w:rPr>
          <w:rFonts w:hint="eastAsia" w:ascii="黑体" w:hAnsi="黑体" w:eastAsia="黑体" w:cs="Times New Roman"/>
          <w:snapToGrid w:val="0"/>
          <w:color w:val="auto"/>
          <w:kern w:val="0"/>
          <w:sz w:val="30"/>
          <w:szCs w:val="30"/>
          <w:lang w:val="en-US" w:eastAsia="zh-CN" w:bidi="ar-SA"/>
        </w:rPr>
        <w:t>环境保护措施监督检查清单</w:t>
      </w:r>
      <w:bookmarkEnd w:id="3"/>
    </w:p>
    <w:tbl>
      <w:tblPr>
        <w:tblStyle w:val="34"/>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96"/>
        <w:gridCol w:w="902"/>
        <w:gridCol w:w="1167"/>
        <w:gridCol w:w="1883"/>
        <w:gridCol w:w="2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4" w:type="dxa"/>
            <w:tcBorders>
              <w:tl2br w:val="single" w:color="auto" w:sz="4" w:space="0"/>
            </w:tcBorders>
          </w:tcPr>
          <w:p>
            <w:pPr>
              <w:adjustRightInd w:val="0"/>
              <w:snapToGrid w:val="0"/>
              <w:ind w:firstLine="420" w:firstLineChars="200"/>
              <w:rPr>
                <w:rFonts w:ascii="宋体" w:hAnsi="宋体" w:cs="宋体"/>
                <w:b w:val="0"/>
                <w:bCs w:val="0"/>
                <w:color w:val="auto"/>
                <w:szCs w:val="21"/>
              </w:rPr>
            </w:pPr>
            <w:r>
              <w:rPr>
                <w:rFonts w:hint="eastAsia" w:ascii="宋体" w:hAnsi="宋体" w:cs="宋体"/>
                <w:b w:val="0"/>
                <w:bCs w:val="0"/>
                <w:color w:val="auto"/>
                <w:szCs w:val="21"/>
              </w:rPr>
              <w:t>内容</w:t>
            </w:r>
          </w:p>
          <w:p>
            <w:pPr>
              <w:adjustRightInd w:val="0"/>
              <w:snapToGrid w:val="0"/>
              <w:rPr>
                <w:rFonts w:ascii="宋体" w:hAnsi="宋体" w:cs="宋体"/>
                <w:b w:val="0"/>
                <w:bCs w:val="0"/>
                <w:color w:val="auto"/>
                <w:szCs w:val="21"/>
              </w:rPr>
            </w:pPr>
            <w:r>
              <w:rPr>
                <w:rFonts w:hint="eastAsia" w:ascii="宋体" w:hAnsi="宋体" w:cs="宋体"/>
                <w:b w:val="0"/>
                <w:bCs w:val="0"/>
                <w:color w:val="auto"/>
                <w:szCs w:val="21"/>
              </w:rPr>
              <w:t>要素</w:t>
            </w:r>
          </w:p>
        </w:tc>
        <w:tc>
          <w:tcPr>
            <w:tcW w:w="1998" w:type="dxa"/>
            <w:gridSpan w:val="2"/>
            <w:vAlign w:val="center"/>
          </w:tcPr>
          <w:p>
            <w:pPr>
              <w:adjustRightInd w:val="0"/>
              <w:snapToGrid w:val="0"/>
              <w:jc w:val="center"/>
              <w:rPr>
                <w:rFonts w:ascii="宋体" w:hAnsi="宋体" w:cs="宋体"/>
                <w:b w:val="0"/>
                <w:bCs w:val="0"/>
                <w:color w:val="auto"/>
                <w:szCs w:val="21"/>
              </w:rPr>
            </w:pPr>
            <w:r>
              <w:rPr>
                <w:rFonts w:hint="eastAsia" w:ascii="宋体" w:hAnsi="宋体" w:cs="宋体"/>
                <w:b w:val="0"/>
                <w:bCs w:val="0"/>
                <w:color w:val="auto"/>
                <w:szCs w:val="21"/>
              </w:rPr>
              <w:t>排放口(编号、</w:t>
            </w:r>
          </w:p>
          <w:p>
            <w:pPr>
              <w:adjustRightInd w:val="0"/>
              <w:snapToGrid w:val="0"/>
              <w:jc w:val="center"/>
              <w:rPr>
                <w:rFonts w:ascii="宋体" w:hAnsi="宋体" w:cs="宋体"/>
                <w:b w:val="0"/>
                <w:bCs w:val="0"/>
                <w:color w:val="auto"/>
                <w:szCs w:val="21"/>
              </w:rPr>
            </w:pPr>
            <w:r>
              <w:rPr>
                <w:rFonts w:hint="eastAsia" w:ascii="宋体" w:hAnsi="宋体" w:cs="宋体"/>
                <w:b w:val="0"/>
                <w:bCs w:val="0"/>
                <w:color w:val="auto"/>
                <w:szCs w:val="21"/>
              </w:rPr>
              <w:t>名称)/污染源</w:t>
            </w:r>
          </w:p>
        </w:tc>
        <w:tc>
          <w:tcPr>
            <w:tcW w:w="1167" w:type="dxa"/>
            <w:vAlign w:val="center"/>
          </w:tcPr>
          <w:p>
            <w:pPr>
              <w:adjustRightInd w:val="0"/>
              <w:snapToGrid w:val="0"/>
              <w:jc w:val="center"/>
              <w:rPr>
                <w:rFonts w:ascii="宋体" w:hAnsi="宋体" w:cs="宋体"/>
                <w:b w:val="0"/>
                <w:bCs w:val="0"/>
                <w:color w:val="auto"/>
                <w:szCs w:val="21"/>
              </w:rPr>
            </w:pPr>
            <w:r>
              <w:rPr>
                <w:rFonts w:hint="eastAsia" w:ascii="宋体" w:hAnsi="宋体" w:cs="宋体"/>
                <w:b w:val="0"/>
                <w:bCs w:val="0"/>
                <w:color w:val="auto"/>
                <w:szCs w:val="21"/>
              </w:rPr>
              <w:t>污染物</w:t>
            </w:r>
          </w:p>
          <w:p>
            <w:pPr>
              <w:adjustRightInd w:val="0"/>
              <w:snapToGrid w:val="0"/>
              <w:jc w:val="center"/>
              <w:rPr>
                <w:rFonts w:ascii="宋体" w:hAnsi="宋体" w:cs="宋体"/>
                <w:b w:val="0"/>
                <w:bCs w:val="0"/>
                <w:color w:val="auto"/>
                <w:szCs w:val="21"/>
              </w:rPr>
            </w:pPr>
            <w:r>
              <w:rPr>
                <w:rFonts w:hint="eastAsia" w:ascii="宋体" w:hAnsi="宋体" w:cs="宋体"/>
                <w:b w:val="0"/>
                <w:bCs w:val="0"/>
                <w:color w:val="auto"/>
                <w:szCs w:val="21"/>
              </w:rPr>
              <w:t>项目</w:t>
            </w:r>
          </w:p>
        </w:tc>
        <w:tc>
          <w:tcPr>
            <w:tcW w:w="1883" w:type="dxa"/>
            <w:vAlign w:val="center"/>
          </w:tcPr>
          <w:p>
            <w:pPr>
              <w:adjustRightInd w:val="0"/>
              <w:snapToGrid w:val="0"/>
              <w:jc w:val="center"/>
              <w:rPr>
                <w:rFonts w:ascii="宋体" w:hAnsi="宋体" w:cs="宋体"/>
                <w:b w:val="0"/>
                <w:bCs w:val="0"/>
                <w:color w:val="auto"/>
                <w:szCs w:val="21"/>
              </w:rPr>
            </w:pPr>
            <w:r>
              <w:rPr>
                <w:rFonts w:hint="eastAsia" w:ascii="宋体" w:hAnsi="宋体" w:cs="宋体"/>
                <w:b w:val="0"/>
                <w:bCs w:val="0"/>
                <w:color w:val="auto"/>
                <w:szCs w:val="21"/>
              </w:rPr>
              <w:t>环境保护措施</w:t>
            </w:r>
          </w:p>
        </w:tc>
        <w:tc>
          <w:tcPr>
            <w:tcW w:w="2528" w:type="dxa"/>
            <w:vAlign w:val="center"/>
          </w:tcPr>
          <w:p>
            <w:pPr>
              <w:adjustRightInd w:val="0"/>
              <w:snapToGrid w:val="0"/>
              <w:jc w:val="center"/>
              <w:rPr>
                <w:rFonts w:ascii="宋体" w:hAnsi="宋体" w:cs="宋体"/>
                <w:b w:val="0"/>
                <w:bCs w:val="0"/>
                <w:color w:val="auto"/>
                <w:szCs w:val="21"/>
              </w:rPr>
            </w:pPr>
            <w:r>
              <w:rPr>
                <w:rFonts w:hint="eastAsia" w:ascii="宋体" w:hAnsi="宋体" w:cs="宋体"/>
                <w:b w:val="0"/>
                <w:bCs w:val="0"/>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24"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1096" w:type="dxa"/>
            <w:tcBorders>
              <w:bottom w:val="single" w:color="auto" w:sz="4" w:space="0"/>
            </w:tcBorders>
            <w:vAlign w:val="center"/>
          </w:tcPr>
          <w:p>
            <w:pPr>
              <w:ind w:left="-105" w:leftChars="-50" w:right="-105" w:rightChars="-50"/>
              <w:rPr>
                <w:rFonts w:hint="default" w:ascii="Times New Roman" w:hAnsi="Times New Roman" w:eastAsia="宋体" w:cs="Times New Roman"/>
                <w:color w:val="auto"/>
                <w:kern w:val="0"/>
                <w:sz w:val="21"/>
                <w:szCs w:val="21"/>
                <w:lang w:val="en-US" w:eastAsia="zh-CN" w:bidi="ar"/>
              </w:rPr>
            </w:pPr>
            <w:r>
              <w:rPr>
                <w:color w:val="auto"/>
                <w:kern w:val="0"/>
                <w:szCs w:val="21"/>
                <w:lang w:bidi="ar"/>
              </w:rPr>
              <w:t>DA001</w:t>
            </w:r>
            <w:r>
              <w:rPr>
                <w:rFonts w:hint="eastAsia" w:ascii="宋体" w:hAnsi="宋体" w:cs="宋体"/>
                <w:color w:val="auto"/>
                <w:szCs w:val="21"/>
              </w:rPr>
              <w:t>/切割下料车间粉尘排放口</w:t>
            </w:r>
          </w:p>
        </w:tc>
        <w:tc>
          <w:tcPr>
            <w:tcW w:w="902" w:type="dxa"/>
            <w:tcBorders>
              <w:bottom w:val="single" w:color="auto" w:sz="4" w:space="0"/>
            </w:tcBorders>
            <w:vAlign w:val="center"/>
          </w:tcPr>
          <w:p>
            <w:pPr>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切割工段</w:t>
            </w:r>
          </w:p>
        </w:tc>
        <w:tc>
          <w:tcPr>
            <w:tcW w:w="1167" w:type="dxa"/>
            <w:tcBorders>
              <w:bottom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颗粒物</w:t>
            </w:r>
          </w:p>
        </w:tc>
        <w:tc>
          <w:tcPr>
            <w:tcW w:w="1883" w:type="dxa"/>
            <w:tcBorders>
              <w:bottom w:val="single" w:color="auto" w:sz="4" w:space="0"/>
            </w:tcBorders>
            <w:vAlign w:val="center"/>
          </w:tcPr>
          <w:p>
            <w:pPr>
              <w:adjustRightInd w:val="0"/>
              <w:snapToGrid w:val="0"/>
              <w:jc w:val="center"/>
              <w:rPr>
                <w:rStyle w:val="67"/>
                <w:rFonts w:hint="eastAsia" w:ascii="Times New Roman" w:hAnsi="Times New Roman" w:cs="Times New Roman"/>
                <w:color w:val="auto"/>
                <w:sz w:val="21"/>
                <w:szCs w:val="21"/>
                <w:lang w:val="en-US" w:eastAsia="zh-CN"/>
              </w:rPr>
            </w:pPr>
            <w:r>
              <w:rPr>
                <w:rStyle w:val="67"/>
                <w:rFonts w:hint="eastAsia" w:ascii="Times New Roman" w:hAnsi="Times New Roman" w:cs="Times New Roman"/>
                <w:color w:val="auto"/>
                <w:sz w:val="21"/>
                <w:szCs w:val="21"/>
              </w:rPr>
              <w:t>集气系统+布袋除尘器+不低于15m高排气筒</w:t>
            </w:r>
          </w:p>
        </w:tc>
        <w:tc>
          <w:tcPr>
            <w:tcW w:w="2528" w:type="dxa"/>
            <w:vMerge w:val="restart"/>
            <w:vAlign w:val="center"/>
          </w:tcPr>
          <w:p>
            <w:pPr>
              <w:adjustRightInd w:val="0"/>
              <w:snapToGrid w:val="0"/>
              <w:jc w:val="center"/>
              <w:rPr>
                <w:rFonts w:hint="default" w:ascii="Times New Roman" w:hAnsi="Times New Roman" w:cs="Times New Roman"/>
                <w:color w:val="auto"/>
                <w:szCs w:val="21"/>
              </w:rPr>
            </w:pPr>
            <w:r>
              <w:rPr>
                <w:rStyle w:val="67"/>
                <w:rFonts w:hint="default" w:ascii="Times New Roman" w:hAnsi="Times New Roman" w:cs="Times New Roman"/>
                <w:color w:val="auto"/>
                <w:sz w:val="21"/>
                <w:szCs w:val="21"/>
              </w:rPr>
              <w:t>《大气污染物综合排放标准》（GB16297-1996）；《挥发性有机物无组织控制排放标准》（GB37822-2019）附录A中“表A.1中限值-特别排放限值”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24" w:type="dxa"/>
            <w:vMerge w:val="continue"/>
            <w:vAlign w:val="center"/>
          </w:tcPr>
          <w:p>
            <w:pPr>
              <w:adjustRightInd w:val="0"/>
              <w:snapToGrid w:val="0"/>
              <w:jc w:val="center"/>
              <w:rPr>
                <w:rFonts w:hint="default" w:ascii="Times New Roman" w:hAnsi="Times New Roman" w:cs="Times New Roman"/>
                <w:color w:val="auto"/>
                <w:szCs w:val="21"/>
              </w:rPr>
            </w:pPr>
          </w:p>
        </w:tc>
        <w:tc>
          <w:tcPr>
            <w:tcW w:w="1096" w:type="dxa"/>
            <w:tcBorders>
              <w:top w:val="single" w:color="auto" w:sz="4" w:space="0"/>
              <w:bottom w:val="single" w:color="auto" w:sz="4" w:space="0"/>
            </w:tcBorders>
            <w:vAlign w:val="center"/>
          </w:tcPr>
          <w:p>
            <w:pPr>
              <w:ind w:left="-105" w:leftChars="-50" w:right="-105" w:rightChars="-50"/>
              <w:rPr>
                <w:rFonts w:hint="eastAsia" w:cs="Times New Roman"/>
                <w:color w:val="auto"/>
                <w:kern w:val="0"/>
                <w:szCs w:val="21"/>
                <w:lang w:eastAsia="zh-CN" w:bidi="ar"/>
              </w:rPr>
            </w:pPr>
            <w:r>
              <w:rPr>
                <w:color w:val="auto"/>
                <w:kern w:val="0"/>
                <w:szCs w:val="21"/>
                <w:lang w:bidi="ar"/>
              </w:rPr>
              <w:t>DA00</w:t>
            </w:r>
            <w:r>
              <w:rPr>
                <w:rFonts w:hint="eastAsia"/>
                <w:color w:val="auto"/>
                <w:kern w:val="0"/>
                <w:szCs w:val="21"/>
                <w:lang w:bidi="ar"/>
              </w:rPr>
              <w:t>2</w:t>
            </w:r>
            <w:r>
              <w:rPr>
                <w:rFonts w:hint="eastAsia" w:ascii="宋体" w:hAnsi="宋体" w:cs="宋体"/>
                <w:color w:val="auto"/>
                <w:szCs w:val="21"/>
              </w:rPr>
              <w:t>/焊接车间粉尘排放口</w:t>
            </w:r>
          </w:p>
        </w:tc>
        <w:tc>
          <w:tcPr>
            <w:tcW w:w="902" w:type="dxa"/>
            <w:tcBorders>
              <w:top w:val="single" w:color="auto" w:sz="4" w:space="0"/>
              <w:bottom w:val="single" w:color="auto" w:sz="4" w:space="0"/>
            </w:tcBorders>
            <w:vAlign w:val="center"/>
          </w:tcPr>
          <w:p>
            <w:pPr>
              <w:ind w:left="-105" w:leftChars="-50" w:right="-105" w:rightChars="-50"/>
              <w:jc w:val="center"/>
              <w:rPr>
                <w:rFonts w:hint="default" w:ascii="Times New Roman" w:hAnsi="Times New Roman" w:cs="Times New Roman"/>
                <w:color w:val="auto"/>
                <w:szCs w:val="21"/>
              </w:rPr>
            </w:pPr>
            <w:r>
              <w:rPr>
                <w:rFonts w:hint="eastAsia" w:ascii="宋体" w:hAnsi="宋体" w:cs="宋体"/>
                <w:color w:val="auto"/>
                <w:szCs w:val="21"/>
              </w:rPr>
              <w:t>焊接工段</w:t>
            </w:r>
          </w:p>
        </w:tc>
        <w:tc>
          <w:tcPr>
            <w:tcW w:w="1167"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宋体" w:hAnsi="宋体" w:cs="宋体"/>
                <w:color w:val="auto"/>
                <w:szCs w:val="21"/>
              </w:rPr>
              <w:t>颗粒物</w:t>
            </w:r>
          </w:p>
        </w:tc>
        <w:tc>
          <w:tcPr>
            <w:tcW w:w="1883" w:type="dxa"/>
            <w:tcBorders>
              <w:top w:val="single" w:color="auto" w:sz="4" w:space="0"/>
              <w:bottom w:val="single" w:color="auto" w:sz="4" w:space="0"/>
            </w:tcBorders>
            <w:vAlign w:val="center"/>
          </w:tcPr>
          <w:p>
            <w:pPr>
              <w:adjustRightInd w:val="0"/>
              <w:snapToGrid w:val="0"/>
              <w:jc w:val="center"/>
              <w:rPr>
                <w:rStyle w:val="67"/>
                <w:rFonts w:hint="eastAsia" w:ascii="Times New Roman" w:hAnsi="Times New Roman" w:cs="Times New Roman"/>
                <w:color w:val="auto"/>
                <w:sz w:val="21"/>
                <w:szCs w:val="21"/>
              </w:rPr>
            </w:pPr>
            <w:r>
              <w:rPr>
                <w:rStyle w:val="67"/>
                <w:rFonts w:hint="eastAsia" w:ascii="Times New Roman" w:hAnsi="Times New Roman" w:cs="Times New Roman"/>
                <w:color w:val="auto"/>
                <w:sz w:val="21"/>
                <w:szCs w:val="21"/>
              </w:rPr>
              <w:t>集气系统+布袋除尘器+不低于15m高排气筒</w:t>
            </w:r>
          </w:p>
        </w:tc>
        <w:tc>
          <w:tcPr>
            <w:tcW w:w="2528" w:type="dxa"/>
            <w:vMerge w:val="continue"/>
            <w:vAlign w:val="center"/>
          </w:tcPr>
          <w:p>
            <w:pPr>
              <w:adjustRightInd w:val="0"/>
              <w:snapToGrid w:val="0"/>
              <w:jc w:val="center"/>
              <w:rPr>
                <w:rStyle w:val="67"/>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4" w:type="dxa"/>
            <w:vMerge w:val="continue"/>
            <w:vAlign w:val="center"/>
          </w:tcPr>
          <w:p>
            <w:pPr>
              <w:adjustRightInd w:val="0"/>
              <w:snapToGrid w:val="0"/>
              <w:jc w:val="center"/>
              <w:rPr>
                <w:rFonts w:hint="default" w:ascii="Times New Roman" w:hAnsi="Times New Roman" w:cs="Times New Roman"/>
                <w:color w:val="auto"/>
                <w:szCs w:val="21"/>
              </w:rPr>
            </w:pPr>
          </w:p>
        </w:tc>
        <w:tc>
          <w:tcPr>
            <w:tcW w:w="1096" w:type="dxa"/>
            <w:tcBorders>
              <w:top w:val="single" w:color="auto" w:sz="4" w:space="0"/>
              <w:bottom w:val="single" w:color="auto" w:sz="4" w:space="0"/>
            </w:tcBorders>
            <w:vAlign w:val="center"/>
          </w:tcPr>
          <w:p>
            <w:pPr>
              <w:ind w:left="-105" w:leftChars="-50" w:right="-105" w:rightChars="-50"/>
              <w:rPr>
                <w:rFonts w:hint="eastAsia" w:cs="Times New Roman"/>
                <w:color w:val="auto"/>
                <w:kern w:val="0"/>
                <w:szCs w:val="21"/>
                <w:lang w:eastAsia="zh-CN" w:bidi="ar"/>
              </w:rPr>
            </w:pPr>
            <w:r>
              <w:rPr>
                <w:color w:val="auto"/>
                <w:kern w:val="0"/>
                <w:szCs w:val="21"/>
                <w:lang w:bidi="ar"/>
              </w:rPr>
              <w:t>DA00</w:t>
            </w:r>
            <w:r>
              <w:rPr>
                <w:rFonts w:hint="eastAsia"/>
                <w:color w:val="auto"/>
                <w:kern w:val="0"/>
                <w:szCs w:val="21"/>
                <w:lang w:bidi="ar"/>
              </w:rPr>
              <w:t>3</w:t>
            </w:r>
            <w:r>
              <w:rPr>
                <w:rFonts w:hint="eastAsia" w:ascii="宋体" w:hAnsi="宋体" w:cs="宋体"/>
                <w:color w:val="auto"/>
                <w:szCs w:val="21"/>
              </w:rPr>
              <w:t>/</w:t>
            </w:r>
            <w:r>
              <w:rPr>
                <w:rFonts w:hint="eastAsia" w:ascii="宋体" w:hAnsi="宋体" w:cs="宋体"/>
                <w:color w:val="auto"/>
                <w:szCs w:val="21"/>
                <w:lang w:eastAsia="zh-CN"/>
              </w:rPr>
              <w:t>抛丸</w:t>
            </w:r>
            <w:r>
              <w:rPr>
                <w:rFonts w:hint="eastAsia" w:ascii="宋体" w:hAnsi="宋体" w:cs="宋体"/>
                <w:color w:val="auto"/>
                <w:szCs w:val="21"/>
              </w:rPr>
              <w:t>车间粉尘排放口</w:t>
            </w:r>
          </w:p>
        </w:tc>
        <w:tc>
          <w:tcPr>
            <w:tcW w:w="902" w:type="dxa"/>
            <w:tcBorders>
              <w:top w:val="single" w:color="auto" w:sz="4" w:space="0"/>
              <w:bottom w:val="single" w:color="auto" w:sz="4" w:space="0"/>
            </w:tcBorders>
            <w:vAlign w:val="center"/>
          </w:tcPr>
          <w:p>
            <w:pPr>
              <w:ind w:left="-105" w:leftChars="-50" w:right="-105" w:rightChars="-50"/>
              <w:jc w:val="center"/>
              <w:rPr>
                <w:rFonts w:hint="default" w:ascii="Times New Roman" w:hAnsi="Times New Roman" w:cs="Times New Roman"/>
                <w:color w:val="auto"/>
                <w:szCs w:val="21"/>
              </w:rPr>
            </w:pPr>
            <w:r>
              <w:rPr>
                <w:rFonts w:hint="eastAsia" w:ascii="宋体" w:hAnsi="宋体" w:cs="宋体"/>
                <w:color w:val="auto"/>
                <w:szCs w:val="21"/>
                <w:lang w:eastAsia="zh-CN"/>
              </w:rPr>
              <w:t>抛丸</w:t>
            </w:r>
            <w:r>
              <w:rPr>
                <w:rFonts w:hint="eastAsia" w:ascii="宋体" w:hAnsi="宋体" w:cs="宋体"/>
                <w:color w:val="auto"/>
                <w:szCs w:val="21"/>
              </w:rPr>
              <w:t>工段</w:t>
            </w:r>
          </w:p>
        </w:tc>
        <w:tc>
          <w:tcPr>
            <w:tcW w:w="1167"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宋体" w:hAnsi="宋体" w:cs="宋体"/>
                <w:color w:val="auto"/>
                <w:szCs w:val="21"/>
              </w:rPr>
              <w:t>颗粒物</w:t>
            </w:r>
          </w:p>
        </w:tc>
        <w:tc>
          <w:tcPr>
            <w:tcW w:w="1883" w:type="dxa"/>
            <w:tcBorders>
              <w:top w:val="single" w:color="auto" w:sz="4" w:space="0"/>
              <w:bottom w:val="single" w:color="auto" w:sz="4" w:space="0"/>
            </w:tcBorders>
            <w:vAlign w:val="center"/>
          </w:tcPr>
          <w:p>
            <w:pPr>
              <w:adjustRightInd w:val="0"/>
              <w:snapToGrid w:val="0"/>
              <w:jc w:val="center"/>
              <w:rPr>
                <w:rStyle w:val="67"/>
                <w:rFonts w:hint="eastAsia" w:ascii="Times New Roman" w:hAnsi="Times New Roman" w:cs="Times New Roman"/>
                <w:color w:val="auto"/>
                <w:sz w:val="21"/>
                <w:szCs w:val="21"/>
              </w:rPr>
            </w:pPr>
            <w:r>
              <w:rPr>
                <w:rStyle w:val="67"/>
                <w:rFonts w:hint="eastAsia" w:ascii="Times New Roman" w:hAnsi="Times New Roman" w:cs="Times New Roman"/>
                <w:color w:val="auto"/>
                <w:sz w:val="21"/>
                <w:szCs w:val="21"/>
              </w:rPr>
              <w:t>密闭</w:t>
            </w:r>
            <w:r>
              <w:rPr>
                <w:rStyle w:val="67"/>
                <w:rFonts w:hint="eastAsia" w:ascii="Times New Roman" w:hAnsi="Times New Roman" w:cs="Times New Roman"/>
                <w:color w:val="auto"/>
                <w:sz w:val="21"/>
                <w:szCs w:val="21"/>
                <w:lang w:val="en-US" w:eastAsia="zh-CN"/>
              </w:rPr>
              <w:t>抛丸机</w:t>
            </w:r>
            <w:r>
              <w:rPr>
                <w:rStyle w:val="67"/>
                <w:rFonts w:hint="eastAsia" w:ascii="Times New Roman" w:hAnsi="Times New Roman" w:cs="Times New Roman"/>
                <w:color w:val="auto"/>
                <w:sz w:val="21"/>
                <w:szCs w:val="21"/>
              </w:rPr>
              <w:t>、集气系统+布袋除尘器+不低于15m高排气筒</w:t>
            </w:r>
          </w:p>
        </w:tc>
        <w:tc>
          <w:tcPr>
            <w:tcW w:w="2528" w:type="dxa"/>
            <w:vMerge w:val="continue"/>
            <w:vAlign w:val="center"/>
          </w:tcPr>
          <w:p>
            <w:pPr>
              <w:adjustRightInd w:val="0"/>
              <w:snapToGrid w:val="0"/>
              <w:jc w:val="center"/>
              <w:rPr>
                <w:rStyle w:val="67"/>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1224" w:type="dxa"/>
            <w:vMerge w:val="continue"/>
            <w:vAlign w:val="center"/>
          </w:tcPr>
          <w:p>
            <w:pPr>
              <w:adjustRightInd w:val="0"/>
              <w:snapToGrid w:val="0"/>
              <w:jc w:val="center"/>
              <w:rPr>
                <w:rFonts w:hint="default" w:ascii="Times New Roman" w:hAnsi="Times New Roman" w:cs="Times New Roman"/>
                <w:color w:val="auto"/>
                <w:szCs w:val="21"/>
              </w:rPr>
            </w:pPr>
          </w:p>
        </w:tc>
        <w:tc>
          <w:tcPr>
            <w:tcW w:w="1096" w:type="dxa"/>
            <w:tcBorders>
              <w:top w:val="single" w:color="auto" w:sz="4" w:space="0"/>
            </w:tcBorders>
            <w:vAlign w:val="center"/>
          </w:tcPr>
          <w:p>
            <w:pPr>
              <w:ind w:left="-105" w:leftChars="-50" w:right="-105" w:rightChars="-50"/>
              <w:rPr>
                <w:rFonts w:hint="default" w:ascii="Times New Roman" w:hAnsi="Times New Roman" w:cs="Times New Roman"/>
                <w:color w:val="auto"/>
                <w:szCs w:val="21"/>
              </w:rPr>
            </w:pPr>
            <w:r>
              <w:rPr>
                <w:rFonts w:hint="eastAsia" w:cs="Times New Roman"/>
                <w:color w:val="auto"/>
                <w:kern w:val="0"/>
                <w:szCs w:val="21"/>
                <w:lang w:eastAsia="zh-CN" w:bidi="ar"/>
              </w:rPr>
              <w:t>DA00</w:t>
            </w:r>
            <w:r>
              <w:rPr>
                <w:rFonts w:hint="eastAsia" w:cs="Times New Roman"/>
                <w:color w:val="auto"/>
                <w:kern w:val="0"/>
                <w:szCs w:val="21"/>
                <w:lang w:val="en-US" w:eastAsia="zh-CN" w:bidi="ar"/>
              </w:rPr>
              <w:t>4</w:t>
            </w:r>
            <w:r>
              <w:rPr>
                <w:rFonts w:hint="default" w:ascii="Times New Roman" w:hAnsi="Times New Roman" w:cs="Times New Roman"/>
                <w:color w:val="auto"/>
                <w:szCs w:val="21"/>
              </w:rPr>
              <w:t>/喷漆、晾干废气排放口</w:t>
            </w:r>
          </w:p>
        </w:tc>
        <w:tc>
          <w:tcPr>
            <w:tcW w:w="902" w:type="dxa"/>
            <w:tcBorders>
              <w:top w:val="single" w:color="auto" w:sz="4" w:space="0"/>
            </w:tcBorders>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喷漆、晾干工段</w:t>
            </w:r>
          </w:p>
        </w:tc>
        <w:tc>
          <w:tcPr>
            <w:tcW w:w="1167" w:type="dxa"/>
            <w:tcBorders>
              <w:top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颗粒物、非甲烷总烃</w:t>
            </w:r>
          </w:p>
        </w:tc>
        <w:tc>
          <w:tcPr>
            <w:tcW w:w="1883" w:type="dxa"/>
            <w:tcBorders>
              <w:top w:val="single" w:color="auto" w:sz="4" w:space="0"/>
            </w:tcBorders>
            <w:vAlign w:val="center"/>
          </w:tcPr>
          <w:p>
            <w:pPr>
              <w:adjustRightInd w:val="0"/>
              <w:snapToGrid w:val="0"/>
              <w:jc w:val="center"/>
              <w:rPr>
                <w:rStyle w:val="67"/>
                <w:rFonts w:hint="eastAsia" w:ascii="Times New Roman" w:hAnsi="Times New Roman" w:cs="Times New Roman"/>
                <w:color w:val="auto"/>
                <w:sz w:val="21"/>
                <w:szCs w:val="21"/>
              </w:rPr>
            </w:pPr>
            <w:r>
              <w:rPr>
                <w:rStyle w:val="67"/>
                <w:rFonts w:hint="eastAsia" w:ascii="Times New Roman" w:hAnsi="Times New Roman" w:cs="Times New Roman"/>
                <w:color w:val="auto"/>
                <w:sz w:val="21"/>
                <w:szCs w:val="21"/>
              </w:rPr>
              <w:t>密闭喷漆、晾干房，过滤棉+二级活性炭（活性炭纤维+活性炭颗粒）吸附装置+不低于15m高排气筒</w:t>
            </w:r>
          </w:p>
        </w:tc>
        <w:tc>
          <w:tcPr>
            <w:tcW w:w="2528" w:type="dxa"/>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24" w:type="dxa"/>
            <w:vMerge w:val="continue"/>
            <w:vAlign w:val="center"/>
          </w:tcPr>
          <w:p>
            <w:pPr>
              <w:adjustRightInd w:val="0"/>
              <w:snapToGrid w:val="0"/>
              <w:jc w:val="center"/>
              <w:rPr>
                <w:rFonts w:hint="default" w:ascii="Times New Roman" w:hAnsi="Times New Roman" w:cs="Times New Roman"/>
                <w:color w:val="auto"/>
                <w:szCs w:val="21"/>
              </w:rPr>
            </w:pPr>
          </w:p>
        </w:tc>
        <w:tc>
          <w:tcPr>
            <w:tcW w:w="1096" w:type="dxa"/>
            <w:vAlign w:val="center"/>
          </w:tcPr>
          <w:p>
            <w:pPr>
              <w:ind w:left="-105" w:leftChars="-50" w:right="-105" w:rightChars="-50"/>
              <w:jc w:val="center"/>
              <w:rPr>
                <w:rFonts w:hint="default" w:ascii="Times New Roman" w:hAnsi="Times New Roman" w:eastAsia="宋体" w:cs="Times New Roman"/>
                <w:color w:val="auto"/>
                <w:kern w:val="0"/>
                <w:szCs w:val="21"/>
                <w:lang w:val="en-US" w:eastAsia="zh-CN" w:bidi="ar"/>
              </w:rPr>
            </w:pPr>
            <w:r>
              <w:rPr>
                <w:rFonts w:hint="default" w:ascii="Times New Roman" w:hAnsi="Times New Roman" w:cs="Times New Roman"/>
                <w:color w:val="auto"/>
                <w:kern w:val="0"/>
                <w:szCs w:val="21"/>
                <w:lang w:val="en-US" w:eastAsia="zh-CN" w:bidi="ar"/>
              </w:rPr>
              <w:t>无组织</w:t>
            </w:r>
          </w:p>
        </w:tc>
        <w:tc>
          <w:tcPr>
            <w:tcW w:w="902" w:type="dxa"/>
            <w:vAlign w:val="center"/>
          </w:tcPr>
          <w:p>
            <w:pPr>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车间</w:t>
            </w:r>
          </w:p>
        </w:tc>
        <w:tc>
          <w:tcPr>
            <w:tcW w:w="1167"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颗粒物、非甲烷总烃</w:t>
            </w:r>
          </w:p>
        </w:tc>
        <w:tc>
          <w:tcPr>
            <w:tcW w:w="1883"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密闭式喷漆房、晾干房，车间封闭，集气系统确保达到收集效率</w:t>
            </w:r>
          </w:p>
        </w:tc>
        <w:tc>
          <w:tcPr>
            <w:tcW w:w="2528" w:type="dxa"/>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24" w:type="dxa"/>
            <w:vAlign w:val="center"/>
          </w:tcPr>
          <w:p>
            <w:pPr>
              <w:adjustRightInd w:val="0"/>
              <w:snapToGrid w:val="0"/>
              <w:jc w:val="center"/>
              <w:rPr>
                <w:rFonts w:hint="default" w:ascii="Times New Roman" w:hAnsi="Times New Roman" w:cs="Times New Roman"/>
                <w:color w:val="auto"/>
                <w:szCs w:val="21"/>
              </w:rPr>
            </w:pPr>
            <w:bookmarkStart w:id="4" w:name="_GoBack" w:colFirst="4" w:colLast="5"/>
            <w:r>
              <w:rPr>
                <w:rFonts w:hint="default" w:ascii="Times New Roman" w:hAnsi="Times New Roman" w:cs="Times New Roman"/>
                <w:color w:val="auto"/>
                <w:szCs w:val="21"/>
              </w:rPr>
              <w:t>地表水</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w:t>
            </w:r>
          </w:p>
        </w:tc>
        <w:tc>
          <w:tcPr>
            <w:tcW w:w="1998" w:type="dxa"/>
            <w:gridSpan w:val="2"/>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生活污水</w:t>
            </w:r>
          </w:p>
        </w:tc>
        <w:tc>
          <w:tcPr>
            <w:tcW w:w="116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COD、BOD</w:t>
            </w:r>
            <w:r>
              <w:rPr>
                <w:rFonts w:hint="default" w:ascii="Times New Roman" w:hAnsi="Times New Roman" w:cs="Times New Roman"/>
                <w:color w:val="auto"/>
                <w:szCs w:val="21"/>
                <w:vertAlign w:val="subscript"/>
              </w:rPr>
              <w:t>5</w:t>
            </w:r>
            <w:r>
              <w:rPr>
                <w:rFonts w:hint="default" w:ascii="Times New Roman" w:hAnsi="Times New Roman" w:cs="Times New Roman"/>
                <w:color w:val="auto"/>
                <w:szCs w:val="21"/>
              </w:rPr>
              <w:t>、 SS、NH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-N等</w:t>
            </w:r>
          </w:p>
        </w:tc>
        <w:tc>
          <w:tcPr>
            <w:tcW w:w="1883" w:type="dxa"/>
            <w:vAlign w:val="center"/>
          </w:tcPr>
          <w:p>
            <w:pPr>
              <w:adjustRightInd w:val="0"/>
              <w:snapToGrid w:val="0"/>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化粪池</w:t>
            </w:r>
          </w:p>
        </w:tc>
        <w:tc>
          <w:tcPr>
            <w:tcW w:w="2528" w:type="dxa"/>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满足《污水综合排放标准》（GB8978-1996）表4中三级标准及龙湖污水处理厂接管限值</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998" w:type="dxa"/>
            <w:gridSpan w:val="2"/>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厂界</w:t>
            </w:r>
          </w:p>
        </w:tc>
        <w:tc>
          <w:tcPr>
            <w:tcW w:w="116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188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减振基座、厂房隔声、绿化等</w:t>
            </w:r>
          </w:p>
        </w:tc>
        <w:tc>
          <w:tcPr>
            <w:tcW w:w="2528" w:type="dxa"/>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执行《工业企业厂界环境噪声排放标准》(GB12348-2008)3类区标准要求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24"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固体废物</w:t>
            </w:r>
          </w:p>
        </w:tc>
        <w:tc>
          <w:tcPr>
            <w:tcW w:w="7576" w:type="dxa"/>
            <w:gridSpan w:val="5"/>
            <w:vAlign w:val="center"/>
          </w:tcPr>
          <w:p>
            <w:pPr>
              <w:adjustRightInd w:val="0"/>
              <w:snapToGrid w:val="0"/>
              <w:rPr>
                <w:rFonts w:ascii="宋体" w:hAnsi="宋体" w:cs="宋体"/>
                <w:color w:val="auto"/>
                <w:szCs w:val="21"/>
              </w:rPr>
            </w:pPr>
            <w:r>
              <w:rPr>
                <w:rFonts w:hint="eastAsia" w:ascii="宋体" w:hAnsi="宋体" w:cs="宋体"/>
                <w:color w:val="auto"/>
                <w:szCs w:val="21"/>
              </w:rPr>
              <w:t>生活垃圾采取垃圾桶收集，委托环卫部门处置；一般固废暂存场所分区暂存，定期外售给物资回收部门；危险废物设置危废暂存间，委托有危险废物处置资质的单位外运处置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24" w:type="dxa"/>
            <w:vAlign w:val="center"/>
          </w:tcPr>
          <w:p>
            <w:pPr>
              <w:adjustRightInd w:val="0"/>
              <w:snapToGrid w:val="0"/>
              <w:rPr>
                <w:rFonts w:ascii="宋体" w:hAnsi="宋体" w:cs="宋体"/>
                <w:color w:val="auto"/>
                <w:szCs w:val="21"/>
              </w:rPr>
            </w:pPr>
            <w:r>
              <w:rPr>
                <w:rFonts w:hint="eastAsia" w:ascii="宋体" w:hAnsi="宋体" w:cs="宋体"/>
                <w:color w:val="auto"/>
                <w:szCs w:val="21"/>
              </w:rPr>
              <w:t>土壤及地下水污染防治措施</w:t>
            </w:r>
          </w:p>
        </w:tc>
        <w:tc>
          <w:tcPr>
            <w:tcW w:w="7576" w:type="dxa"/>
            <w:gridSpan w:val="5"/>
            <w:vAlign w:val="center"/>
          </w:tcPr>
          <w:p>
            <w:pPr>
              <w:adjustRightInd w:val="0"/>
              <w:snapToGrid w:val="0"/>
              <w:jc w:val="left"/>
              <w:rPr>
                <w:rFonts w:ascii="宋体" w:hAnsi="宋体" w:cs="宋体"/>
                <w:color w:val="auto"/>
                <w:szCs w:val="21"/>
              </w:rPr>
            </w:pPr>
            <w:r>
              <w:rPr>
                <w:rFonts w:hint="eastAsia" w:ascii="宋体" w:hAnsi="宋体" w:cs="宋体"/>
                <w:color w:val="auto"/>
                <w:szCs w:val="21"/>
              </w:rPr>
              <w:t>分区防渗。危废暂存间、漆料存储间、喷漆</w:t>
            </w:r>
            <w:r>
              <w:rPr>
                <w:rFonts w:hint="eastAsia" w:ascii="宋体" w:hAnsi="宋体" w:cs="宋体"/>
                <w:color w:val="auto"/>
                <w:szCs w:val="21"/>
                <w:lang w:val="en-US" w:eastAsia="zh-CN"/>
              </w:rPr>
              <w:t>及</w:t>
            </w:r>
            <w:r>
              <w:rPr>
                <w:rFonts w:hint="eastAsia" w:ascii="宋体" w:hAnsi="宋体" w:cs="宋体"/>
                <w:color w:val="auto"/>
                <w:szCs w:val="21"/>
              </w:rPr>
              <w:t>晾干房、机油存储间、事故池</w:t>
            </w:r>
            <w:r>
              <w:rPr>
                <w:rFonts w:hint="eastAsia" w:ascii="宋体" w:hAnsi="宋体" w:cs="宋体"/>
                <w:color w:val="auto"/>
                <w:szCs w:val="21"/>
                <w:lang w:eastAsia="zh-CN"/>
              </w:rPr>
              <w:t>、</w:t>
            </w:r>
            <w:r>
              <w:rPr>
                <w:rFonts w:hint="eastAsia" w:ascii="宋体" w:hAnsi="宋体" w:cs="宋体"/>
                <w:color w:val="auto"/>
                <w:szCs w:val="21"/>
                <w:lang w:val="en-US" w:eastAsia="zh-CN"/>
              </w:rPr>
              <w:t>化粪池</w:t>
            </w:r>
            <w:r>
              <w:rPr>
                <w:rFonts w:hint="eastAsia" w:ascii="宋体" w:hAnsi="宋体" w:cs="宋体"/>
                <w:color w:val="auto"/>
                <w:szCs w:val="21"/>
              </w:rPr>
              <w:t>等进行重点防渗。重点防渗区外的生产车间属于一般防渗区，进行简单防渗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24" w:type="dxa"/>
            <w:vAlign w:val="center"/>
          </w:tcPr>
          <w:p>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环境风险</w:t>
            </w:r>
          </w:p>
          <w:p>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防范措施</w:t>
            </w:r>
          </w:p>
        </w:tc>
        <w:tc>
          <w:tcPr>
            <w:tcW w:w="7576" w:type="dxa"/>
            <w:gridSpan w:val="5"/>
            <w:vAlign w:val="center"/>
          </w:tcPr>
          <w:p>
            <w:pPr>
              <w:adjustRightInd w:val="0"/>
              <w:snapToGrid w:val="0"/>
              <w:jc w:val="left"/>
              <w:rPr>
                <w:rFonts w:ascii="宋体" w:hAnsi="宋体" w:cs="宋体"/>
                <w:color w:val="auto"/>
                <w:szCs w:val="21"/>
              </w:rPr>
            </w:pPr>
            <w:r>
              <w:rPr>
                <w:rFonts w:hint="eastAsia" w:ascii="宋体" w:hAnsi="宋体" w:cs="宋体"/>
                <w:color w:val="auto"/>
                <w:szCs w:val="21"/>
              </w:rPr>
              <w:t>设置事故池，配备灭火系统、危废暂存间应做好防渗措施，并设置门槛。制订本项目突发环境事故应急预案，制定和完善企业环境管理制度。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24" w:type="dxa"/>
            <w:vAlign w:val="center"/>
          </w:tcPr>
          <w:p>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其他环境</w:t>
            </w:r>
          </w:p>
          <w:p>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管理要求</w:t>
            </w:r>
          </w:p>
        </w:tc>
        <w:tc>
          <w:tcPr>
            <w:tcW w:w="7576" w:type="dxa"/>
            <w:gridSpan w:val="5"/>
            <w:vAlign w:val="center"/>
          </w:tcPr>
          <w:p>
            <w:pPr>
              <w:adjustRightInd w:val="0"/>
              <w:snapToGrid w:val="0"/>
              <w:rPr>
                <w:rFonts w:hint="eastAsia" w:ascii="宋体" w:hAnsi="宋体" w:cs="宋体"/>
                <w:b/>
                <w:bCs/>
                <w:color w:val="auto"/>
              </w:rPr>
            </w:pPr>
            <w:r>
              <w:rPr>
                <w:rFonts w:hint="eastAsia"/>
                <w:color w:val="auto"/>
              </w:rPr>
              <w:t>设置专门的环保机构及专职人员负责环保管理工作，每日检查环保工作情况，污染治理设施运转情况，保证废气达标排放；建立污染源监测数据档案，定期对污染源进行监测并记录，出现超标情况及时整改；排污口规范化管理并设置标志牌；及时更新排污许可信息等。</w:t>
            </w:r>
          </w:p>
          <w:p>
            <w:pPr>
              <w:pStyle w:val="2"/>
              <w:jc w:val="center"/>
              <w:rPr>
                <w:rFonts w:hint="eastAsia" w:ascii="宋体" w:hAnsi="宋体" w:cs="宋体"/>
                <w:b/>
                <w:bCs/>
                <w:color w:val="auto"/>
                <w:sz w:val="21"/>
                <w:szCs w:val="21"/>
              </w:rPr>
            </w:pPr>
            <w:r>
              <w:rPr>
                <w:rFonts w:hint="eastAsia" w:ascii="宋体" w:hAnsi="宋体" w:cs="宋体"/>
                <w:b/>
                <w:bCs/>
                <w:color w:val="auto"/>
                <w:sz w:val="21"/>
                <w:szCs w:val="21"/>
              </w:rPr>
              <w:t>环境监测计划</w:t>
            </w:r>
            <w:r>
              <w:rPr>
                <w:rFonts w:hint="eastAsia" w:hAnsi="宋体" w:cs="宋体"/>
                <w:b/>
                <w:bCs/>
                <w:color w:val="auto"/>
                <w:sz w:val="21"/>
                <w:szCs w:val="21"/>
                <w:lang w:val="en-US" w:eastAsia="zh-CN"/>
              </w:rPr>
              <w:t>汇总</w:t>
            </w:r>
            <w:r>
              <w:rPr>
                <w:rFonts w:hint="eastAsia" w:ascii="宋体" w:hAnsi="宋体" w:cs="宋体"/>
                <w:b/>
                <w:bCs/>
                <w:color w:val="auto"/>
                <w:sz w:val="21"/>
                <w:szCs w:val="21"/>
              </w:rPr>
              <w:t>表</w:t>
            </w:r>
          </w:p>
          <w:tbl>
            <w:tblPr>
              <w:tblStyle w:val="34"/>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83"/>
              <w:gridCol w:w="1524"/>
              <w:gridCol w:w="213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类别</w:t>
                  </w:r>
                </w:p>
              </w:tc>
              <w:tc>
                <w:tcPr>
                  <w:tcW w:w="158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监测项目</w:t>
                  </w:r>
                </w:p>
              </w:tc>
              <w:tc>
                <w:tcPr>
                  <w:tcW w:w="152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监测点位</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监测因子</w:t>
                  </w:r>
                </w:p>
              </w:tc>
              <w:tc>
                <w:tcPr>
                  <w:tcW w:w="1327"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vMerge w:val="restart"/>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1583" w:type="dxa"/>
                  <w:vMerge w:val="restart"/>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w:t>
                  </w:r>
                </w:p>
              </w:tc>
              <w:tc>
                <w:tcPr>
                  <w:tcW w:w="152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bidi="ar"/>
                    </w:rPr>
                    <w:t>DA001</w:t>
                  </w:r>
                  <w:r>
                    <w:rPr>
                      <w:rFonts w:hint="default" w:ascii="Times New Roman" w:hAnsi="Times New Roman" w:cs="Times New Roman"/>
                      <w:color w:val="auto"/>
                      <w:sz w:val="21"/>
                      <w:szCs w:val="21"/>
                      <w:lang w:val="en-US" w:eastAsia="zh-CN"/>
                    </w:rPr>
                    <w:t>排气筒</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3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58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52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DA00</w:t>
                  </w:r>
                  <w:r>
                    <w:rPr>
                      <w:rFonts w:hint="eastAsia" w:cs="Times New Roman"/>
                      <w:color w:val="auto"/>
                      <w:kern w:val="0"/>
                      <w:sz w:val="21"/>
                      <w:szCs w:val="21"/>
                      <w:lang w:val="en-US" w:eastAsia="zh-CN" w:bidi="ar"/>
                    </w:rPr>
                    <w:t>2</w:t>
                  </w:r>
                  <w:r>
                    <w:rPr>
                      <w:rFonts w:hint="default" w:ascii="Times New Roman" w:hAnsi="Times New Roman" w:cs="Times New Roman"/>
                      <w:color w:val="auto"/>
                      <w:sz w:val="21"/>
                      <w:szCs w:val="21"/>
                      <w:lang w:val="en-US" w:eastAsia="zh-CN"/>
                    </w:rPr>
                    <w:t>排气筒</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3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58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52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DA00</w:t>
                  </w:r>
                  <w:r>
                    <w:rPr>
                      <w:rFonts w:hint="eastAsia" w:cs="Times New Roman"/>
                      <w:color w:val="auto"/>
                      <w:kern w:val="0"/>
                      <w:sz w:val="21"/>
                      <w:szCs w:val="21"/>
                      <w:lang w:val="en-US" w:eastAsia="zh-CN" w:bidi="ar"/>
                    </w:rPr>
                    <w:t>3</w:t>
                  </w:r>
                  <w:r>
                    <w:rPr>
                      <w:rFonts w:hint="default" w:ascii="Times New Roman" w:hAnsi="Times New Roman" w:cs="Times New Roman"/>
                      <w:color w:val="auto"/>
                      <w:sz w:val="21"/>
                      <w:szCs w:val="21"/>
                      <w:lang w:val="en-US" w:eastAsia="zh-CN"/>
                    </w:rPr>
                    <w:t>排气筒</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3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583"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152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bidi="ar"/>
                    </w:rPr>
                    <w:t>DA00</w:t>
                  </w:r>
                  <w:r>
                    <w:rPr>
                      <w:rFonts w:hint="eastAsia" w:cs="Times New Roman"/>
                      <w:color w:val="auto"/>
                      <w:kern w:val="0"/>
                      <w:sz w:val="21"/>
                      <w:szCs w:val="21"/>
                      <w:lang w:val="en-US" w:eastAsia="zh-CN" w:bidi="ar"/>
                    </w:rPr>
                    <w:t>4</w:t>
                  </w:r>
                  <w:r>
                    <w:rPr>
                      <w:rFonts w:hint="default" w:ascii="Times New Roman" w:hAnsi="Times New Roman" w:cs="Times New Roman"/>
                      <w:color w:val="auto"/>
                      <w:sz w:val="21"/>
                      <w:szCs w:val="21"/>
                      <w:lang w:val="en-US" w:eastAsia="zh-CN"/>
                    </w:rPr>
                    <w:t>排气筒</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非甲烷总烃、颗粒物</w:t>
                  </w:r>
                </w:p>
              </w:tc>
              <w:tc>
                <w:tcPr>
                  <w:tcW w:w="13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vMerge w:val="continue"/>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58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无组织</w:t>
                  </w:r>
                </w:p>
              </w:tc>
              <w:tc>
                <w:tcPr>
                  <w:tcW w:w="152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非甲烷总烃、颗粒物</w:t>
                  </w:r>
                </w:p>
              </w:tc>
              <w:tc>
                <w:tcPr>
                  <w:tcW w:w="13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06"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58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生活污水</w:t>
                  </w:r>
                </w:p>
              </w:tc>
              <w:tc>
                <w:tcPr>
                  <w:tcW w:w="152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DW001出水口</w:t>
                  </w:r>
                </w:p>
              </w:tc>
              <w:tc>
                <w:tcPr>
                  <w:tcW w:w="213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pH、COD、BOD</w:t>
                  </w:r>
                  <w:r>
                    <w:rPr>
                      <w:rFonts w:hint="eastAsia" w:ascii="Times New Roman" w:hAnsi="Times New Roman" w:eastAsia="宋体" w:cs="Times New Roman"/>
                      <w:color w:val="auto"/>
                      <w:kern w:val="0"/>
                      <w:sz w:val="21"/>
                      <w:szCs w:val="21"/>
                      <w:vertAlign w:val="subscript"/>
                      <w:lang w:val="en-US" w:eastAsia="zh-CN" w:bidi="ar"/>
                    </w:rPr>
                    <w:t>5</w:t>
                  </w:r>
                  <w:r>
                    <w:rPr>
                      <w:rFonts w:hint="eastAsia" w:ascii="Times New Roman" w:hAnsi="Times New Roman" w:eastAsia="宋体" w:cs="Times New Roman"/>
                      <w:color w:val="auto"/>
                      <w:kern w:val="0"/>
                      <w:sz w:val="21"/>
                      <w:szCs w:val="21"/>
                      <w:lang w:val="en-US" w:eastAsia="zh-CN" w:bidi="ar"/>
                    </w:rPr>
                    <w:t>、SS、氨氮</w:t>
                  </w:r>
                </w:p>
              </w:tc>
              <w:tc>
                <w:tcPr>
                  <w:tcW w:w="1327"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6"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噪声</w:t>
                  </w:r>
                </w:p>
              </w:tc>
              <w:tc>
                <w:tcPr>
                  <w:tcW w:w="158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152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厂界外1m处</w:t>
                  </w:r>
                </w:p>
              </w:tc>
              <w:tc>
                <w:tcPr>
                  <w:tcW w:w="2138"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等效连续A声级</w:t>
                  </w:r>
                </w:p>
              </w:tc>
              <w:tc>
                <w:tcPr>
                  <w:tcW w:w="1327"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1次</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06"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3107" w:type="dxa"/>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固废产生量、回用量、转移量</w:t>
                  </w:r>
                </w:p>
              </w:tc>
              <w:tc>
                <w:tcPr>
                  <w:tcW w:w="3465" w:type="dxa"/>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统计台账</w:t>
                  </w:r>
                </w:p>
              </w:tc>
            </w:tr>
          </w:tbl>
          <w:p>
            <w:pPr>
              <w:pStyle w:val="14"/>
              <w:rPr>
                <w:rFonts w:hint="default" w:eastAsia="宋体"/>
                <w:color w:val="auto"/>
                <w:lang w:val="en-US" w:eastAsia="zh-CN"/>
              </w:rPr>
            </w:pPr>
          </w:p>
        </w:tc>
      </w:tr>
    </w:tbl>
    <w:p>
      <w:pPr>
        <w:pStyle w:val="31"/>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3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jc w:val="left"/>
              <w:rPr>
                <w:color w:val="auto"/>
                <w:sz w:val="24"/>
                <w:szCs w:val="24"/>
              </w:rPr>
            </w:pPr>
            <w:r>
              <w:rPr>
                <w:color w:val="auto"/>
                <w:sz w:val="24"/>
                <w:szCs w:val="24"/>
              </w:rPr>
              <w:t>综上所述，</w:t>
            </w:r>
            <w:r>
              <w:rPr>
                <w:rFonts w:hint="eastAsia"/>
                <w:color w:val="auto"/>
                <w:sz w:val="24"/>
                <w:szCs w:val="24"/>
              </w:rPr>
              <w:t>拟建项目</w:t>
            </w:r>
            <w:r>
              <w:rPr>
                <w:color w:val="auto"/>
                <w:sz w:val="24"/>
                <w:szCs w:val="24"/>
              </w:rPr>
              <w:t>的建设符合国家</w:t>
            </w:r>
            <w:r>
              <w:rPr>
                <w:rFonts w:hint="eastAsia"/>
                <w:color w:val="auto"/>
                <w:sz w:val="24"/>
                <w:szCs w:val="24"/>
              </w:rPr>
              <w:t>和地方</w:t>
            </w:r>
            <w:r>
              <w:rPr>
                <w:color w:val="auto"/>
                <w:sz w:val="24"/>
                <w:szCs w:val="24"/>
              </w:rPr>
              <w:t>的产业政策，</w:t>
            </w:r>
            <w:r>
              <w:rPr>
                <w:rFonts w:hint="eastAsia"/>
                <w:color w:val="auto"/>
                <w:sz w:val="24"/>
                <w:szCs w:val="24"/>
              </w:rPr>
              <w:t>选址为工业用地，</w:t>
            </w:r>
            <w:r>
              <w:rPr>
                <w:color w:val="auto"/>
                <w:sz w:val="24"/>
                <w:szCs w:val="24"/>
              </w:rPr>
              <w:t>符合</w:t>
            </w:r>
            <w:r>
              <w:rPr>
                <w:rFonts w:hint="eastAsia"/>
                <w:color w:val="auto"/>
                <w:sz w:val="24"/>
                <w:szCs w:val="24"/>
              </w:rPr>
              <w:t>杜集经济开发区总体发展规划。拟建项目采用的</w:t>
            </w:r>
            <w:r>
              <w:rPr>
                <w:color w:val="auto"/>
                <w:sz w:val="24"/>
                <w:szCs w:val="24"/>
              </w:rPr>
              <w:t>污染治理措施</w:t>
            </w:r>
            <w:r>
              <w:rPr>
                <w:rFonts w:hint="eastAsia"/>
                <w:color w:val="auto"/>
                <w:sz w:val="24"/>
                <w:szCs w:val="24"/>
              </w:rPr>
              <w:t>、风险防范措施</w:t>
            </w:r>
            <w:r>
              <w:rPr>
                <w:color w:val="auto"/>
                <w:sz w:val="24"/>
                <w:szCs w:val="24"/>
              </w:rPr>
              <w:t>技术可行，可使污染物达标排放，项目选址与周边用地功能相容性较好，无重大环境制约因素。只要严格落实</w:t>
            </w:r>
            <w:r>
              <w:rPr>
                <w:rFonts w:hint="eastAsia"/>
                <w:color w:val="auto"/>
                <w:sz w:val="24"/>
                <w:szCs w:val="24"/>
              </w:rPr>
              <w:t>本</w:t>
            </w:r>
            <w:r>
              <w:rPr>
                <w:color w:val="auto"/>
                <w:sz w:val="24"/>
                <w:szCs w:val="24"/>
              </w:rPr>
              <w:t>报告表和工程设计提出的环保对策措施，严格执</w:t>
            </w:r>
            <w:r>
              <w:rPr>
                <w:rFonts w:hint="eastAsia"/>
                <w:color w:val="auto"/>
                <w:sz w:val="24"/>
                <w:szCs w:val="24"/>
              </w:rPr>
              <w:t>行环境保护“三同时”</w:t>
            </w:r>
            <w:r>
              <w:rPr>
                <w:color w:val="auto"/>
                <w:sz w:val="24"/>
                <w:szCs w:val="24"/>
              </w:rPr>
              <w:t>制度，确保污染物达标排放</w:t>
            </w:r>
            <w:r>
              <w:rPr>
                <w:rFonts w:hint="eastAsia"/>
                <w:color w:val="auto"/>
                <w:sz w:val="24"/>
                <w:szCs w:val="24"/>
              </w:rPr>
              <w:t>，不会降低评价区域原有环境质量功能级别。从环境保护的角度，项目的建设是可行的。</w:t>
            </w:r>
          </w:p>
          <w:p>
            <w:pPr>
              <w:spacing w:line="360" w:lineRule="auto"/>
              <w:ind w:firstLine="480" w:firstLineChars="200"/>
              <w:rPr>
                <w:color w:val="auto"/>
                <w:sz w:val="24"/>
                <w:szCs w:val="24"/>
              </w:rPr>
            </w:pPr>
            <w:r>
              <w:rPr>
                <w:rFonts w:hint="eastAsia"/>
                <w:color w:val="auto"/>
                <w:sz w:val="24"/>
                <w:szCs w:val="24"/>
              </w:rPr>
              <w:t>上述结论是在项目提供的规模及相应的排污情况基础上作出的评价结论，如果建设单位的规模及相应排污情况有所变化，建设单位应按生态环境部门的要求另行申报审批。</w:t>
            </w:r>
          </w:p>
          <w:p>
            <w:pPr>
              <w:spacing w:line="360" w:lineRule="auto"/>
              <w:ind w:firstLine="420" w:firstLineChars="200"/>
              <w:rPr>
                <w:color w:val="auto"/>
                <w:szCs w:val="21"/>
              </w:rPr>
            </w:pPr>
            <w:r>
              <w:rPr>
                <w:rFonts w:hint="eastAsia"/>
                <w:color w:val="auto"/>
                <w:szCs w:val="21"/>
              </w:rPr>
              <w:t xml:space="preserve">   </w:t>
            </w:r>
          </w:p>
          <w:p>
            <w:pPr>
              <w:rPr>
                <w:color w:val="auto"/>
              </w:rPr>
            </w:pP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1"/>
        <w:adjustRightInd w:val="0"/>
        <w:snapToGrid w:val="0"/>
        <w:spacing w:before="0" w:beforeAutospacing="0" w:after="0" w:afterAutospacing="0"/>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31"/>
        <w:adjustRightInd w:val="0"/>
        <w:snapToGrid w:val="0"/>
        <w:spacing w:before="0" w:beforeAutospacing="0" w:after="0" w:afterAutospacing="0"/>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34"/>
        <w:tblW w:w="136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925"/>
        <w:gridCol w:w="1513"/>
        <w:gridCol w:w="1268"/>
        <w:gridCol w:w="1580"/>
        <w:gridCol w:w="1544"/>
        <w:gridCol w:w="1834"/>
        <w:gridCol w:w="1396"/>
        <w:gridCol w:w="1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324" w:type="dxa"/>
            <w:tcBorders>
              <w:tl2br w:val="single" w:color="auto" w:sz="4" w:space="0"/>
            </w:tcBorders>
            <w:tcMar>
              <w:left w:w="28" w:type="dxa"/>
              <w:right w:w="28" w:type="dxa"/>
            </w:tcMar>
            <w:vAlign w:val="center"/>
          </w:tcPr>
          <w:p>
            <w:pPr>
              <w:pStyle w:val="57"/>
              <w:spacing w:beforeLines="0" w:afterLines="0" w:line="240" w:lineRule="auto"/>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pPr>
              <w:pStyle w:val="57"/>
              <w:spacing w:beforeLines="0" w:afterLines="0" w:line="240" w:lineRule="auto"/>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1925"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513"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268"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pPr>
              <w:pStyle w:val="57"/>
              <w:spacing w:beforeLines="0" w:afterLines="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580"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544"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p>
        </w:tc>
        <w:tc>
          <w:tcPr>
            <w:tcW w:w="1834"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pPr>
              <w:pStyle w:val="57"/>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1396"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pPr>
              <w:pStyle w:val="57"/>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1272" w:type="dxa"/>
            <w:tcMar>
              <w:left w:w="28" w:type="dxa"/>
              <w:right w:w="28" w:type="dxa"/>
            </w:tcMar>
            <w:vAlign w:val="center"/>
          </w:tcPr>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pPr>
              <w:pStyle w:val="57"/>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restart"/>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925"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颗粒物</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eastAsia="zh-CN"/>
              </w:rPr>
              <w:t>2.015</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jc w:val="center"/>
              <w:rPr>
                <w:rFonts w:hint="default" w:ascii="Times New Roman" w:hAnsi="Times New Roman" w:cs="Times New Roman"/>
                <w:color w:val="auto"/>
              </w:rPr>
            </w:pPr>
            <w:r>
              <w:rPr>
                <w:rFonts w:hint="eastAsia" w:cs="Times New Roman"/>
                <w:snapToGrid w:val="0"/>
                <w:color w:val="auto"/>
                <w:kern w:val="21"/>
                <w:szCs w:val="21"/>
                <w:lang w:eastAsia="zh-CN"/>
              </w:rPr>
              <w:t>2.015</w:t>
            </w:r>
            <w:r>
              <w:rPr>
                <w:rFonts w:hint="default" w:ascii="Times New Roman" w:hAnsi="Times New Roman" w:cs="Times New Roman"/>
                <w:snapToGrid w:val="0"/>
                <w:color w:val="auto"/>
                <w:kern w:val="21"/>
                <w:szCs w:val="21"/>
              </w:rPr>
              <w:t>t/a</w:t>
            </w:r>
          </w:p>
        </w:tc>
        <w:tc>
          <w:tcPr>
            <w:tcW w:w="1272" w:type="dxa"/>
            <w:vAlign w:val="center"/>
          </w:tcPr>
          <w:p>
            <w:pPr>
              <w:jc w:val="center"/>
              <w:rPr>
                <w:rFonts w:hint="default" w:ascii="Times New Roman" w:hAnsi="Times New Roman" w:cs="Times New Roman"/>
                <w:color w:val="auto"/>
              </w:rPr>
            </w:pPr>
            <w:r>
              <w:rPr>
                <w:rFonts w:hint="default" w:ascii="Times New Roman" w:hAnsi="Times New Roman" w:cs="Times New Roman"/>
                <w:snapToGrid w:val="0"/>
                <w:color w:val="auto"/>
                <w:kern w:val="21"/>
                <w:szCs w:val="21"/>
              </w:rPr>
              <w:t>+</w:t>
            </w:r>
            <w:r>
              <w:rPr>
                <w:rFonts w:hint="eastAsia" w:cs="Times New Roman"/>
                <w:snapToGrid w:val="0"/>
                <w:color w:val="auto"/>
                <w:kern w:val="21"/>
                <w:szCs w:val="21"/>
                <w:lang w:eastAsia="zh-CN"/>
              </w:rPr>
              <w:t>2.015</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continue"/>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p>
        </w:tc>
        <w:tc>
          <w:tcPr>
            <w:tcW w:w="1925"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非甲烷总烃</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eastAsia="zh-CN"/>
              </w:rPr>
              <w:t>0.248</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eastAsia="zh-CN"/>
              </w:rPr>
              <w:t>0.248</w:t>
            </w:r>
            <w:r>
              <w:rPr>
                <w:rFonts w:hint="default" w:ascii="Times New Roman" w:hAnsi="Times New Roman" w:cs="Times New Roman"/>
                <w:snapToGrid w:val="0"/>
                <w:color w:val="auto"/>
                <w:kern w:val="21"/>
                <w:szCs w:val="21"/>
              </w:rPr>
              <w:t>t/a</w:t>
            </w:r>
          </w:p>
        </w:tc>
        <w:tc>
          <w:tcPr>
            <w:tcW w:w="1272"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r>
              <w:rPr>
                <w:rFonts w:hint="eastAsia" w:ascii="Times New Roman" w:hAnsi="Times New Roman" w:cs="Times New Roman"/>
                <w:snapToGrid w:val="0"/>
                <w:color w:val="auto"/>
                <w:kern w:val="21"/>
                <w:szCs w:val="21"/>
                <w:lang w:eastAsia="zh-CN"/>
              </w:rPr>
              <w:t>0.248</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restart"/>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925"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COD</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0.214</w:t>
            </w:r>
            <w:r>
              <w:rPr>
                <w:rFonts w:hint="default" w:ascii="Times New Roman" w:hAnsi="Times New Roman" w:cs="Times New Roman"/>
                <w:snapToGrid w:val="0"/>
                <w:color w:val="auto"/>
                <w:kern w:val="21"/>
                <w:szCs w:val="21"/>
              </w:rPr>
              <w:t>t/a</w:t>
            </w:r>
          </w:p>
        </w:tc>
        <w:tc>
          <w:tcPr>
            <w:tcW w:w="1834" w:type="dxa"/>
            <w:vAlign w:val="center"/>
          </w:tcPr>
          <w:p>
            <w:pPr>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beforeLines="0" w:afterLines="0" w:line="240" w:lineRule="auto"/>
              <w:jc w:val="center"/>
              <w:rPr>
                <w:rFonts w:hint="default" w:ascii="Times New Roman" w:hAnsi="Times New Roman" w:cs="Times New Roman"/>
                <w:snapToGrid w:val="0"/>
                <w:color w:val="auto"/>
                <w:kern w:val="21"/>
                <w:szCs w:val="21"/>
              </w:rPr>
            </w:pPr>
            <w:r>
              <w:rPr>
                <w:rFonts w:hint="eastAsia" w:cs="Times New Roman"/>
                <w:snapToGrid w:val="0"/>
                <w:color w:val="auto"/>
                <w:kern w:val="21"/>
                <w:szCs w:val="21"/>
                <w:lang w:val="en-US" w:eastAsia="zh-CN"/>
              </w:rPr>
              <w:t>0.214</w:t>
            </w:r>
            <w:r>
              <w:rPr>
                <w:rFonts w:hint="default" w:ascii="Times New Roman" w:hAnsi="Times New Roman" w:cs="Times New Roman"/>
                <w:snapToGrid w:val="0"/>
                <w:color w:val="auto"/>
                <w:kern w:val="21"/>
                <w:szCs w:val="21"/>
              </w:rPr>
              <w:t>t/a</w:t>
            </w:r>
          </w:p>
        </w:tc>
        <w:tc>
          <w:tcPr>
            <w:tcW w:w="1272" w:type="dxa"/>
            <w:vAlign w:val="center"/>
          </w:tcPr>
          <w:p>
            <w:pPr>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bCs/>
                <w:color w:val="auto"/>
              </w:rPr>
              <w:t>+</w:t>
            </w:r>
            <w:r>
              <w:rPr>
                <w:rFonts w:hint="eastAsia" w:cs="Times New Roman"/>
                <w:snapToGrid w:val="0"/>
                <w:color w:val="auto"/>
                <w:kern w:val="21"/>
                <w:szCs w:val="21"/>
                <w:lang w:val="en-US" w:eastAsia="zh-CN"/>
              </w:rPr>
              <w:t>0.214</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continue"/>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p>
        </w:tc>
        <w:tc>
          <w:tcPr>
            <w:tcW w:w="1925"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氨氮</w:t>
            </w:r>
          </w:p>
        </w:tc>
        <w:tc>
          <w:tcPr>
            <w:tcW w:w="1513" w:type="dxa"/>
            <w:vAlign w:val="center"/>
          </w:tcPr>
          <w:p>
            <w:pPr>
              <w:jc w:val="center"/>
              <w:rPr>
                <w:rFonts w:hint="default" w:ascii="Times New Roman" w:hAnsi="Times New Roman" w:cs="Times New Roman"/>
                <w:color w:val="auto"/>
              </w:rPr>
            </w:pPr>
            <w:r>
              <w:rPr>
                <w:rFonts w:hint="default" w:ascii="Times New Roman" w:hAnsi="Times New Roman" w:cs="Times New Roman"/>
                <w:snapToGrid w:val="0"/>
                <w:color w:val="auto"/>
                <w:kern w:val="21"/>
                <w:szCs w:val="21"/>
              </w:rPr>
              <w:t>--</w:t>
            </w:r>
          </w:p>
        </w:tc>
        <w:tc>
          <w:tcPr>
            <w:tcW w:w="1268" w:type="dxa"/>
            <w:vAlign w:val="center"/>
          </w:tcPr>
          <w:p>
            <w:pPr>
              <w:jc w:val="center"/>
              <w:rPr>
                <w:rFonts w:hint="default" w:ascii="Times New Roman" w:hAnsi="Times New Roman" w:cs="Times New Roman"/>
                <w:color w:val="auto"/>
              </w:rPr>
            </w:pPr>
            <w:r>
              <w:rPr>
                <w:rFonts w:hint="default" w:ascii="Times New Roman" w:hAnsi="Times New Roman" w:cs="Times New Roman"/>
                <w:snapToGrid w:val="0"/>
                <w:color w:val="auto"/>
                <w:kern w:val="21"/>
                <w:szCs w:val="21"/>
              </w:rPr>
              <w:t>--</w:t>
            </w:r>
          </w:p>
        </w:tc>
        <w:tc>
          <w:tcPr>
            <w:tcW w:w="1580" w:type="dxa"/>
            <w:vAlign w:val="center"/>
          </w:tcPr>
          <w:p>
            <w:pPr>
              <w:jc w:val="center"/>
              <w:rPr>
                <w:rFonts w:hint="default" w:ascii="Times New Roman" w:hAnsi="Times New Roman" w:cs="Times New Roman"/>
                <w:color w:val="auto"/>
              </w:rPr>
            </w:pPr>
            <w:r>
              <w:rPr>
                <w:rFonts w:hint="default" w:ascii="Times New Roman" w:hAnsi="Times New Roman" w:cs="Times New Roman"/>
                <w:snapToGrid w:val="0"/>
                <w:color w:val="auto"/>
                <w:kern w:val="21"/>
                <w:szCs w:val="21"/>
              </w:rPr>
              <w:t>--</w:t>
            </w:r>
          </w:p>
        </w:tc>
        <w:tc>
          <w:tcPr>
            <w:tcW w:w="1544"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0.021</w:t>
            </w:r>
            <w:r>
              <w:rPr>
                <w:rFonts w:hint="default" w:ascii="Times New Roman" w:hAnsi="Times New Roman" w:cs="Times New Roman"/>
                <w:snapToGrid w:val="0"/>
                <w:color w:val="auto"/>
                <w:kern w:val="21"/>
                <w:szCs w:val="21"/>
              </w:rPr>
              <w:t>t/a</w:t>
            </w:r>
          </w:p>
        </w:tc>
        <w:tc>
          <w:tcPr>
            <w:tcW w:w="1834" w:type="dxa"/>
            <w:vAlign w:val="center"/>
          </w:tcPr>
          <w:p>
            <w:pPr>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beforeLines="0" w:afterLines="0" w:line="240" w:lineRule="auto"/>
              <w:jc w:val="center"/>
              <w:rPr>
                <w:rFonts w:hint="default" w:ascii="Times New Roman" w:hAnsi="Times New Roman" w:cs="Times New Roman"/>
                <w:snapToGrid w:val="0"/>
                <w:color w:val="auto"/>
                <w:kern w:val="21"/>
                <w:szCs w:val="21"/>
              </w:rPr>
            </w:pPr>
            <w:r>
              <w:rPr>
                <w:rFonts w:hint="eastAsia" w:cs="Times New Roman"/>
                <w:snapToGrid w:val="0"/>
                <w:color w:val="auto"/>
                <w:kern w:val="21"/>
                <w:szCs w:val="21"/>
                <w:lang w:val="en-US" w:eastAsia="zh-CN"/>
              </w:rPr>
              <w:t>0.021</w:t>
            </w:r>
            <w:r>
              <w:rPr>
                <w:rFonts w:hint="default" w:ascii="Times New Roman" w:hAnsi="Times New Roman" w:cs="Times New Roman"/>
                <w:snapToGrid w:val="0"/>
                <w:color w:val="auto"/>
                <w:kern w:val="21"/>
                <w:szCs w:val="21"/>
              </w:rPr>
              <w:t>t/a</w:t>
            </w:r>
          </w:p>
        </w:tc>
        <w:tc>
          <w:tcPr>
            <w:tcW w:w="1272" w:type="dxa"/>
            <w:vAlign w:val="center"/>
          </w:tcPr>
          <w:p>
            <w:pPr>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bCs/>
                <w:color w:val="auto"/>
              </w:rPr>
              <w:t>+</w:t>
            </w:r>
            <w:r>
              <w:rPr>
                <w:rFonts w:hint="eastAsia" w:cs="Times New Roman"/>
                <w:snapToGrid w:val="0"/>
                <w:color w:val="auto"/>
                <w:kern w:val="21"/>
                <w:szCs w:val="21"/>
                <w:lang w:val="en-US" w:eastAsia="zh-CN"/>
              </w:rPr>
              <w:t>0.021</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restart"/>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925" w:type="dxa"/>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kern w:val="0"/>
              </w:rPr>
              <w:t>生活垃圾</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jc w:val="center"/>
              <w:rPr>
                <w:rFonts w:hint="default" w:ascii="Times New Roman" w:hAnsi="Times New Roman" w:cs="Times New Roman"/>
                <w:color w:val="auto"/>
                <w:szCs w:val="21"/>
              </w:rPr>
            </w:pPr>
            <w:r>
              <w:rPr>
                <w:rFonts w:hint="eastAsia" w:cs="Times New Roman"/>
                <w:bCs/>
                <w:color w:val="auto"/>
                <w:lang w:val="en-US" w:eastAsia="zh-CN"/>
              </w:rPr>
              <w:t>22.5</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jc w:val="center"/>
              <w:rPr>
                <w:rFonts w:hint="default" w:ascii="Times New Roman" w:hAnsi="Times New Roman" w:cs="Times New Roman"/>
                <w:color w:val="auto"/>
                <w:szCs w:val="21"/>
              </w:rPr>
            </w:pPr>
            <w:r>
              <w:rPr>
                <w:rFonts w:hint="eastAsia" w:cs="Times New Roman"/>
                <w:bCs/>
                <w:color w:val="auto"/>
                <w:lang w:val="en-US" w:eastAsia="zh-CN"/>
              </w:rPr>
              <w:t>22.5</w:t>
            </w:r>
            <w:r>
              <w:rPr>
                <w:rFonts w:hint="default" w:ascii="Times New Roman" w:hAnsi="Times New Roman" w:cs="Times New Roman"/>
                <w:snapToGrid w:val="0"/>
                <w:color w:val="auto"/>
                <w:kern w:val="21"/>
                <w:szCs w:val="21"/>
              </w:rPr>
              <w:t>t/a</w:t>
            </w:r>
          </w:p>
        </w:tc>
        <w:tc>
          <w:tcPr>
            <w:tcW w:w="127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bCs/>
                <w:color w:val="auto"/>
              </w:rPr>
              <w:t>+</w:t>
            </w:r>
            <w:r>
              <w:rPr>
                <w:rFonts w:hint="eastAsia" w:cs="Times New Roman"/>
                <w:bCs/>
                <w:color w:val="auto"/>
                <w:lang w:val="en-US" w:eastAsia="zh-CN"/>
              </w:rPr>
              <w:t>22.5</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1324" w:type="dxa"/>
            <w:vMerge w:val="continue"/>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p>
        </w:tc>
        <w:tc>
          <w:tcPr>
            <w:tcW w:w="1925" w:type="dxa"/>
            <w:vAlign w:val="center"/>
          </w:tcPr>
          <w:p>
            <w:pPr>
              <w:spacing w:line="240" w:lineRule="auto"/>
              <w:ind w:right="-27" w:rightChars="-13"/>
              <w:jc w:val="center"/>
              <w:rPr>
                <w:rFonts w:hint="default" w:ascii="Times New Roman" w:hAnsi="Times New Roman" w:cs="Times New Roman"/>
                <w:snapToGrid w:val="0"/>
                <w:color w:val="auto"/>
                <w:kern w:val="21"/>
                <w:szCs w:val="21"/>
              </w:rPr>
            </w:pPr>
            <w:r>
              <w:rPr>
                <w:rFonts w:hint="default" w:ascii="Times New Roman" w:hAnsi="Times New Roman" w:cs="Times New Roman"/>
                <w:bCs/>
                <w:color w:val="auto"/>
                <w:szCs w:val="21"/>
              </w:rPr>
              <w:t>焊接烟尘及焊渣</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color w:val="auto"/>
                <w:szCs w:val="21"/>
              </w:rPr>
            </w:pPr>
            <w:r>
              <w:rPr>
                <w:rFonts w:hint="eastAsia" w:cs="Times New Roman"/>
                <w:bCs/>
                <w:color w:val="auto"/>
                <w:szCs w:val="21"/>
                <w:lang w:eastAsia="zh-CN"/>
              </w:rPr>
              <w:t>1.601</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color w:val="auto"/>
                <w:szCs w:val="21"/>
              </w:rPr>
            </w:pPr>
            <w:r>
              <w:rPr>
                <w:rFonts w:hint="eastAsia" w:cs="Times New Roman"/>
                <w:bCs/>
                <w:color w:val="auto"/>
                <w:szCs w:val="21"/>
                <w:lang w:eastAsia="zh-CN"/>
              </w:rPr>
              <w:t>1.601</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bCs/>
                <w:color w:val="auto"/>
              </w:rPr>
              <w:t>+</w:t>
            </w:r>
            <w:r>
              <w:rPr>
                <w:rFonts w:hint="eastAsia" w:cs="Times New Roman"/>
                <w:bCs/>
                <w:color w:val="auto"/>
                <w:szCs w:val="21"/>
                <w:lang w:eastAsia="zh-CN"/>
              </w:rPr>
              <w:t>1.601</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24" w:type="dxa"/>
            <w:vMerge w:val="continue"/>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p>
        </w:tc>
        <w:tc>
          <w:tcPr>
            <w:tcW w:w="1925" w:type="dxa"/>
            <w:vAlign w:val="center"/>
          </w:tcPr>
          <w:p>
            <w:pPr>
              <w:spacing w:line="240" w:lineRule="auto"/>
              <w:jc w:val="center"/>
              <w:rPr>
                <w:rFonts w:hint="eastAsia" w:ascii="Times New Roman" w:hAnsi="Times New Roman" w:eastAsia="宋体" w:cs="Times New Roman"/>
                <w:snapToGrid w:val="0"/>
                <w:color w:val="auto"/>
                <w:kern w:val="21"/>
                <w:szCs w:val="21"/>
                <w:lang w:eastAsia="zh-CN"/>
              </w:rPr>
            </w:pPr>
            <w:r>
              <w:rPr>
                <w:rFonts w:hint="eastAsia" w:cs="Times New Roman"/>
                <w:bCs/>
                <w:color w:val="auto"/>
                <w:szCs w:val="21"/>
                <w:lang w:eastAsia="zh-CN"/>
              </w:rPr>
              <w:t>抛丸</w:t>
            </w:r>
            <w:r>
              <w:rPr>
                <w:rFonts w:hint="default" w:ascii="Times New Roman" w:hAnsi="Times New Roman" w:cs="Times New Roman"/>
                <w:bCs/>
                <w:color w:val="auto"/>
                <w:szCs w:val="21"/>
              </w:rPr>
              <w:t>粉尘及废</w:t>
            </w:r>
            <w:r>
              <w:rPr>
                <w:rFonts w:hint="eastAsia" w:cs="Times New Roman"/>
                <w:bCs/>
                <w:color w:val="auto"/>
                <w:szCs w:val="21"/>
                <w:lang w:val="en-US" w:eastAsia="zh-CN"/>
              </w:rPr>
              <w:t>钢丸</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color w:val="auto"/>
                <w:szCs w:val="21"/>
              </w:rPr>
            </w:pPr>
            <w:r>
              <w:rPr>
                <w:rFonts w:hint="eastAsia" w:cs="Times New Roman"/>
                <w:color w:val="auto"/>
                <w:szCs w:val="21"/>
                <w:lang w:eastAsia="zh-CN"/>
              </w:rPr>
              <w:t>18.950</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color w:val="auto"/>
                <w:szCs w:val="21"/>
              </w:rPr>
            </w:pPr>
            <w:r>
              <w:rPr>
                <w:rFonts w:hint="eastAsia" w:cs="Times New Roman"/>
                <w:color w:val="auto"/>
                <w:szCs w:val="21"/>
                <w:lang w:eastAsia="zh-CN"/>
              </w:rPr>
              <w:t>18.950</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color w:val="auto"/>
                <w:szCs w:val="21"/>
              </w:rPr>
            </w:pPr>
            <w:r>
              <w:rPr>
                <w:rFonts w:hint="default" w:ascii="Times New Roman" w:hAnsi="Times New Roman" w:cs="Times New Roman"/>
                <w:bCs/>
                <w:color w:val="auto"/>
              </w:rPr>
              <w:t>+</w:t>
            </w:r>
            <w:r>
              <w:rPr>
                <w:rFonts w:hint="eastAsia" w:cs="Times New Roman"/>
                <w:color w:val="auto"/>
                <w:szCs w:val="21"/>
                <w:lang w:eastAsia="zh-CN"/>
              </w:rPr>
              <w:t>18.950</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continue"/>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p>
        </w:tc>
        <w:tc>
          <w:tcPr>
            <w:tcW w:w="1925" w:type="dxa"/>
            <w:vAlign w:val="center"/>
          </w:tcPr>
          <w:p>
            <w:pPr>
              <w:spacing w:line="240" w:lineRule="auto"/>
              <w:jc w:val="center"/>
              <w:rPr>
                <w:rFonts w:hint="default" w:ascii="Times New Roman" w:hAnsi="Times New Roman" w:cs="Times New Roman"/>
                <w:bCs/>
                <w:color w:val="auto"/>
              </w:rPr>
            </w:pPr>
            <w:r>
              <w:rPr>
                <w:rFonts w:hint="default" w:ascii="Times New Roman" w:hAnsi="Times New Roman" w:cs="Times New Roman"/>
                <w:bCs/>
                <w:color w:val="auto"/>
                <w:szCs w:val="21"/>
              </w:rPr>
              <w:t>废边角料</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rPr>
            </w:pPr>
            <w:r>
              <w:rPr>
                <w:rFonts w:hint="eastAsia" w:cs="Times New Roman"/>
                <w:snapToGrid w:val="0"/>
                <w:color w:val="auto"/>
                <w:kern w:val="21"/>
                <w:szCs w:val="21"/>
                <w:lang w:eastAsia="zh-CN"/>
              </w:rPr>
              <w:t>111.765</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rPr>
            </w:pPr>
            <w:r>
              <w:rPr>
                <w:rFonts w:hint="eastAsia" w:cs="Times New Roman"/>
                <w:color w:val="auto"/>
                <w:szCs w:val="21"/>
                <w:lang w:eastAsia="zh-CN"/>
              </w:rPr>
              <w:t>111.765</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rPr>
            </w:pPr>
            <w:r>
              <w:rPr>
                <w:rFonts w:hint="default" w:ascii="Times New Roman" w:hAnsi="Times New Roman" w:cs="Times New Roman"/>
                <w:bCs/>
                <w:color w:val="auto"/>
              </w:rPr>
              <w:t>+</w:t>
            </w:r>
            <w:r>
              <w:rPr>
                <w:rFonts w:hint="eastAsia" w:cs="Times New Roman"/>
                <w:color w:val="auto"/>
                <w:szCs w:val="21"/>
                <w:lang w:eastAsia="zh-CN"/>
              </w:rPr>
              <w:t>111.765</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restart"/>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925" w:type="dxa"/>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废过滤棉</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szCs w:val="21"/>
              </w:rPr>
            </w:pPr>
            <w:r>
              <w:rPr>
                <w:rFonts w:hint="eastAsia" w:cs="Times New Roman"/>
                <w:color w:val="auto"/>
                <w:szCs w:val="21"/>
                <w:lang w:eastAsia="zh-CN"/>
              </w:rPr>
              <w:t>3.833</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szCs w:val="21"/>
              </w:rPr>
            </w:pPr>
            <w:r>
              <w:rPr>
                <w:rFonts w:hint="eastAsia" w:cs="Times New Roman"/>
                <w:color w:val="auto"/>
                <w:szCs w:val="21"/>
                <w:lang w:eastAsia="zh-CN"/>
              </w:rPr>
              <w:t>3.833</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rPr>
              <w:t>+</w:t>
            </w:r>
            <w:r>
              <w:rPr>
                <w:rFonts w:hint="eastAsia" w:cs="Times New Roman"/>
                <w:color w:val="auto"/>
                <w:szCs w:val="21"/>
                <w:lang w:eastAsia="zh-CN"/>
              </w:rPr>
              <w:t>3.833</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continue"/>
            <w:vAlign w:val="center"/>
          </w:tcPr>
          <w:p>
            <w:pPr>
              <w:jc w:val="center"/>
              <w:rPr>
                <w:rFonts w:hint="default" w:ascii="Times New Roman" w:hAnsi="Times New Roman" w:cs="Times New Roman"/>
                <w:snapToGrid w:val="0"/>
                <w:color w:val="auto"/>
                <w:kern w:val="21"/>
                <w:szCs w:val="21"/>
              </w:rPr>
            </w:pPr>
          </w:p>
        </w:tc>
        <w:tc>
          <w:tcPr>
            <w:tcW w:w="1925" w:type="dxa"/>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废活性炭</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szCs w:val="21"/>
              </w:rPr>
            </w:pPr>
            <w:r>
              <w:rPr>
                <w:rFonts w:hint="eastAsia" w:cs="Times New Roman"/>
                <w:color w:val="auto"/>
                <w:szCs w:val="21"/>
                <w:lang w:eastAsia="zh-CN"/>
              </w:rPr>
              <w:t>9.676</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szCs w:val="21"/>
              </w:rPr>
            </w:pPr>
            <w:r>
              <w:rPr>
                <w:rFonts w:hint="eastAsia" w:cs="Times New Roman"/>
                <w:color w:val="auto"/>
                <w:szCs w:val="21"/>
                <w:lang w:eastAsia="zh-CN"/>
              </w:rPr>
              <w:t>9.676</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rPr>
              <w:t>+</w:t>
            </w:r>
            <w:r>
              <w:rPr>
                <w:rFonts w:hint="eastAsia" w:cs="Times New Roman"/>
                <w:color w:val="auto"/>
                <w:szCs w:val="21"/>
                <w:lang w:eastAsia="zh-CN"/>
              </w:rPr>
              <w:t>9.676</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continue"/>
            <w:vAlign w:val="center"/>
          </w:tcPr>
          <w:p>
            <w:pPr>
              <w:jc w:val="center"/>
              <w:rPr>
                <w:rFonts w:hint="default" w:ascii="Times New Roman" w:hAnsi="Times New Roman" w:cs="Times New Roman"/>
                <w:snapToGrid w:val="0"/>
                <w:color w:val="auto"/>
                <w:kern w:val="21"/>
                <w:szCs w:val="21"/>
              </w:rPr>
            </w:pPr>
          </w:p>
        </w:tc>
        <w:tc>
          <w:tcPr>
            <w:tcW w:w="1925" w:type="dxa"/>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废机油</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0.15</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0.15</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rPr>
              <w:t>+</w:t>
            </w:r>
            <w:r>
              <w:rPr>
                <w:rFonts w:hint="default" w:ascii="Times New Roman" w:hAnsi="Times New Roman" w:cs="Times New Roman"/>
                <w:bCs/>
                <w:color w:val="auto"/>
                <w:szCs w:val="21"/>
              </w:rPr>
              <w:t>0.15</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24" w:type="dxa"/>
            <w:vMerge w:val="continue"/>
            <w:vAlign w:val="center"/>
          </w:tcPr>
          <w:p>
            <w:pPr>
              <w:jc w:val="center"/>
              <w:rPr>
                <w:rFonts w:hint="default" w:ascii="Times New Roman" w:hAnsi="Times New Roman" w:cs="Times New Roman"/>
                <w:snapToGrid w:val="0"/>
                <w:color w:val="auto"/>
                <w:kern w:val="21"/>
                <w:szCs w:val="21"/>
              </w:rPr>
            </w:pPr>
          </w:p>
        </w:tc>
        <w:tc>
          <w:tcPr>
            <w:tcW w:w="1925" w:type="dxa"/>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废桶</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1.8</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rPr>
              <w:t>+</w:t>
            </w:r>
            <w:r>
              <w:rPr>
                <w:rFonts w:hint="default" w:ascii="Times New Roman" w:hAnsi="Times New Roman" w:cs="Times New Roman"/>
                <w:bCs/>
                <w:color w:val="auto"/>
                <w:szCs w:val="21"/>
              </w:rPr>
              <w:t>1.8</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24" w:type="dxa"/>
            <w:vMerge w:val="continue"/>
            <w:vAlign w:val="center"/>
          </w:tcPr>
          <w:p>
            <w:pPr>
              <w:jc w:val="center"/>
              <w:rPr>
                <w:rFonts w:hint="default" w:ascii="Times New Roman" w:hAnsi="Times New Roman" w:cs="Times New Roman"/>
                <w:snapToGrid w:val="0"/>
                <w:color w:val="auto"/>
                <w:kern w:val="21"/>
                <w:szCs w:val="21"/>
              </w:rPr>
            </w:pPr>
          </w:p>
        </w:tc>
        <w:tc>
          <w:tcPr>
            <w:tcW w:w="1925" w:type="dxa"/>
            <w:vAlign w:val="center"/>
          </w:tcPr>
          <w:p>
            <w:pPr>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废含油抹布及废劳保用品</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0.3</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0.3</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rPr>
              <w:t>+</w:t>
            </w:r>
            <w:r>
              <w:rPr>
                <w:rFonts w:hint="default" w:ascii="Times New Roman" w:hAnsi="Times New Roman" w:cs="Times New Roman"/>
                <w:bCs/>
                <w:color w:val="auto"/>
                <w:szCs w:val="21"/>
              </w:rPr>
              <w:t>0.3</w:t>
            </w:r>
            <w:r>
              <w:rPr>
                <w:rFonts w:hint="default"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24" w:type="dxa"/>
            <w:vMerge w:val="continue"/>
            <w:vAlign w:val="center"/>
          </w:tcPr>
          <w:p>
            <w:pPr>
              <w:jc w:val="center"/>
              <w:rPr>
                <w:rFonts w:hint="default" w:ascii="Times New Roman" w:hAnsi="Times New Roman" w:cs="Times New Roman"/>
                <w:snapToGrid w:val="0"/>
                <w:color w:val="auto"/>
                <w:kern w:val="21"/>
                <w:szCs w:val="21"/>
              </w:rPr>
            </w:pPr>
          </w:p>
        </w:tc>
        <w:tc>
          <w:tcPr>
            <w:tcW w:w="1925" w:type="dxa"/>
            <w:vAlign w:val="center"/>
          </w:tcPr>
          <w:p>
            <w:pPr>
              <w:topLinePunct/>
              <w:spacing w:line="24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漆渣</w:t>
            </w:r>
          </w:p>
        </w:tc>
        <w:tc>
          <w:tcPr>
            <w:tcW w:w="1513"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68"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0"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44" w:type="dxa"/>
            <w:vAlign w:val="center"/>
          </w:tcPr>
          <w:p>
            <w:pPr>
              <w:spacing w:line="240" w:lineRule="exact"/>
              <w:jc w:val="center"/>
              <w:rPr>
                <w:rFonts w:hint="default" w:ascii="Times New Roman" w:hAnsi="Times New Roman" w:cs="Times New Roman"/>
                <w:bCs/>
                <w:color w:val="auto"/>
                <w:szCs w:val="21"/>
              </w:rPr>
            </w:pPr>
            <w:r>
              <w:rPr>
                <w:rFonts w:hint="eastAsia" w:cs="Times New Roman"/>
                <w:bCs/>
                <w:color w:val="auto"/>
                <w:szCs w:val="21"/>
                <w:lang w:eastAsia="zh-CN"/>
              </w:rPr>
              <w:t>0.142</w:t>
            </w:r>
            <w:r>
              <w:rPr>
                <w:rFonts w:hint="default" w:ascii="Times New Roman" w:hAnsi="Times New Roman" w:cs="Times New Roman"/>
                <w:snapToGrid w:val="0"/>
                <w:color w:val="auto"/>
                <w:kern w:val="21"/>
                <w:szCs w:val="21"/>
              </w:rPr>
              <w:t>t/a</w:t>
            </w:r>
          </w:p>
        </w:tc>
        <w:tc>
          <w:tcPr>
            <w:tcW w:w="1834" w:type="dxa"/>
            <w:vAlign w:val="center"/>
          </w:tcPr>
          <w:p>
            <w:pPr>
              <w:pStyle w:val="57"/>
              <w:spacing w:beforeLines="0" w:afterLines="0" w:line="240" w:lineRule="auto"/>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396" w:type="dxa"/>
            <w:vAlign w:val="center"/>
          </w:tcPr>
          <w:p>
            <w:pPr>
              <w:spacing w:line="240" w:lineRule="exact"/>
              <w:jc w:val="center"/>
              <w:rPr>
                <w:rFonts w:hint="default" w:ascii="Times New Roman" w:hAnsi="Times New Roman" w:cs="Times New Roman"/>
                <w:bCs/>
                <w:color w:val="auto"/>
                <w:szCs w:val="21"/>
              </w:rPr>
            </w:pPr>
            <w:r>
              <w:rPr>
                <w:rFonts w:hint="eastAsia" w:cs="Times New Roman"/>
                <w:bCs/>
                <w:color w:val="auto"/>
                <w:szCs w:val="21"/>
                <w:lang w:eastAsia="zh-CN"/>
              </w:rPr>
              <w:t>0.142</w:t>
            </w:r>
            <w:r>
              <w:rPr>
                <w:rFonts w:hint="default" w:ascii="Times New Roman" w:hAnsi="Times New Roman" w:cs="Times New Roman"/>
                <w:snapToGrid w:val="0"/>
                <w:color w:val="auto"/>
                <w:kern w:val="21"/>
                <w:szCs w:val="21"/>
              </w:rPr>
              <w:t>t/a</w:t>
            </w:r>
          </w:p>
        </w:tc>
        <w:tc>
          <w:tcPr>
            <w:tcW w:w="1272" w:type="dxa"/>
            <w:vAlign w:val="center"/>
          </w:tcPr>
          <w:p>
            <w:pPr>
              <w:spacing w:line="240" w:lineRule="exact"/>
              <w:jc w:val="center"/>
              <w:rPr>
                <w:rFonts w:hint="default" w:ascii="Times New Roman" w:hAnsi="Times New Roman" w:cs="Times New Roman"/>
                <w:bCs/>
                <w:color w:val="auto"/>
                <w:szCs w:val="21"/>
              </w:rPr>
            </w:pPr>
            <w:r>
              <w:rPr>
                <w:rFonts w:hint="default" w:ascii="Times New Roman" w:hAnsi="Times New Roman" w:cs="Times New Roman"/>
                <w:bCs/>
                <w:color w:val="auto"/>
              </w:rPr>
              <w:t>+</w:t>
            </w:r>
            <w:r>
              <w:rPr>
                <w:rFonts w:hint="eastAsia" w:cs="Times New Roman"/>
                <w:bCs/>
                <w:color w:val="auto"/>
                <w:szCs w:val="21"/>
                <w:lang w:eastAsia="zh-CN"/>
              </w:rPr>
              <w:t>0.142</w:t>
            </w:r>
            <w:r>
              <w:rPr>
                <w:rFonts w:hint="default" w:ascii="Times New Roman" w:hAnsi="Times New Roman" w:cs="Times New Roman"/>
                <w:snapToGrid w:val="0"/>
                <w:color w:val="auto"/>
                <w:kern w:val="21"/>
                <w:szCs w:val="21"/>
              </w:rPr>
              <w:t>t/a</w:t>
            </w:r>
          </w:p>
        </w:tc>
      </w:tr>
    </w:tbl>
    <w:p>
      <w:pPr>
        <w:ind w:firstLine="480" w:firstLineChars="200"/>
        <w:jc w:val="both"/>
        <w:rPr>
          <w:color w:val="auto"/>
        </w:rPr>
      </w:pPr>
      <w:r>
        <w:rPr>
          <w:rFonts w:hint="default" w:ascii="Times New Roman" w:hAnsi="Times New Roman" w:eastAsia="宋体" w:cs="Times New Roman"/>
          <w:color w:val="auto"/>
          <w:sz w:val="24"/>
          <w:szCs w:val="24"/>
        </w:rPr>
        <w:t>注：⑥=①+③+④-⑤；⑦=⑥-①</w:t>
      </w:r>
      <w:r>
        <w:rPr>
          <w:color w:val="auto"/>
          <w:sz w:val="24"/>
        </w:rPr>
        <mc:AlternateContent>
          <mc:Choice Requires="wps">
            <w:drawing>
              <wp:anchor distT="0" distB="0" distL="114300" distR="114300" simplePos="0" relativeHeight="251673600" behindDoc="0" locked="0" layoutInCell="1" allowOverlap="1">
                <wp:simplePos x="0" y="0"/>
                <wp:positionH relativeFrom="column">
                  <wp:posOffset>3863975</wp:posOffset>
                </wp:positionH>
                <wp:positionV relativeFrom="paragraph">
                  <wp:posOffset>3038475</wp:posOffset>
                </wp:positionV>
                <wp:extent cx="642620" cy="3733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42620"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50m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25pt;margin-top:239.25pt;height:29.4pt;width:50.6pt;z-index:251673600;mso-width-relative:page;mso-height-relative:page;" filled="f" stroked="f" coordsize="21600,21600" o:gfxdata="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0q2y3AAAAAsBAAAPAAAAAAAAAAEAIAAAACIAAABk&#10;cnMvZG93bnJldi54bWxQSwECFAAUAAAACACHTuJAwx/6UjsCAABnBAAADgAAAAAAAAABACAAAAAr&#10;AQAAZHJzL2Uyb0RvYy54bWxQSwUGAAAAAAYABgBZAQAA2AUAAAAA&#10;">
                <v:fill on="f" focussize="0,0"/>
                <v:stroke on="f" weight="0.5pt"/>
                <v:imagedata o:title=""/>
                <o:lock v:ext="edit" aspectratio="f"/>
                <v:textbox>
                  <w:txbxContent>
                    <w:p>
                      <w:pPr>
                        <w:jc w:val="cente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50m</w:t>
                      </w:r>
                    </w:p>
                  </w:txbxContent>
                </v:textbox>
              </v:shape>
            </w:pict>
          </mc:Fallback>
        </mc:AlternateContent>
      </w:r>
      <w:r>
        <w:rPr>
          <w:color w:val="auto"/>
          <w:sz w:val="24"/>
        </w:rPr>
        <mc:AlternateContent>
          <mc:Choice Requires="wps">
            <w:drawing>
              <wp:anchor distT="0" distB="0" distL="114300" distR="114300" simplePos="0" relativeHeight="251672576" behindDoc="0" locked="0" layoutInCell="1" allowOverlap="1">
                <wp:simplePos x="0" y="0"/>
                <wp:positionH relativeFrom="column">
                  <wp:posOffset>4665345</wp:posOffset>
                </wp:positionH>
                <wp:positionV relativeFrom="paragraph">
                  <wp:posOffset>2005965</wp:posOffset>
                </wp:positionV>
                <wp:extent cx="791845" cy="3733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79184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邵小庄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35pt;margin-top:157.95pt;height:29.4pt;width:62.35pt;z-index:251672576;mso-width-relative:page;mso-height-relative:page;" filled="f" stroked="f" coordsize="21600,21600" o:gfxdata="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fkoeTcAAAACwEAAA8AAAAAAAAAAQAgAAAAIgAA&#10;AGRycy9kb3ducmV2LnhtbFBLAQIUABQAAAAIAIdO4kB0L+fgPQIAAGcEAAAOAAAAAAAAAAEAIAAA&#10;ACsBAABkcnMvZTJvRG9jLnhtbFBLBQYAAAAABgAGAFkBAADaBQAAAAA=&#10;">
                <v:fill on="f" focussize="0,0"/>
                <v:stroke on="f" weight="0.5pt"/>
                <v:imagedata o:title=""/>
                <o:lock v:ext="edit" aspectratio="f"/>
                <v:textbo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邵小庄</w:t>
                      </w:r>
                    </w:p>
                  </w:txbxContent>
                </v:textbox>
              </v:shape>
            </w:pict>
          </mc:Fallback>
        </mc:AlternateContent>
      </w: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2768600</wp:posOffset>
                </wp:positionH>
                <wp:positionV relativeFrom="paragraph">
                  <wp:posOffset>729615</wp:posOffset>
                </wp:positionV>
                <wp:extent cx="791845" cy="37338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79184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魏圩庄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57.45pt;height:29.4pt;width:62.35pt;z-index:251671552;mso-width-relative:page;mso-height-relative:page;" filled="f" stroked="f" coordsize="21600,21600" o:gfxdata="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8JA1twAAAALAQAADwAAAAAAAAABACAAAAAi&#10;AAAAZHJzL2Rvd25yZXYueG1sUEsBAhQAFAAAAAgAh07iQAam7K4/AgAAZwQAAA4AAAAAAAAAAQAg&#10;AAAAKwEAAGRycy9lMm9Eb2MueG1sUEsFBgAAAAAGAAYAWQEAANwFAAAAAA==&#10;">
                <v:fill on="f" focussize="0,0"/>
                <v:stroke on="f" weight="0.5pt"/>
                <v:imagedata o:title=""/>
                <o:lock v:ext="edit" aspectratio="f"/>
                <v:textbo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魏圩庄</w:t>
                      </w:r>
                    </w:p>
                  </w:txbxContent>
                </v:textbox>
              </v:shape>
            </w:pict>
          </mc:Fallback>
        </mc:AlternateConten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Brush Script MT">
    <w:altName w:val="Mongolian Baiti"/>
    <w:panose1 w:val="03060802040406070304"/>
    <w:charset w:val="00"/>
    <w:family w:val="script"/>
    <w:pitch w:val="default"/>
    <w:sig w:usb0="00000000" w:usb1="00000000" w:usb2="00000000" w:usb3="00000000" w:csb0="20000001"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1</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p>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4935" cy="131445"/>
              <wp:effectExtent l="0" t="0" r="0" b="0"/>
              <wp:wrapNone/>
              <wp:docPr id="16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2"/>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7462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Nf4zQYMAgAABAQAAA4AAAAAAAAAAQAgAAAAHwEA&#10;AGRycy9lMm9Eb2MueG1sUEsFBgAAAAAGAAYAWQEAAJ0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9AB"/>
    <w:multiLevelType w:val="singleLevel"/>
    <w:tmpl w:val="81C5A9AB"/>
    <w:lvl w:ilvl="0" w:tentative="0">
      <w:start w:val="1"/>
      <w:numFmt w:val="decimal"/>
      <w:suff w:val="nothing"/>
      <w:lvlText w:val="%1、"/>
      <w:lvlJc w:val="left"/>
    </w:lvl>
  </w:abstractNum>
  <w:abstractNum w:abstractNumId="1">
    <w:nsid w:val="60462015"/>
    <w:multiLevelType w:val="singleLevel"/>
    <w:tmpl w:val="60462015"/>
    <w:lvl w:ilvl="0" w:tentative="0">
      <w:start w:val="1"/>
      <w:numFmt w:val="decimal"/>
      <w:suff w:val="nothing"/>
      <w:lvlText w:val="%1、"/>
      <w:lvlJc w:val="left"/>
    </w:lvl>
  </w:abstractNum>
  <w:abstractNum w:abstractNumId="2">
    <w:nsid w:val="604AF2B3"/>
    <w:multiLevelType w:val="singleLevel"/>
    <w:tmpl w:val="604AF2B3"/>
    <w:lvl w:ilvl="0" w:tentative="0">
      <w:start w:val="4"/>
      <w:numFmt w:val="chineseCounting"/>
      <w:suff w:val="nothing"/>
      <w:lvlText w:val="%1、"/>
      <w:lvlJc w:val="left"/>
    </w:lvl>
  </w:abstractNum>
  <w:abstractNum w:abstractNumId="3">
    <w:nsid w:val="69784259"/>
    <w:multiLevelType w:val="singleLevel"/>
    <w:tmpl w:val="69784259"/>
    <w:lvl w:ilvl="0" w:tentative="0">
      <w:start w:val="1"/>
      <w:numFmt w:val="bullet"/>
      <w:pStyle w:val="20"/>
      <w:lvlText w:val=""/>
      <w:lvlJc w:val="left"/>
      <w:pPr>
        <w:tabs>
          <w:tab w:val="left" w:pos="2040"/>
        </w:tabs>
        <w:ind w:left="204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ZTBjZjRmNzkyODcwMzIzZDY0YWEyMWNhNzZkMTIifQ=="/>
  </w:docVars>
  <w:rsids>
    <w:rsidRoot w:val="626D4701"/>
    <w:rsid w:val="00000C21"/>
    <w:rsid w:val="00000E97"/>
    <w:rsid w:val="0000555C"/>
    <w:rsid w:val="00014AAF"/>
    <w:rsid w:val="00025749"/>
    <w:rsid w:val="000325C5"/>
    <w:rsid w:val="00037A78"/>
    <w:rsid w:val="00047D12"/>
    <w:rsid w:val="000512E1"/>
    <w:rsid w:val="0005357F"/>
    <w:rsid w:val="000609E0"/>
    <w:rsid w:val="00065EE2"/>
    <w:rsid w:val="00084DB8"/>
    <w:rsid w:val="000871B3"/>
    <w:rsid w:val="000A0871"/>
    <w:rsid w:val="000B120A"/>
    <w:rsid w:val="000B1548"/>
    <w:rsid w:val="000B41B3"/>
    <w:rsid w:val="000B53DF"/>
    <w:rsid w:val="000B7C99"/>
    <w:rsid w:val="000C024B"/>
    <w:rsid w:val="000C05E4"/>
    <w:rsid w:val="000D66B0"/>
    <w:rsid w:val="000F1855"/>
    <w:rsid w:val="000F4066"/>
    <w:rsid w:val="000F6FBD"/>
    <w:rsid w:val="00101383"/>
    <w:rsid w:val="001013B1"/>
    <w:rsid w:val="0010425C"/>
    <w:rsid w:val="0010659C"/>
    <w:rsid w:val="0012349D"/>
    <w:rsid w:val="00125883"/>
    <w:rsid w:val="00144141"/>
    <w:rsid w:val="0014562C"/>
    <w:rsid w:val="00152E55"/>
    <w:rsid w:val="00156941"/>
    <w:rsid w:val="00164C26"/>
    <w:rsid w:val="001650BB"/>
    <w:rsid w:val="00165386"/>
    <w:rsid w:val="00167ECB"/>
    <w:rsid w:val="0017329A"/>
    <w:rsid w:val="00186C96"/>
    <w:rsid w:val="00197C41"/>
    <w:rsid w:val="001A1480"/>
    <w:rsid w:val="001B1FB6"/>
    <w:rsid w:val="001B2F86"/>
    <w:rsid w:val="001B4683"/>
    <w:rsid w:val="001C1743"/>
    <w:rsid w:val="001D0156"/>
    <w:rsid w:val="001D0E25"/>
    <w:rsid w:val="001D1D7D"/>
    <w:rsid w:val="001D3226"/>
    <w:rsid w:val="001F1BC1"/>
    <w:rsid w:val="00200902"/>
    <w:rsid w:val="002112F7"/>
    <w:rsid w:val="00213AB4"/>
    <w:rsid w:val="00214E42"/>
    <w:rsid w:val="00226B48"/>
    <w:rsid w:val="0023087C"/>
    <w:rsid w:val="00247343"/>
    <w:rsid w:val="00247B01"/>
    <w:rsid w:val="002524C2"/>
    <w:rsid w:val="00256CD4"/>
    <w:rsid w:val="00263815"/>
    <w:rsid w:val="00270BE1"/>
    <w:rsid w:val="002804D4"/>
    <w:rsid w:val="00283937"/>
    <w:rsid w:val="00293C3E"/>
    <w:rsid w:val="002B1257"/>
    <w:rsid w:val="002C41B4"/>
    <w:rsid w:val="002D2C89"/>
    <w:rsid w:val="002D48AD"/>
    <w:rsid w:val="002D4D2A"/>
    <w:rsid w:val="002D7C93"/>
    <w:rsid w:val="002E7CF2"/>
    <w:rsid w:val="002F1CD0"/>
    <w:rsid w:val="00311590"/>
    <w:rsid w:val="00311A5F"/>
    <w:rsid w:val="00317288"/>
    <w:rsid w:val="00317B3F"/>
    <w:rsid w:val="00341DC0"/>
    <w:rsid w:val="003526D1"/>
    <w:rsid w:val="00354AD2"/>
    <w:rsid w:val="00363771"/>
    <w:rsid w:val="00364996"/>
    <w:rsid w:val="00367848"/>
    <w:rsid w:val="00372C34"/>
    <w:rsid w:val="00386D83"/>
    <w:rsid w:val="003870E4"/>
    <w:rsid w:val="00387F06"/>
    <w:rsid w:val="00395577"/>
    <w:rsid w:val="003A069B"/>
    <w:rsid w:val="003A7BDD"/>
    <w:rsid w:val="003B6A5E"/>
    <w:rsid w:val="003D2871"/>
    <w:rsid w:val="003D58D6"/>
    <w:rsid w:val="003E30AD"/>
    <w:rsid w:val="003E3A6C"/>
    <w:rsid w:val="003E7020"/>
    <w:rsid w:val="003F444D"/>
    <w:rsid w:val="003F7122"/>
    <w:rsid w:val="00411F8D"/>
    <w:rsid w:val="004179BC"/>
    <w:rsid w:val="0042080E"/>
    <w:rsid w:val="00421AD2"/>
    <w:rsid w:val="00423AA2"/>
    <w:rsid w:val="00425F02"/>
    <w:rsid w:val="00427DA7"/>
    <w:rsid w:val="0044437F"/>
    <w:rsid w:val="004501C7"/>
    <w:rsid w:val="004524A1"/>
    <w:rsid w:val="00453230"/>
    <w:rsid w:val="0045657D"/>
    <w:rsid w:val="00462869"/>
    <w:rsid w:val="0046459A"/>
    <w:rsid w:val="00477502"/>
    <w:rsid w:val="0048383E"/>
    <w:rsid w:val="004841F3"/>
    <w:rsid w:val="004A2D31"/>
    <w:rsid w:val="004B40F4"/>
    <w:rsid w:val="004C11D3"/>
    <w:rsid w:val="004C7F4C"/>
    <w:rsid w:val="004D0722"/>
    <w:rsid w:val="004D1674"/>
    <w:rsid w:val="004D720D"/>
    <w:rsid w:val="004F5723"/>
    <w:rsid w:val="005163F1"/>
    <w:rsid w:val="0051715A"/>
    <w:rsid w:val="00532B8E"/>
    <w:rsid w:val="0053684A"/>
    <w:rsid w:val="005416B0"/>
    <w:rsid w:val="00544FB9"/>
    <w:rsid w:val="00552242"/>
    <w:rsid w:val="00556A65"/>
    <w:rsid w:val="00563BAB"/>
    <w:rsid w:val="00592186"/>
    <w:rsid w:val="005B025F"/>
    <w:rsid w:val="005C48AE"/>
    <w:rsid w:val="005C682C"/>
    <w:rsid w:val="005C6DCB"/>
    <w:rsid w:val="005D2A54"/>
    <w:rsid w:val="005D3978"/>
    <w:rsid w:val="005F2711"/>
    <w:rsid w:val="00602BE9"/>
    <w:rsid w:val="00603465"/>
    <w:rsid w:val="00614224"/>
    <w:rsid w:val="0062452A"/>
    <w:rsid w:val="006333BE"/>
    <w:rsid w:val="00645057"/>
    <w:rsid w:val="00645991"/>
    <w:rsid w:val="0066491C"/>
    <w:rsid w:val="00667594"/>
    <w:rsid w:val="00677C49"/>
    <w:rsid w:val="00683724"/>
    <w:rsid w:val="00684300"/>
    <w:rsid w:val="00684DA1"/>
    <w:rsid w:val="00695E56"/>
    <w:rsid w:val="006A287E"/>
    <w:rsid w:val="006A4F31"/>
    <w:rsid w:val="006A5038"/>
    <w:rsid w:val="006B034A"/>
    <w:rsid w:val="006B4427"/>
    <w:rsid w:val="006C1771"/>
    <w:rsid w:val="006C3A39"/>
    <w:rsid w:val="006D2C21"/>
    <w:rsid w:val="006D493C"/>
    <w:rsid w:val="006E280F"/>
    <w:rsid w:val="006E67BB"/>
    <w:rsid w:val="006F1BC9"/>
    <w:rsid w:val="007315F2"/>
    <w:rsid w:val="00731666"/>
    <w:rsid w:val="00737613"/>
    <w:rsid w:val="00742020"/>
    <w:rsid w:val="007511A2"/>
    <w:rsid w:val="00761DE2"/>
    <w:rsid w:val="00763557"/>
    <w:rsid w:val="00770D3C"/>
    <w:rsid w:val="00771269"/>
    <w:rsid w:val="0078414E"/>
    <w:rsid w:val="0078705F"/>
    <w:rsid w:val="007874EE"/>
    <w:rsid w:val="007935F8"/>
    <w:rsid w:val="00794E60"/>
    <w:rsid w:val="0079552E"/>
    <w:rsid w:val="007B0E58"/>
    <w:rsid w:val="007B17D1"/>
    <w:rsid w:val="007B6B71"/>
    <w:rsid w:val="007B74A2"/>
    <w:rsid w:val="007C282D"/>
    <w:rsid w:val="007D1778"/>
    <w:rsid w:val="007D341D"/>
    <w:rsid w:val="007D424A"/>
    <w:rsid w:val="007D6269"/>
    <w:rsid w:val="007E76B6"/>
    <w:rsid w:val="007F1C6C"/>
    <w:rsid w:val="00800D4A"/>
    <w:rsid w:val="0081680A"/>
    <w:rsid w:val="00816C55"/>
    <w:rsid w:val="0081700E"/>
    <w:rsid w:val="00817F38"/>
    <w:rsid w:val="0082711D"/>
    <w:rsid w:val="008305F3"/>
    <w:rsid w:val="00851F22"/>
    <w:rsid w:val="00852358"/>
    <w:rsid w:val="00852E2B"/>
    <w:rsid w:val="00856B77"/>
    <w:rsid w:val="008571EF"/>
    <w:rsid w:val="00866B35"/>
    <w:rsid w:val="00867ACB"/>
    <w:rsid w:val="00875080"/>
    <w:rsid w:val="00876671"/>
    <w:rsid w:val="00877A7D"/>
    <w:rsid w:val="00890CDD"/>
    <w:rsid w:val="008A0482"/>
    <w:rsid w:val="008A0C20"/>
    <w:rsid w:val="008A33C1"/>
    <w:rsid w:val="008B7DB5"/>
    <w:rsid w:val="008C36C3"/>
    <w:rsid w:val="008C765E"/>
    <w:rsid w:val="008D2062"/>
    <w:rsid w:val="008D3E49"/>
    <w:rsid w:val="008D4EE8"/>
    <w:rsid w:val="008D794D"/>
    <w:rsid w:val="008F5403"/>
    <w:rsid w:val="008F67C8"/>
    <w:rsid w:val="00900126"/>
    <w:rsid w:val="00900666"/>
    <w:rsid w:val="00903886"/>
    <w:rsid w:val="00906786"/>
    <w:rsid w:val="00922D45"/>
    <w:rsid w:val="0092409A"/>
    <w:rsid w:val="00924AC3"/>
    <w:rsid w:val="009354CF"/>
    <w:rsid w:val="00941EA1"/>
    <w:rsid w:val="00945403"/>
    <w:rsid w:val="0094670C"/>
    <w:rsid w:val="00947F8D"/>
    <w:rsid w:val="00951938"/>
    <w:rsid w:val="009525CB"/>
    <w:rsid w:val="00956DAD"/>
    <w:rsid w:val="00981988"/>
    <w:rsid w:val="00981C4F"/>
    <w:rsid w:val="009915F2"/>
    <w:rsid w:val="009955C7"/>
    <w:rsid w:val="009A0C8B"/>
    <w:rsid w:val="009B3AEB"/>
    <w:rsid w:val="009C13F2"/>
    <w:rsid w:val="009D4E29"/>
    <w:rsid w:val="009E4D5C"/>
    <w:rsid w:val="00A0022E"/>
    <w:rsid w:val="00A0090B"/>
    <w:rsid w:val="00A17167"/>
    <w:rsid w:val="00A2067E"/>
    <w:rsid w:val="00A21767"/>
    <w:rsid w:val="00A219DA"/>
    <w:rsid w:val="00A23DD1"/>
    <w:rsid w:val="00A24BD2"/>
    <w:rsid w:val="00A31185"/>
    <w:rsid w:val="00A34D20"/>
    <w:rsid w:val="00A351FD"/>
    <w:rsid w:val="00A354C9"/>
    <w:rsid w:val="00A554FF"/>
    <w:rsid w:val="00A60D13"/>
    <w:rsid w:val="00A62C24"/>
    <w:rsid w:val="00A7048F"/>
    <w:rsid w:val="00A73DEB"/>
    <w:rsid w:val="00A76848"/>
    <w:rsid w:val="00A77A6D"/>
    <w:rsid w:val="00A8668E"/>
    <w:rsid w:val="00A875A2"/>
    <w:rsid w:val="00AA6F03"/>
    <w:rsid w:val="00AA71AE"/>
    <w:rsid w:val="00AD5F8A"/>
    <w:rsid w:val="00AD6DFC"/>
    <w:rsid w:val="00AE41F3"/>
    <w:rsid w:val="00AE64F4"/>
    <w:rsid w:val="00B22090"/>
    <w:rsid w:val="00B2482E"/>
    <w:rsid w:val="00B35C80"/>
    <w:rsid w:val="00B50F7C"/>
    <w:rsid w:val="00B52283"/>
    <w:rsid w:val="00B655B7"/>
    <w:rsid w:val="00B65CC5"/>
    <w:rsid w:val="00B76EA2"/>
    <w:rsid w:val="00B80032"/>
    <w:rsid w:val="00B82F37"/>
    <w:rsid w:val="00B85E93"/>
    <w:rsid w:val="00B9449C"/>
    <w:rsid w:val="00BB123F"/>
    <w:rsid w:val="00BB12F5"/>
    <w:rsid w:val="00BC0542"/>
    <w:rsid w:val="00BE2387"/>
    <w:rsid w:val="00BE32F3"/>
    <w:rsid w:val="00BF392B"/>
    <w:rsid w:val="00C046FC"/>
    <w:rsid w:val="00C23268"/>
    <w:rsid w:val="00C2773B"/>
    <w:rsid w:val="00C326CF"/>
    <w:rsid w:val="00C35E12"/>
    <w:rsid w:val="00C369B2"/>
    <w:rsid w:val="00C6002F"/>
    <w:rsid w:val="00C61013"/>
    <w:rsid w:val="00C615DE"/>
    <w:rsid w:val="00C616DC"/>
    <w:rsid w:val="00C7073A"/>
    <w:rsid w:val="00C759DF"/>
    <w:rsid w:val="00C81D01"/>
    <w:rsid w:val="00C87925"/>
    <w:rsid w:val="00C930D2"/>
    <w:rsid w:val="00C945D8"/>
    <w:rsid w:val="00CA17E5"/>
    <w:rsid w:val="00CC304D"/>
    <w:rsid w:val="00CC61A7"/>
    <w:rsid w:val="00CE387D"/>
    <w:rsid w:val="00CE6D91"/>
    <w:rsid w:val="00CF54E3"/>
    <w:rsid w:val="00CF6BAC"/>
    <w:rsid w:val="00CF77D0"/>
    <w:rsid w:val="00D0459A"/>
    <w:rsid w:val="00D15764"/>
    <w:rsid w:val="00D2077E"/>
    <w:rsid w:val="00D2641F"/>
    <w:rsid w:val="00D36184"/>
    <w:rsid w:val="00D444CF"/>
    <w:rsid w:val="00D47ED0"/>
    <w:rsid w:val="00D5150C"/>
    <w:rsid w:val="00D51D23"/>
    <w:rsid w:val="00D5657E"/>
    <w:rsid w:val="00D56B5D"/>
    <w:rsid w:val="00D67489"/>
    <w:rsid w:val="00D70D4E"/>
    <w:rsid w:val="00D743B5"/>
    <w:rsid w:val="00D807C4"/>
    <w:rsid w:val="00D97A7F"/>
    <w:rsid w:val="00DA1EEC"/>
    <w:rsid w:val="00DC7F8F"/>
    <w:rsid w:val="00DD0099"/>
    <w:rsid w:val="00DE0437"/>
    <w:rsid w:val="00DE1B1B"/>
    <w:rsid w:val="00DE3995"/>
    <w:rsid w:val="00DF6D2C"/>
    <w:rsid w:val="00E05239"/>
    <w:rsid w:val="00E05F53"/>
    <w:rsid w:val="00E11B01"/>
    <w:rsid w:val="00E24925"/>
    <w:rsid w:val="00E31F25"/>
    <w:rsid w:val="00E4604A"/>
    <w:rsid w:val="00E56EF6"/>
    <w:rsid w:val="00E57204"/>
    <w:rsid w:val="00E67FE8"/>
    <w:rsid w:val="00E746E0"/>
    <w:rsid w:val="00E91ABD"/>
    <w:rsid w:val="00E93F9C"/>
    <w:rsid w:val="00E97430"/>
    <w:rsid w:val="00EA262F"/>
    <w:rsid w:val="00EB05FB"/>
    <w:rsid w:val="00EB30AF"/>
    <w:rsid w:val="00EB5C93"/>
    <w:rsid w:val="00EC1A6C"/>
    <w:rsid w:val="00EC27EB"/>
    <w:rsid w:val="00EC36FB"/>
    <w:rsid w:val="00EC3893"/>
    <w:rsid w:val="00EC5A91"/>
    <w:rsid w:val="00EC7E7A"/>
    <w:rsid w:val="00EE6CB3"/>
    <w:rsid w:val="00EF1C65"/>
    <w:rsid w:val="00F23DDA"/>
    <w:rsid w:val="00F4011B"/>
    <w:rsid w:val="00F42E9E"/>
    <w:rsid w:val="00F502C2"/>
    <w:rsid w:val="00F62DF5"/>
    <w:rsid w:val="00F64304"/>
    <w:rsid w:val="00F7198A"/>
    <w:rsid w:val="00F7770D"/>
    <w:rsid w:val="00FA3931"/>
    <w:rsid w:val="00FA7D99"/>
    <w:rsid w:val="00FB3F55"/>
    <w:rsid w:val="00FC0AEA"/>
    <w:rsid w:val="00FC2D78"/>
    <w:rsid w:val="00FE287D"/>
    <w:rsid w:val="00FF0325"/>
    <w:rsid w:val="0100230E"/>
    <w:rsid w:val="010827C0"/>
    <w:rsid w:val="01092E43"/>
    <w:rsid w:val="010A6D7A"/>
    <w:rsid w:val="010C51BB"/>
    <w:rsid w:val="01135825"/>
    <w:rsid w:val="01194F6B"/>
    <w:rsid w:val="011D4062"/>
    <w:rsid w:val="012A19DD"/>
    <w:rsid w:val="0132715B"/>
    <w:rsid w:val="01341EE4"/>
    <w:rsid w:val="0136732D"/>
    <w:rsid w:val="013B4D07"/>
    <w:rsid w:val="014027D6"/>
    <w:rsid w:val="01420A1F"/>
    <w:rsid w:val="01454703"/>
    <w:rsid w:val="014632E9"/>
    <w:rsid w:val="01536131"/>
    <w:rsid w:val="01540B02"/>
    <w:rsid w:val="01543C57"/>
    <w:rsid w:val="01593008"/>
    <w:rsid w:val="01686E2B"/>
    <w:rsid w:val="01687703"/>
    <w:rsid w:val="016B44FB"/>
    <w:rsid w:val="016C3C2C"/>
    <w:rsid w:val="016D23E9"/>
    <w:rsid w:val="016D6E27"/>
    <w:rsid w:val="01767B23"/>
    <w:rsid w:val="017F0884"/>
    <w:rsid w:val="018007C7"/>
    <w:rsid w:val="01852063"/>
    <w:rsid w:val="01872519"/>
    <w:rsid w:val="01893391"/>
    <w:rsid w:val="018D7C36"/>
    <w:rsid w:val="018E7169"/>
    <w:rsid w:val="01912374"/>
    <w:rsid w:val="0192652E"/>
    <w:rsid w:val="01967485"/>
    <w:rsid w:val="01975F2A"/>
    <w:rsid w:val="01A83C46"/>
    <w:rsid w:val="01AA04FE"/>
    <w:rsid w:val="01AC75F0"/>
    <w:rsid w:val="01B01053"/>
    <w:rsid w:val="01B1011F"/>
    <w:rsid w:val="01B34E22"/>
    <w:rsid w:val="01B70B0C"/>
    <w:rsid w:val="01B841E6"/>
    <w:rsid w:val="01B96211"/>
    <w:rsid w:val="01BB483A"/>
    <w:rsid w:val="01BE3BEC"/>
    <w:rsid w:val="01C6057A"/>
    <w:rsid w:val="01DD669F"/>
    <w:rsid w:val="01E826AD"/>
    <w:rsid w:val="01E90844"/>
    <w:rsid w:val="01EF61BD"/>
    <w:rsid w:val="01F571E8"/>
    <w:rsid w:val="020147F5"/>
    <w:rsid w:val="020255DA"/>
    <w:rsid w:val="0203551B"/>
    <w:rsid w:val="02054386"/>
    <w:rsid w:val="02070CCA"/>
    <w:rsid w:val="021031C0"/>
    <w:rsid w:val="02165576"/>
    <w:rsid w:val="021B163F"/>
    <w:rsid w:val="021E4F0A"/>
    <w:rsid w:val="02222CAB"/>
    <w:rsid w:val="02225B04"/>
    <w:rsid w:val="023255B0"/>
    <w:rsid w:val="02326601"/>
    <w:rsid w:val="023575E5"/>
    <w:rsid w:val="023D293E"/>
    <w:rsid w:val="02431CA7"/>
    <w:rsid w:val="02441F1E"/>
    <w:rsid w:val="02450E6F"/>
    <w:rsid w:val="02466FC8"/>
    <w:rsid w:val="024D0D43"/>
    <w:rsid w:val="025362DD"/>
    <w:rsid w:val="025F4662"/>
    <w:rsid w:val="025F66DA"/>
    <w:rsid w:val="026033F5"/>
    <w:rsid w:val="02631E0C"/>
    <w:rsid w:val="026D4C89"/>
    <w:rsid w:val="027125E7"/>
    <w:rsid w:val="02720839"/>
    <w:rsid w:val="02721B6E"/>
    <w:rsid w:val="027D3B32"/>
    <w:rsid w:val="028467D7"/>
    <w:rsid w:val="028710B6"/>
    <w:rsid w:val="028832B4"/>
    <w:rsid w:val="028B1CBD"/>
    <w:rsid w:val="028B5457"/>
    <w:rsid w:val="028E3E1D"/>
    <w:rsid w:val="02985677"/>
    <w:rsid w:val="02B250DA"/>
    <w:rsid w:val="02B32C00"/>
    <w:rsid w:val="02BC3176"/>
    <w:rsid w:val="02C62D99"/>
    <w:rsid w:val="02C63A8E"/>
    <w:rsid w:val="02CE4475"/>
    <w:rsid w:val="02D84C0B"/>
    <w:rsid w:val="02DE6678"/>
    <w:rsid w:val="02E20D52"/>
    <w:rsid w:val="02E45BCC"/>
    <w:rsid w:val="02E86CF4"/>
    <w:rsid w:val="02F0175E"/>
    <w:rsid w:val="02F343D6"/>
    <w:rsid w:val="02F47865"/>
    <w:rsid w:val="02FD4578"/>
    <w:rsid w:val="02FE72EF"/>
    <w:rsid w:val="03060F81"/>
    <w:rsid w:val="03072D18"/>
    <w:rsid w:val="030C3836"/>
    <w:rsid w:val="030E1EF0"/>
    <w:rsid w:val="03125B78"/>
    <w:rsid w:val="03196F07"/>
    <w:rsid w:val="03292E3E"/>
    <w:rsid w:val="032D72C5"/>
    <w:rsid w:val="0333594B"/>
    <w:rsid w:val="035023B2"/>
    <w:rsid w:val="03524F86"/>
    <w:rsid w:val="035475FF"/>
    <w:rsid w:val="03580109"/>
    <w:rsid w:val="0359140E"/>
    <w:rsid w:val="035B12CD"/>
    <w:rsid w:val="0362429C"/>
    <w:rsid w:val="036306B7"/>
    <w:rsid w:val="03685798"/>
    <w:rsid w:val="037F384C"/>
    <w:rsid w:val="03810E94"/>
    <w:rsid w:val="039C5442"/>
    <w:rsid w:val="039F62FF"/>
    <w:rsid w:val="03A42D9E"/>
    <w:rsid w:val="03A45F3D"/>
    <w:rsid w:val="03A543C5"/>
    <w:rsid w:val="03A72764"/>
    <w:rsid w:val="03AA5DB1"/>
    <w:rsid w:val="03AE0B18"/>
    <w:rsid w:val="03B81543"/>
    <w:rsid w:val="03BD1133"/>
    <w:rsid w:val="03BD58AF"/>
    <w:rsid w:val="03DD6186"/>
    <w:rsid w:val="03EA5265"/>
    <w:rsid w:val="03EC63C9"/>
    <w:rsid w:val="03EF3B00"/>
    <w:rsid w:val="03F25F60"/>
    <w:rsid w:val="03F97208"/>
    <w:rsid w:val="03FD15F2"/>
    <w:rsid w:val="0402699B"/>
    <w:rsid w:val="04055096"/>
    <w:rsid w:val="040E43B5"/>
    <w:rsid w:val="04132425"/>
    <w:rsid w:val="04140837"/>
    <w:rsid w:val="04163446"/>
    <w:rsid w:val="041A1188"/>
    <w:rsid w:val="04241DDC"/>
    <w:rsid w:val="042F016D"/>
    <w:rsid w:val="04315245"/>
    <w:rsid w:val="043174BA"/>
    <w:rsid w:val="0431775F"/>
    <w:rsid w:val="043966BE"/>
    <w:rsid w:val="043D6302"/>
    <w:rsid w:val="043F4B84"/>
    <w:rsid w:val="04457D3F"/>
    <w:rsid w:val="04477832"/>
    <w:rsid w:val="044A50D4"/>
    <w:rsid w:val="044D191B"/>
    <w:rsid w:val="045759DC"/>
    <w:rsid w:val="0459638F"/>
    <w:rsid w:val="045B499F"/>
    <w:rsid w:val="045D65C9"/>
    <w:rsid w:val="04623E3F"/>
    <w:rsid w:val="04652BB5"/>
    <w:rsid w:val="04695C6C"/>
    <w:rsid w:val="046B19E4"/>
    <w:rsid w:val="046E7D44"/>
    <w:rsid w:val="047112B8"/>
    <w:rsid w:val="049727D9"/>
    <w:rsid w:val="049752DD"/>
    <w:rsid w:val="049F5EA2"/>
    <w:rsid w:val="04A3012C"/>
    <w:rsid w:val="04A348A8"/>
    <w:rsid w:val="04A42800"/>
    <w:rsid w:val="04A57DAB"/>
    <w:rsid w:val="04A77342"/>
    <w:rsid w:val="04AD53C5"/>
    <w:rsid w:val="04B769D7"/>
    <w:rsid w:val="04BB4853"/>
    <w:rsid w:val="04BD1B14"/>
    <w:rsid w:val="04BE2062"/>
    <w:rsid w:val="04C560E2"/>
    <w:rsid w:val="04CD7FA9"/>
    <w:rsid w:val="04DC5D07"/>
    <w:rsid w:val="04DE120A"/>
    <w:rsid w:val="04E11CA6"/>
    <w:rsid w:val="04E9263C"/>
    <w:rsid w:val="04EF6F26"/>
    <w:rsid w:val="05021A69"/>
    <w:rsid w:val="05070317"/>
    <w:rsid w:val="05081089"/>
    <w:rsid w:val="050C2C6B"/>
    <w:rsid w:val="05110248"/>
    <w:rsid w:val="051200B1"/>
    <w:rsid w:val="05145BD8"/>
    <w:rsid w:val="051538E2"/>
    <w:rsid w:val="051931EE"/>
    <w:rsid w:val="0520214C"/>
    <w:rsid w:val="05202CEB"/>
    <w:rsid w:val="052A0005"/>
    <w:rsid w:val="052B1173"/>
    <w:rsid w:val="05432019"/>
    <w:rsid w:val="05433538"/>
    <w:rsid w:val="054369B0"/>
    <w:rsid w:val="05461B09"/>
    <w:rsid w:val="054F6C10"/>
    <w:rsid w:val="055211C9"/>
    <w:rsid w:val="05535398"/>
    <w:rsid w:val="055735BD"/>
    <w:rsid w:val="05583F39"/>
    <w:rsid w:val="055F62E0"/>
    <w:rsid w:val="05685F23"/>
    <w:rsid w:val="057C7E0F"/>
    <w:rsid w:val="057E7A8F"/>
    <w:rsid w:val="0583779A"/>
    <w:rsid w:val="059547D4"/>
    <w:rsid w:val="05971C00"/>
    <w:rsid w:val="05A426C6"/>
    <w:rsid w:val="05A536B6"/>
    <w:rsid w:val="05B42F17"/>
    <w:rsid w:val="05C15080"/>
    <w:rsid w:val="05C23886"/>
    <w:rsid w:val="05C869C2"/>
    <w:rsid w:val="05D03B7D"/>
    <w:rsid w:val="05D2339D"/>
    <w:rsid w:val="05E530D0"/>
    <w:rsid w:val="05E64439"/>
    <w:rsid w:val="05E7509A"/>
    <w:rsid w:val="0601656F"/>
    <w:rsid w:val="06016913"/>
    <w:rsid w:val="06187C8D"/>
    <w:rsid w:val="061A6A13"/>
    <w:rsid w:val="061D3ED7"/>
    <w:rsid w:val="06230B0E"/>
    <w:rsid w:val="062E56B4"/>
    <w:rsid w:val="06344094"/>
    <w:rsid w:val="063C390E"/>
    <w:rsid w:val="063D115E"/>
    <w:rsid w:val="063E2020"/>
    <w:rsid w:val="063F4ED6"/>
    <w:rsid w:val="064153E6"/>
    <w:rsid w:val="06451DC1"/>
    <w:rsid w:val="064D0A01"/>
    <w:rsid w:val="064D6E62"/>
    <w:rsid w:val="065362D5"/>
    <w:rsid w:val="065C167B"/>
    <w:rsid w:val="065E0402"/>
    <w:rsid w:val="065F10D4"/>
    <w:rsid w:val="06611386"/>
    <w:rsid w:val="0670611D"/>
    <w:rsid w:val="06742F0A"/>
    <w:rsid w:val="06744B24"/>
    <w:rsid w:val="0678376A"/>
    <w:rsid w:val="06823015"/>
    <w:rsid w:val="068C21CA"/>
    <w:rsid w:val="069353D8"/>
    <w:rsid w:val="06965E6A"/>
    <w:rsid w:val="069F33E9"/>
    <w:rsid w:val="06A2436E"/>
    <w:rsid w:val="06A50B76"/>
    <w:rsid w:val="06A74829"/>
    <w:rsid w:val="06B0444D"/>
    <w:rsid w:val="06B25CA1"/>
    <w:rsid w:val="06B50CF4"/>
    <w:rsid w:val="06B7140A"/>
    <w:rsid w:val="06C013A0"/>
    <w:rsid w:val="06C45BA7"/>
    <w:rsid w:val="06C929F2"/>
    <w:rsid w:val="06CA6008"/>
    <w:rsid w:val="06CB238B"/>
    <w:rsid w:val="06D06938"/>
    <w:rsid w:val="06D1175A"/>
    <w:rsid w:val="06D907FD"/>
    <w:rsid w:val="06D962B0"/>
    <w:rsid w:val="06E4782C"/>
    <w:rsid w:val="06EE69EC"/>
    <w:rsid w:val="06F86E33"/>
    <w:rsid w:val="06FB15AB"/>
    <w:rsid w:val="06FB2296"/>
    <w:rsid w:val="06FD08ED"/>
    <w:rsid w:val="06FF05FE"/>
    <w:rsid w:val="07076DFD"/>
    <w:rsid w:val="07085D0E"/>
    <w:rsid w:val="07152133"/>
    <w:rsid w:val="071A149F"/>
    <w:rsid w:val="071B2595"/>
    <w:rsid w:val="071D5065"/>
    <w:rsid w:val="071D689A"/>
    <w:rsid w:val="071E412C"/>
    <w:rsid w:val="072145DC"/>
    <w:rsid w:val="07254947"/>
    <w:rsid w:val="072B00F8"/>
    <w:rsid w:val="073065CD"/>
    <w:rsid w:val="073112B4"/>
    <w:rsid w:val="07355D3B"/>
    <w:rsid w:val="073803D6"/>
    <w:rsid w:val="073A569E"/>
    <w:rsid w:val="07445970"/>
    <w:rsid w:val="074E358D"/>
    <w:rsid w:val="07520C39"/>
    <w:rsid w:val="075F6EB2"/>
    <w:rsid w:val="07660241"/>
    <w:rsid w:val="07691ADF"/>
    <w:rsid w:val="076C536F"/>
    <w:rsid w:val="076E638B"/>
    <w:rsid w:val="077537F6"/>
    <w:rsid w:val="077559CB"/>
    <w:rsid w:val="077730CD"/>
    <w:rsid w:val="077741FC"/>
    <w:rsid w:val="0778622D"/>
    <w:rsid w:val="077B29FF"/>
    <w:rsid w:val="077E0859"/>
    <w:rsid w:val="07824CE1"/>
    <w:rsid w:val="07840E49"/>
    <w:rsid w:val="07883367"/>
    <w:rsid w:val="078B7CA7"/>
    <w:rsid w:val="07904BF6"/>
    <w:rsid w:val="07986A57"/>
    <w:rsid w:val="079B7046"/>
    <w:rsid w:val="07B70A9C"/>
    <w:rsid w:val="07BF4B46"/>
    <w:rsid w:val="07CA4AC8"/>
    <w:rsid w:val="07D31F0E"/>
    <w:rsid w:val="07D4164E"/>
    <w:rsid w:val="07D4589C"/>
    <w:rsid w:val="07D52B48"/>
    <w:rsid w:val="07D76969"/>
    <w:rsid w:val="07DA7115"/>
    <w:rsid w:val="07E35DE8"/>
    <w:rsid w:val="07ED0962"/>
    <w:rsid w:val="07F04785"/>
    <w:rsid w:val="07F43DE5"/>
    <w:rsid w:val="07FA7E23"/>
    <w:rsid w:val="0802440D"/>
    <w:rsid w:val="080256DE"/>
    <w:rsid w:val="080E1BD0"/>
    <w:rsid w:val="08115849"/>
    <w:rsid w:val="08147C9D"/>
    <w:rsid w:val="081C718A"/>
    <w:rsid w:val="0837069C"/>
    <w:rsid w:val="08395955"/>
    <w:rsid w:val="083B668E"/>
    <w:rsid w:val="083E2F6B"/>
    <w:rsid w:val="08496777"/>
    <w:rsid w:val="084B18AA"/>
    <w:rsid w:val="084F3665"/>
    <w:rsid w:val="0857336D"/>
    <w:rsid w:val="08652A86"/>
    <w:rsid w:val="08652D8D"/>
    <w:rsid w:val="08702488"/>
    <w:rsid w:val="087244B5"/>
    <w:rsid w:val="087C4800"/>
    <w:rsid w:val="0882644F"/>
    <w:rsid w:val="08876B0D"/>
    <w:rsid w:val="08876EF2"/>
    <w:rsid w:val="088E3F19"/>
    <w:rsid w:val="08903B99"/>
    <w:rsid w:val="08966904"/>
    <w:rsid w:val="089F2F32"/>
    <w:rsid w:val="089F4D55"/>
    <w:rsid w:val="08A54C46"/>
    <w:rsid w:val="08AE049D"/>
    <w:rsid w:val="08B374B6"/>
    <w:rsid w:val="08B53817"/>
    <w:rsid w:val="08B66FA6"/>
    <w:rsid w:val="08C0216A"/>
    <w:rsid w:val="08D6430E"/>
    <w:rsid w:val="08D8516E"/>
    <w:rsid w:val="08DA452B"/>
    <w:rsid w:val="08DC164B"/>
    <w:rsid w:val="08E113D1"/>
    <w:rsid w:val="08E91129"/>
    <w:rsid w:val="08EB0A30"/>
    <w:rsid w:val="08F31FA8"/>
    <w:rsid w:val="08F83F86"/>
    <w:rsid w:val="08FC0CCA"/>
    <w:rsid w:val="08FF6B9F"/>
    <w:rsid w:val="09034E95"/>
    <w:rsid w:val="09090573"/>
    <w:rsid w:val="09104908"/>
    <w:rsid w:val="09176BA0"/>
    <w:rsid w:val="09196711"/>
    <w:rsid w:val="09203F56"/>
    <w:rsid w:val="09246605"/>
    <w:rsid w:val="09267C87"/>
    <w:rsid w:val="092D4D6D"/>
    <w:rsid w:val="092E4D8E"/>
    <w:rsid w:val="0930241E"/>
    <w:rsid w:val="09377FF6"/>
    <w:rsid w:val="093A622D"/>
    <w:rsid w:val="09442803"/>
    <w:rsid w:val="096802A0"/>
    <w:rsid w:val="09685C81"/>
    <w:rsid w:val="096B0965"/>
    <w:rsid w:val="097035F9"/>
    <w:rsid w:val="09706A8B"/>
    <w:rsid w:val="09706ADF"/>
    <w:rsid w:val="097813A4"/>
    <w:rsid w:val="098242DD"/>
    <w:rsid w:val="09894555"/>
    <w:rsid w:val="098C05B9"/>
    <w:rsid w:val="09972933"/>
    <w:rsid w:val="099E4EE1"/>
    <w:rsid w:val="09C23043"/>
    <w:rsid w:val="09C556F2"/>
    <w:rsid w:val="09C76502"/>
    <w:rsid w:val="09D31321"/>
    <w:rsid w:val="09E61F4C"/>
    <w:rsid w:val="09EA46E1"/>
    <w:rsid w:val="09EB083A"/>
    <w:rsid w:val="09F450DF"/>
    <w:rsid w:val="0A0211D5"/>
    <w:rsid w:val="0A122902"/>
    <w:rsid w:val="0A2168AE"/>
    <w:rsid w:val="0A383E93"/>
    <w:rsid w:val="0A385EB3"/>
    <w:rsid w:val="0A3E25DB"/>
    <w:rsid w:val="0A3F5E5E"/>
    <w:rsid w:val="0A426D43"/>
    <w:rsid w:val="0A476D33"/>
    <w:rsid w:val="0A482EEB"/>
    <w:rsid w:val="0A530F50"/>
    <w:rsid w:val="0A60541B"/>
    <w:rsid w:val="0A657776"/>
    <w:rsid w:val="0A665114"/>
    <w:rsid w:val="0A6767AA"/>
    <w:rsid w:val="0A6D1CCE"/>
    <w:rsid w:val="0A6D60C7"/>
    <w:rsid w:val="0A7039F0"/>
    <w:rsid w:val="0A765FB8"/>
    <w:rsid w:val="0A9A3BB0"/>
    <w:rsid w:val="0AA2632E"/>
    <w:rsid w:val="0AA43604"/>
    <w:rsid w:val="0AB04E98"/>
    <w:rsid w:val="0AB17A25"/>
    <w:rsid w:val="0AB67731"/>
    <w:rsid w:val="0ABB6AF5"/>
    <w:rsid w:val="0ABC0CAB"/>
    <w:rsid w:val="0AD53617"/>
    <w:rsid w:val="0AD63D2D"/>
    <w:rsid w:val="0AD97CBD"/>
    <w:rsid w:val="0ADD5EFE"/>
    <w:rsid w:val="0ADE46E3"/>
    <w:rsid w:val="0AE71648"/>
    <w:rsid w:val="0AFA535C"/>
    <w:rsid w:val="0AFD1714"/>
    <w:rsid w:val="0B0A6548"/>
    <w:rsid w:val="0B0B35D9"/>
    <w:rsid w:val="0B0E19AF"/>
    <w:rsid w:val="0B1103B5"/>
    <w:rsid w:val="0B127B03"/>
    <w:rsid w:val="0B1316BA"/>
    <w:rsid w:val="0B1F2F4E"/>
    <w:rsid w:val="0B2017A7"/>
    <w:rsid w:val="0B220922"/>
    <w:rsid w:val="0B22666B"/>
    <w:rsid w:val="0B2B4F36"/>
    <w:rsid w:val="0B2D2264"/>
    <w:rsid w:val="0B2E72C7"/>
    <w:rsid w:val="0B350656"/>
    <w:rsid w:val="0B3C44AA"/>
    <w:rsid w:val="0B4147A0"/>
    <w:rsid w:val="0B422D73"/>
    <w:rsid w:val="0B424B21"/>
    <w:rsid w:val="0B444D3D"/>
    <w:rsid w:val="0B492513"/>
    <w:rsid w:val="0B4E5BBB"/>
    <w:rsid w:val="0B584344"/>
    <w:rsid w:val="0B644CDF"/>
    <w:rsid w:val="0B660775"/>
    <w:rsid w:val="0B6C304D"/>
    <w:rsid w:val="0B6F3FD2"/>
    <w:rsid w:val="0B702776"/>
    <w:rsid w:val="0B7D6EAD"/>
    <w:rsid w:val="0B7F09E9"/>
    <w:rsid w:val="0B8406F4"/>
    <w:rsid w:val="0B860374"/>
    <w:rsid w:val="0B871679"/>
    <w:rsid w:val="0B8C227D"/>
    <w:rsid w:val="0B8F5A3B"/>
    <w:rsid w:val="0B9026B1"/>
    <w:rsid w:val="0B906A44"/>
    <w:rsid w:val="0B925AA8"/>
    <w:rsid w:val="0B9F6417"/>
    <w:rsid w:val="0BB20413"/>
    <w:rsid w:val="0BB41243"/>
    <w:rsid w:val="0BB66944"/>
    <w:rsid w:val="0BCE2DB1"/>
    <w:rsid w:val="0BD133E0"/>
    <w:rsid w:val="0BD22349"/>
    <w:rsid w:val="0BDB1103"/>
    <w:rsid w:val="0BE1265C"/>
    <w:rsid w:val="0BE81B6C"/>
    <w:rsid w:val="0BF05825"/>
    <w:rsid w:val="0BF33ED5"/>
    <w:rsid w:val="0BF51ABF"/>
    <w:rsid w:val="0BF873AE"/>
    <w:rsid w:val="0C013541"/>
    <w:rsid w:val="0C08445B"/>
    <w:rsid w:val="0C1002D8"/>
    <w:rsid w:val="0C1069CD"/>
    <w:rsid w:val="0C1C2F3E"/>
    <w:rsid w:val="0C314090"/>
    <w:rsid w:val="0C361799"/>
    <w:rsid w:val="0C3628D7"/>
    <w:rsid w:val="0C3E708E"/>
    <w:rsid w:val="0C3F7F8A"/>
    <w:rsid w:val="0C421E03"/>
    <w:rsid w:val="0C426528"/>
    <w:rsid w:val="0C45497E"/>
    <w:rsid w:val="0C540FAF"/>
    <w:rsid w:val="0C5819C7"/>
    <w:rsid w:val="0C702ABC"/>
    <w:rsid w:val="0C873133"/>
    <w:rsid w:val="0C9275AC"/>
    <w:rsid w:val="0C9413AC"/>
    <w:rsid w:val="0C9475FE"/>
    <w:rsid w:val="0C970F7A"/>
    <w:rsid w:val="0C98512E"/>
    <w:rsid w:val="0C9A05F9"/>
    <w:rsid w:val="0C9B7EBC"/>
    <w:rsid w:val="0C9C30EE"/>
    <w:rsid w:val="0C9E0E40"/>
    <w:rsid w:val="0CA2345C"/>
    <w:rsid w:val="0CA42D4A"/>
    <w:rsid w:val="0CAC7F34"/>
    <w:rsid w:val="0CAD1DF7"/>
    <w:rsid w:val="0CAE1635"/>
    <w:rsid w:val="0CB63A18"/>
    <w:rsid w:val="0CBD06F8"/>
    <w:rsid w:val="0CBE28CD"/>
    <w:rsid w:val="0CC222B6"/>
    <w:rsid w:val="0CC24C8B"/>
    <w:rsid w:val="0CC3138F"/>
    <w:rsid w:val="0CC85A69"/>
    <w:rsid w:val="0CD0733F"/>
    <w:rsid w:val="0CD33899"/>
    <w:rsid w:val="0CDE6ACB"/>
    <w:rsid w:val="0CE37658"/>
    <w:rsid w:val="0CE54E38"/>
    <w:rsid w:val="0CE74AB8"/>
    <w:rsid w:val="0CEA3FD4"/>
    <w:rsid w:val="0CF43DCE"/>
    <w:rsid w:val="0CFC11DA"/>
    <w:rsid w:val="0CFD6C5C"/>
    <w:rsid w:val="0D0E115E"/>
    <w:rsid w:val="0D114D4D"/>
    <w:rsid w:val="0D172FF8"/>
    <w:rsid w:val="0D183D8B"/>
    <w:rsid w:val="0D1A078A"/>
    <w:rsid w:val="0D2210AE"/>
    <w:rsid w:val="0D2408DB"/>
    <w:rsid w:val="0D2B0644"/>
    <w:rsid w:val="0D2F087C"/>
    <w:rsid w:val="0D35493D"/>
    <w:rsid w:val="0D3C7A45"/>
    <w:rsid w:val="0D3D493B"/>
    <w:rsid w:val="0D413ECD"/>
    <w:rsid w:val="0D49663A"/>
    <w:rsid w:val="0D4C1C87"/>
    <w:rsid w:val="0D4C603B"/>
    <w:rsid w:val="0D502242"/>
    <w:rsid w:val="0D556D8D"/>
    <w:rsid w:val="0D5F67D2"/>
    <w:rsid w:val="0D5F6D00"/>
    <w:rsid w:val="0D6129B4"/>
    <w:rsid w:val="0D655386"/>
    <w:rsid w:val="0D6B4DDA"/>
    <w:rsid w:val="0D6C40D7"/>
    <w:rsid w:val="0D6E7DE6"/>
    <w:rsid w:val="0D71332C"/>
    <w:rsid w:val="0D772485"/>
    <w:rsid w:val="0D841421"/>
    <w:rsid w:val="0D847672"/>
    <w:rsid w:val="0D864599"/>
    <w:rsid w:val="0D870F11"/>
    <w:rsid w:val="0D892919"/>
    <w:rsid w:val="0D8933C0"/>
    <w:rsid w:val="0D8942C1"/>
    <w:rsid w:val="0D8A1D43"/>
    <w:rsid w:val="0D99476A"/>
    <w:rsid w:val="0DA039E1"/>
    <w:rsid w:val="0DA17C6F"/>
    <w:rsid w:val="0DA54274"/>
    <w:rsid w:val="0DA90C84"/>
    <w:rsid w:val="0DA90E87"/>
    <w:rsid w:val="0DAE2A7C"/>
    <w:rsid w:val="0DB8738F"/>
    <w:rsid w:val="0DBD22BE"/>
    <w:rsid w:val="0DC83A03"/>
    <w:rsid w:val="0DD04A36"/>
    <w:rsid w:val="0DD66714"/>
    <w:rsid w:val="0DD7425F"/>
    <w:rsid w:val="0DD92896"/>
    <w:rsid w:val="0DE8004D"/>
    <w:rsid w:val="0DEF71E2"/>
    <w:rsid w:val="0DFE5079"/>
    <w:rsid w:val="0E0E70AF"/>
    <w:rsid w:val="0E0F581F"/>
    <w:rsid w:val="0E215DA0"/>
    <w:rsid w:val="0E3147FF"/>
    <w:rsid w:val="0E320E7D"/>
    <w:rsid w:val="0E3432FC"/>
    <w:rsid w:val="0E3746E5"/>
    <w:rsid w:val="0E3C75E8"/>
    <w:rsid w:val="0E433DCE"/>
    <w:rsid w:val="0E434D74"/>
    <w:rsid w:val="0E440BB0"/>
    <w:rsid w:val="0E4711FC"/>
    <w:rsid w:val="0E503364"/>
    <w:rsid w:val="0E5055E0"/>
    <w:rsid w:val="0E5C7458"/>
    <w:rsid w:val="0E641E5B"/>
    <w:rsid w:val="0E794CFD"/>
    <w:rsid w:val="0E82452A"/>
    <w:rsid w:val="0E8820FF"/>
    <w:rsid w:val="0E8A01E0"/>
    <w:rsid w:val="0E8A76E7"/>
    <w:rsid w:val="0E981627"/>
    <w:rsid w:val="0E9A7981"/>
    <w:rsid w:val="0EA826EF"/>
    <w:rsid w:val="0EAD402D"/>
    <w:rsid w:val="0EB14497"/>
    <w:rsid w:val="0EB2035C"/>
    <w:rsid w:val="0EB60368"/>
    <w:rsid w:val="0EBB3739"/>
    <w:rsid w:val="0EBB45B0"/>
    <w:rsid w:val="0EBF44CC"/>
    <w:rsid w:val="0EC30910"/>
    <w:rsid w:val="0EE7289D"/>
    <w:rsid w:val="0EED198A"/>
    <w:rsid w:val="0EEF3A7D"/>
    <w:rsid w:val="0EF16F8A"/>
    <w:rsid w:val="0F035895"/>
    <w:rsid w:val="0F075BB4"/>
    <w:rsid w:val="0F083839"/>
    <w:rsid w:val="0F0937B1"/>
    <w:rsid w:val="0F0B1598"/>
    <w:rsid w:val="0F0C1085"/>
    <w:rsid w:val="0F124148"/>
    <w:rsid w:val="0F1A3753"/>
    <w:rsid w:val="0F1E1A92"/>
    <w:rsid w:val="0F29227F"/>
    <w:rsid w:val="0F2A17EF"/>
    <w:rsid w:val="0F2A424A"/>
    <w:rsid w:val="0F360E40"/>
    <w:rsid w:val="0F421593"/>
    <w:rsid w:val="0F470D9F"/>
    <w:rsid w:val="0F4946D0"/>
    <w:rsid w:val="0F4F61AB"/>
    <w:rsid w:val="0F530435"/>
    <w:rsid w:val="0F582B65"/>
    <w:rsid w:val="0F5D461F"/>
    <w:rsid w:val="0F673852"/>
    <w:rsid w:val="0F6D16A6"/>
    <w:rsid w:val="0F706100"/>
    <w:rsid w:val="0F7605E9"/>
    <w:rsid w:val="0F801455"/>
    <w:rsid w:val="0F841BAC"/>
    <w:rsid w:val="0F863461"/>
    <w:rsid w:val="0F8E6586"/>
    <w:rsid w:val="0F966920"/>
    <w:rsid w:val="0FA27904"/>
    <w:rsid w:val="0FAC53B1"/>
    <w:rsid w:val="0FAE26AE"/>
    <w:rsid w:val="0FAE6C29"/>
    <w:rsid w:val="0FB26719"/>
    <w:rsid w:val="0FBB72D2"/>
    <w:rsid w:val="0FBC30F4"/>
    <w:rsid w:val="0FBF4992"/>
    <w:rsid w:val="0FCB1378"/>
    <w:rsid w:val="0FCF0446"/>
    <w:rsid w:val="0FD85A54"/>
    <w:rsid w:val="0FDC02B9"/>
    <w:rsid w:val="0FE963AA"/>
    <w:rsid w:val="0FED152D"/>
    <w:rsid w:val="0FED4DAE"/>
    <w:rsid w:val="0FFC0435"/>
    <w:rsid w:val="100A27E6"/>
    <w:rsid w:val="100E52E5"/>
    <w:rsid w:val="101626F1"/>
    <w:rsid w:val="10196798"/>
    <w:rsid w:val="101E0F8B"/>
    <w:rsid w:val="1026789F"/>
    <w:rsid w:val="10277223"/>
    <w:rsid w:val="102D2316"/>
    <w:rsid w:val="10311774"/>
    <w:rsid w:val="10341FC5"/>
    <w:rsid w:val="1034712E"/>
    <w:rsid w:val="10356C77"/>
    <w:rsid w:val="1036045C"/>
    <w:rsid w:val="103E61FE"/>
    <w:rsid w:val="10454F2C"/>
    <w:rsid w:val="1046124C"/>
    <w:rsid w:val="104650B3"/>
    <w:rsid w:val="10586550"/>
    <w:rsid w:val="105B2D61"/>
    <w:rsid w:val="105B6243"/>
    <w:rsid w:val="105F05EB"/>
    <w:rsid w:val="106732D8"/>
    <w:rsid w:val="10695E93"/>
    <w:rsid w:val="10765F41"/>
    <w:rsid w:val="107B371A"/>
    <w:rsid w:val="107D6C1D"/>
    <w:rsid w:val="108A4FA0"/>
    <w:rsid w:val="108A6A3A"/>
    <w:rsid w:val="108D3635"/>
    <w:rsid w:val="10947BCD"/>
    <w:rsid w:val="109E46AD"/>
    <w:rsid w:val="109E58C6"/>
    <w:rsid w:val="10A1053B"/>
    <w:rsid w:val="10A21A15"/>
    <w:rsid w:val="10A235DA"/>
    <w:rsid w:val="10A32F80"/>
    <w:rsid w:val="10A41E19"/>
    <w:rsid w:val="10A57B8D"/>
    <w:rsid w:val="10A66261"/>
    <w:rsid w:val="10AA09E6"/>
    <w:rsid w:val="10AC13BA"/>
    <w:rsid w:val="10AE6139"/>
    <w:rsid w:val="10B377E7"/>
    <w:rsid w:val="10B61772"/>
    <w:rsid w:val="10B93578"/>
    <w:rsid w:val="10B947C6"/>
    <w:rsid w:val="10C1060B"/>
    <w:rsid w:val="10D90EB1"/>
    <w:rsid w:val="10DC5568"/>
    <w:rsid w:val="10E93D4E"/>
    <w:rsid w:val="10EC0EC1"/>
    <w:rsid w:val="10F82CE4"/>
    <w:rsid w:val="10FF266F"/>
    <w:rsid w:val="11036AF6"/>
    <w:rsid w:val="110A4283"/>
    <w:rsid w:val="110B1649"/>
    <w:rsid w:val="11167533"/>
    <w:rsid w:val="111E36A6"/>
    <w:rsid w:val="111F2BA3"/>
    <w:rsid w:val="11366254"/>
    <w:rsid w:val="11397AC9"/>
    <w:rsid w:val="11397D9C"/>
    <w:rsid w:val="113D39E9"/>
    <w:rsid w:val="11412876"/>
    <w:rsid w:val="11427629"/>
    <w:rsid w:val="114E14F4"/>
    <w:rsid w:val="115320F9"/>
    <w:rsid w:val="11560AFF"/>
    <w:rsid w:val="115F398D"/>
    <w:rsid w:val="116A2A5A"/>
    <w:rsid w:val="1170098A"/>
    <w:rsid w:val="117479FE"/>
    <w:rsid w:val="117624E9"/>
    <w:rsid w:val="118D31D7"/>
    <w:rsid w:val="11986468"/>
    <w:rsid w:val="1199286D"/>
    <w:rsid w:val="11A2456B"/>
    <w:rsid w:val="11A908E8"/>
    <w:rsid w:val="11AF682D"/>
    <w:rsid w:val="11B14E3C"/>
    <w:rsid w:val="11B36C9A"/>
    <w:rsid w:val="11B52F3C"/>
    <w:rsid w:val="11B54C60"/>
    <w:rsid w:val="11B61696"/>
    <w:rsid w:val="11B65B5E"/>
    <w:rsid w:val="11BB0CCA"/>
    <w:rsid w:val="11BC1B28"/>
    <w:rsid w:val="11BC62A5"/>
    <w:rsid w:val="11C336B1"/>
    <w:rsid w:val="11C45D75"/>
    <w:rsid w:val="11C5787A"/>
    <w:rsid w:val="11D2214E"/>
    <w:rsid w:val="11DA02A7"/>
    <w:rsid w:val="11E15093"/>
    <w:rsid w:val="11F2677F"/>
    <w:rsid w:val="11F363FF"/>
    <w:rsid w:val="11F73FB5"/>
    <w:rsid w:val="11FD17D8"/>
    <w:rsid w:val="120945EA"/>
    <w:rsid w:val="121D28D6"/>
    <w:rsid w:val="121E2FC0"/>
    <w:rsid w:val="122265A5"/>
    <w:rsid w:val="12240253"/>
    <w:rsid w:val="12282CC2"/>
    <w:rsid w:val="12297DF0"/>
    <w:rsid w:val="122C139D"/>
    <w:rsid w:val="122E18E7"/>
    <w:rsid w:val="12315932"/>
    <w:rsid w:val="12321767"/>
    <w:rsid w:val="12383FA4"/>
    <w:rsid w:val="123C2076"/>
    <w:rsid w:val="123E24E6"/>
    <w:rsid w:val="12454595"/>
    <w:rsid w:val="12497348"/>
    <w:rsid w:val="124A6FB7"/>
    <w:rsid w:val="124B488F"/>
    <w:rsid w:val="1250214B"/>
    <w:rsid w:val="12505A3F"/>
    <w:rsid w:val="12521AED"/>
    <w:rsid w:val="126675CA"/>
    <w:rsid w:val="12745A53"/>
    <w:rsid w:val="1277225B"/>
    <w:rsid w:val="12784A96"/>
    <w:rsid w:val="1279575E"/>
    <w:rsid w:val="127C38A5"/>
    <w:rsid w:val="127D762D"/>
    <w:rsid w:val="12802B6B"/>
    <w:rsid w:val="12850115"/>
    <w:rsid w:val="129263B0"/>
    <w:rsid w:val="12964D0E"/>
    <w:rsid w:val="12965B08"/>
    <w:rsid w:val="12973433"/>
    <w:rsid w:val="12AF5E5F"/>
    <w:rsid w:val="12B24C82"/>
    <w:rsid w:val="12B26793"/>
    <w:rsid w:val="12BC165D"/>
    <w:rsid w:val="12C10A21"/>
    <w:rsid w:val="12CC7795"/>
    <w:rsid w:val="12D1335A"/>
    <w:rsid w:val="12D15DED"/>
    <w:rsid w:val="12D44BF8"/>
    <w:rsid w:val="12D70244"/>
    <w:rsid w:val="12D8271C"/>
    <w:rsid w:val="12E666D9"/>
    <w:rsid w:val="12EE01CF"/>
    <w:rsid w:val="12F02E1F"/>
    <w:rsid w:val="12F54C25"/>
    <w:rsid w:val="130143BE"/>
    <w:rsid w:val="13050CDE"/>
    <w:rsid w:val="130B144A"/>
    <w:rsid w:val="130C6ECC"/>
    <w:rsid w:val="131B26D2"/>
    <w:rsid w:val="13267CD2"/>
    <w:rsid w:val="13286518"/>
    <w:rsid w:val="133D7EB5"/>
    <w:rsid w:val="13545F18"/>
    <w:rsid w:val="135E1B38"/>
    <w:rsid w:val="1369519F"/>
    <w:rsid w:val="137C646B"/>
    <w:rsid w:val="138B466E"/>
    <w:rsid w:val="138E5313"/>
    <w:rsid w:val="13985C26"/>
    <w:rsid w:val="139C67BB"/>
    <w:rsid w:val="13A6786B"/>
    <w:rsid w:val="13AB6E65"/>
    <w:rsid w:val="13B26760"/>
    <w:rsid w:val="13B50586"/>
    <w:rsid w:val="13C10F79"/>
    <w:rsid w:val="13C23177"/>
    <w:rsid w:val="13C54541"/>
    <w:rsid w:val="13D8531B"/>
    <w:rsid w:val="13E001A9"/>
    <w:rsid w:val="13E26254"/>
    <w:rsid w:val="13E36F2F"/>
    <w:rsid w:val="13E75935"/>
    <w:rsid w:val="13E77B33"/>
    <w:rsid w:val="13E96481"/>
    <w:rsid w:val="13E96730"/>
    <w:rsid w:val="13EB3FA7"/>
    <w:rsid w:val="13F25E7B"/>
    <w:rsid w:val="13FC61B5"/>
    <w:rsid w:val="14013F61"/>
    <w:rsid w:val="14095B03"/>
    <w:rsid w:val="14096B23"/>
    <w:rsid w:val="140B464A"/>
    <w:rsid w:val="141334FE"/>
    <w:rsid w:val="14210CB4"/>
    <w:rsid w:val="142D3320"/>
    <w:rsid w:val="142E0338"/>
    <w:rsid w:val="1432106B"/>
    <w:rsid w:val="143B2C75"/>
    <w:rsid w:val="143D6344"/>
    <w:rsid w:val="14403A45"/>
    <w:rsid w:val="144072C9"/>
    <w:rsid w:val="144D040A"/>
    <w:rsid w:val="144F735B"/>
    <w:rsid w:val="14534C64"/>
    <w:rsid w:val="14575AE1"/>
    <w:rsid w:val="145A1B30"/>
    <w:rsid w:val="1463525B"/>
    <w:rsid w:val="14691370"/>
    <w:rsid w:val="146A4EF3"/>
    <w:rsid w:val="14757D15"/>
    <w:rsid w:val="14771F43"/>
    <w:rsid w:val="1479563A"/>
    <w:rsid w:val="147E7034"/>
    <w:rsid w:val="1480482F"/>
    <w:rsid w:val="14850007"/>
    <w:rsid w:val="1487320F"/>
    <w:rsid w:val="148803C5"/>
    <w:rsid w:val="14885C9A"/>
    <w:rsid w:val="14891B03"/>
    <w:rsid w:val="148F5586"/>
    <w:rsid w:val="14904AC9"/>
    <w:rsid w:val="14975EDD"/>
    <w:rsid w:val="149A59CD"/>
    <w:rsid w:val="14A14A06"/>
    <w:rsid w:val="14A4376A"/>
    <w:rsid w:val="14B7010D"/>
    <w:rsid w:val="14B7657F"/>
    <w:rsid w:val="14C12F5A"/>
    <w:rsid w:val="14CB1B54"/>
    <w:rsid w:val="14CC6EAC"/>
    <w:rsid w:val="14D013EF"/>
    <w:rsid w:val="14D0755A"/>
    <w:rsid w:val="14D7452C"/>
    <w:rsid w:val="14E60828"/>
    <w:rsid w:val="14E867DD"/>
    <w:rsid w:val="14F67CF1"/>
    <w:rsid w:val="15035D17"/>
    <w:rsid w:val="150C0679"/>
    <w:rsid w:val="15104542"/>
    <w:rsid w:val="151237B6"/>
    <w:rsid w:val="15352214"/>
    <w:rsid w:val="15437DF0"/>
    <w:rsid w:val="154C2369"/>
    <w:rsid w:val="154D1B14"/>
    <w:rsid w:val="155344FA"/>
    <w:rsid w:val="155E4C4D"/>
    <w:rsid w:val="15670525"/>
    <w:rsid w:val="156B3533"/>
    <w:rsid w:val="156C270C"/>
    <w:rsid w:val="15722EBE"/>
    <w:rsid w:val="15777A12"/>
    <w:rsid w:val="157923F4"/>
    <w:rsid w:val="157C124F"/>
    <w:rsid w:val="157F111E"/>
    <w:rsid w:val="158043D2"/>
    <w:rsid w:val="15835356"/>
    <w:rsid w:val="15850005"/>
    <w:rsid w:val="15B17473"/>
    <w:rsid w:val="15B25EA5"/>
    <w:rsid w:val="15BC4477"/>
    <w:rsid w:val="15C26F8A"/>
    <w:rsid w:val="15F34710"/>
    <w:rsid w:val="15F553C2"/>
    <w:rsid w:val="15FA517B"/>
    <w:rsid w:val="15FE0523"/>
    <w:rsid w:val="15FF4DC2"/>
    <w:rsid w:val="160101E2"/>
    <w:rsid w:val="16021A7C"/>
    <w:rsid w:val="160457F4"/>
    <w:rsid w:val="160929E4"/>
    <w:rsid w:val="161131D0"/>
    <w:rsid w:val="161240A8"/>
    <w:rsid w:val="161271C4"/>
    <w:rsid w:val="161F262E"/>
    <w:rsid w:val="16206570"/>
    <w:rsid w:val="16232CB5"/>
    <w:rsid w:val="162503E3"/>
    <w:rsid w:val="162C39BB"/>
    <w:rsid w:val="16332F7C"/>
    <w:rsid w:val="16530B6F"/>
    <w:rsid w:val="165322D8"/>
    <w:rsid w:val="16584885"/>
    <w:rsid w:val="165E095B"/>
    <w:rsid w:val="16603300"/>
    <w:rsid w:val="16604009"/>
    <w:rsid w:val="166127C6"/>
    <w:rsid w:val="16620948"/>
    <w:rsid w:val="16642B29"/>
    <w:rsid w:val="166511CC"/>
    <w:rsid w:val="166720C6"/>
    <w:rsid w:val="166D3379"/>
    <w:rsid w:val="166E0EC0"/>
    <w:rsid w:val="167277A4"/>
    <w:rsid w:val="1677276B"/>
    <w:rsid w:val="167F2C67"/>
    <w:rsid w:val="16831DBB"/>
    <w:rsid w:val="168C1EE9"/>
    <w:rsid w:val="168C6466"/>
    <w:rsid w:val="168D490F"/>
    <w:rsid w:val="168E50BE"/>
    <w:rsid w:val="16924568"/>
    <w:rsid w:val="1693212B"/>
    <w:rsid w:val="16964B6B"/>
    <w:rsid w:val="16A6065A"/>
    <w:rsid w:val="16A85139"/>
    <w:rsid w:val="16BD3C91"/>
    <w:rsid w:val="16BF796D"/>
    <w:rsid w:val="16C005E1"/>
    <w:rsid w:val="16C16063"/>
    <w:rsid w:val="16C3605A"/>
    <w:rsid w:val="16CA259A"/>
    <w:rsid w:val="16DC22CD"/>
    <w:rsid w:val="16E64EFA"/>
    <w:rsid w:val="16EA5582"/>
    <w:rsid w:val="16ED44DA"/>
    <w:rsid w:val="16EF3DAF"/>
    <w:rsid w:val="16F342B3"/>
    <w:rsid w:val="16F44350"/>
    <w:rsid w:val="16F56E22"/>
    <w:rsid w:val="17005FBC"/>
    <w:rsid w:val="17035AAC"/>
    <w:rsid w:val="17067D6F"/>
    <w:rsid w:val="17081A86"/>
    <w:rsid w:val="170F6309"/>
    <w:rsid w:val="17155F41"/>
    <w:rsid w:val="171731EE"/>
    <w:rsid w:val="171A33EA"/>
    <w:rsid w:val="171B399B"/>
    <w:rsid w:val="171C2EF9"/>
    <w:rsid w:val="17217381"/>
    <w:rsid w:val="1723614E"/>
    <w:rsid w:val="17237EFC"/>
    <w:rsid w:val="17243E8E"/>
    <w:rsid w:val="17271CFF"/>
    <w:rsid w:val="172872C1"/>
    <w:rsid w:val="172F4B9E"/>
    <w:rsid w:val="17334B98"/>
    <w:rsid w:val="17342109"/>
    <w:rsid w:val="17363AA3"/>
    <w:rsid w:val="173C2649"/>
    <w:rsid w:val="173C7439"/>
    <w:rsid w:val="174560C4"/>
    <w:rsid w:val="17494CC2"/>
    <w:rsid w:val="174C5CEE"/>
    <w:rsid w:val="174E6F4B"/>
    <w:rsid w:val="175334D6"/>
    <w:rsid w:val="175679E0"/>
    <w:rsid w:val="175C51BC"/>
    <w:rsid w:val="17606E66"/>
    <w:rsid w:val="176432ED"/>
    <w:rsid w:val="17685152"/>
    <w:rsid w:val="176E3BFD"/>
    <w:rsid w:val="17710405"/>
    <w:rsid w:val="17824C23"/>
    <w:rsid w:val="178C31AD"/>
    <w:rsid w:val="178D535E"/>
    <w:rsid w:val="17905436"/>
    <w:rsid w:val="17942BA8"/>
    <w:rsid w:val="179D474C"/>
    <w:rsid w:val="17AD5A18"/>
    <w:rsid w:val="17AF5CEB"/>
    <w:rsid w:val="17B74248"/>
    <w:rsid w:val="17B80B79"/>
    <w:rsid w:val="17BF7DE2"/>
    <w:rsid w:val="17C2727D"/>
    <w:rsid w:val="17D0041E"/>
    <w:rsid w:val="17D303E5"/>
    <w:rsid w:val="17DF34B7"/>
    <w:rsid w:val="17E25AE9"/>
    <w:rsid w:val="17F25FE3"/>
    <w:rsid w:val="180127E1"/>
    <w:rsid w:val="18037C59"/>
    <w:rsid w:val="182A24F5"/>
    <w:rsid w:val="182B350C"/>
    <w:rsid w:val="182B52BA"/>
    <w:rsid w:val="182F6BE1"/>
    <w:rsid w:val="18377F3B"/>
    <w:rsid w:val="184461DF"/>
    <w:rsid w:val="18492C74"/>
    <w:rsid w:val="184A00E8"/>
    <w:rsid w:val="184A22E6"/>
    <w:rsid w:val="184A4865"/>
    <w:rsid w:val="184B5A18"/>
    <w:rsid w:val="18504D21"/>
    <w:rsid w:val="185145F5"/>
    <w:rsid w:val="1853214B"/>
    <w:rsid w:val="18533AED"/>
    <w:rsid w:val="18561C0B"/>
    <w:rsid w:val="185815FC"/>
    <w:rsid w:val="185A16FC"/>
    <w:rsid w:val="186131B1"/>
    <w:rsid w:val="18654BD1"/>
    <w:rsid w:val="18696423"/>
    <w:rsid w:val="18794221"/>
    <w:rsid w:val="18797AB2"/>
    <w:rsid w:val="187A18B8"/>
    <w:rsid w:val="1881137E"/>
    <w:rsid w:val="18995535"/>
    <w:rsid w:val="189C1D14"/>
    <w:rsid w:val="18A62A00"/>
    <w:rsid w:val="18A8690B"/>
    <w:rsid w:val="18AD59B0"/>
    <w:rsid w:val="18B54B84"/>
    <w:rsid w:val="18B57797"/>
    <w:rsid w:val="18BA4FCC"/>
    <w:rsid w:val="18BC23B6"/>
    <w:rsid w:val="18CC24A3"/>
    <w:rsid w:val="18CE20EA"/>
    <w:rsid w:val="18CE7F52"/>
    <w:rsid w:val="18D70F9E"/>
    <w:rsid w:val="18DC0363"/>
    <w:rsid w:val="18DD5756"/>
    <w:rsid w:val="18DF60A5"/>
    <w:rsid w:val="18E56B8C"/>
    <w:rsid w:val="18EA00F1"/>
    <w:rsid w:val="18EF5A71"/>
    <w:rsid w:val="18F13E8A"/>
    <w:rsid w:val="18F51866"/>
    <w:rsid w:val="18F83704"/>
    <w:rsid w:val="18FC0A05"/>
    <w:rsid w:val="18FC6C57"/>
    <w:rsid w:val="18FE1842"/>
    <w:rsid w:val="190A6EA1"/>
    <w:rsid w:val="190D07EA"/>
    <w:rsid w:val="190D676E"/>
    <w:rsid w:val="19137AFC"/>
    <w:rsid w:val="19173A91"/>
    <w:rsid w:val="191915B7"/>
    <w:rsid w:val="19265A82"/>
    <w:rsid w:val="192754A7"/>
    <w:rsid w:val="1934393C"/>
    <w:rsid w:val="19372BA1"/>
    <w:rsid w:val="19462959"/>
    <w:rsid w:val="19476D06"/>
    <w:rsid w:val="19484788"/>
    <w:rsid w:val="19492209"/>
    <w:rsid w:val="194D592A"/>
    <w:rsid w:val="19525097"/>
    <w:rsid w:val="19582FA2"/>
    <w:rsid w:val="196121B4"/>
    <w:rsid w:val="1962187D"/>
    <w:rsid w:val="19737293"/>
    <w:rsid w:val="19740ACF"/>
    <w:rsid w:val="1976668B"/>
    <w:rsid w:val="19781E82"/>
    <w:rsid w:val="19793E03"/>
    <w:rsid w:val="197B045A"/>
    <w:rsid w:val="197D474F"/>
    <w:rsid w:val="19863878"/>
    <w:rsid w:val="19884D68"/>
    <w:rsid w:val="19885571"/>
    <w:rsid w:val="198C07E0"/>
    <w:rsid w:val="198C4E5F"/>
    <w:rsid w:val="198F1879"/>
    <w:rsid w:val="19923117"/>
    <w:rsid w:val="19925010"/>
    <w:rsid w:val="199C7AF2"/>
    <w:rsid w:val="199D50C1"/>
    <w:rsid w:val="19A10699"/>
    <w:rsid w:val="19A31B3A"/>
    <w:rsid w:val="19A54B21"/>
    <w:rsid w:val="19A74E14"/>
    <w:rsid w:val="19AC5F87"/>
    <w:rsid w:val="19B64DBC"/>
    <w:rsid w:val="19BB4AC7"/>
    <w:rsid w:val="19BB5446"/>
    <w:rsid w:val="19BC7189"/>
    <w:rsid w:val="19C87A59"/>
    <w:rsid w:val="19CA3A5C"/>
    <w:rsid w:val="19DD6C02"/>
    <w:rsid w:val="19E21971"/>
    <w:rsid w:val="19E47E89"/>
    <w:rsid w:val="19E855A6"/>
    <w:rsid w:val="19EB76AA"/>
    <w:rsid w:val="19EE2A43"/>
    <w:rsid w:val="19F84C86"/>
    <w:rsid w:val="19FF69FF"/>
    <w:rsid w:val="1A077661"/>
    <w:rsid w:val="1A097878"/>
    <w:rsid w:val="1A0A0EFF"/>
    <w:rsid w:val="1A101FD2"/>
    <w:rsid w:val="1A110964"/>
    <w:rsid w:val="1A11228E"/>
    <w:rsid w:val="1A162285"/>
    <w:rsid w:val="1A1B135F"/>
    <w:rsid w:val="1A1C7FE3"/>
    <w:rsid w:val="1A1E34E6"/>
    <w:rsid w:val="1A264176"/>
    <w:rsid w:val="1A271AB1"/>
    <w:rsid w:val="1A2B33A3"/>
    <w:rsid w:val="1A473F02"/>
    <w:rsid w:val="1A483566"/>
    <w:rsid w:val="1A497C7A"/>
    <w:rsid w:val="1A4A30B1"/>
    <w:rsid w:val="1A501737"/>
    <w:rsid w:val="1A5959E3"/>
    <w:rsid w:val="1A5C6953"/>
    <w:rsid w:val="1A5D684E"/>
    <w:rsid w:val="1A612CD6"/>
    <w:rsid w:val="1A6515CA"/>
    <w:rsid w:val="1A6A7232"/>
    <w:rsid w:val="1A707A6D"/>
    <w:rsid w:val="1A710F7F"/>
    <w:rsid w:val="1A765C58"/>
    <w:rsid w:val="1A7A09B8"/>
    <w:rsid w:val="1A7A5EB3"/>
    <w:rsid w:val="1A840CB2"/>
    <w:rsid w:val="1A894149"/>
    <w:rsid w:val="1A8B2040"/>
    <w:rsid w:val="1A8B5A64"/>
    <w:rsid w:val="1A8C3B1A"/>
    <w:rsid w:val="1A951E94"/>
    <w:rsid w:val="1A964589"/>
    <w:rsid w:val="1A972989"/>
    <w:rsid w:val="1A992E30"/>
    <w:rsid w:val="1A9F0C73"/>
    <w:rsid w:val="1A9F4D39"/>
    <w:rsid w:val="1AA66E7A"/>
    <w:rsid w:val="1AB073BF"/>
    <w:rsid w:val="1AB217DB"/>
    <w:rsid w:val="1AB97DC8"/>
    <w:rsid w:val="1ABD67A5"/>
    <w:rsid w:val="1ABE3F27"/>
    <w:rsid w:val="1AC75042"/>
    <w:rsid w:val="1ACD08AB"/>
    <w:rsid w:val="1AD433EB"/>
    <w:rsid w:val="1AD62C95"/>
    <w:rsid w:val="1ADB0B4A"/>
    <w:rsid w:val="1AE418FE"/>
    <w:rsid w:val="1AEB6F83"/>
    <w:rsid w:val="1AF75928"/>
    <w:rsid w:val="1AFA71C6"/>
    <w:rsid w:val="1B067919"/>
    <w:rsid w:val="1B0A7C6C"/>
    <w:rsid w:val="1B0C79D9"/>
    <w:rsid w:val="1B0D2480"/>
    <w:rsid w:val="1B1069E9"/>
    <w:rsid w:val="1B132036"/>
    <w:rsid w:val="1B177D78"/>
    <w:rsid w:val="1B216501"/>
    <w:rsid w:val="1B245FF1"/>
    <w:rsid w:val="1B3501FE"/>
    <w:rsid w:val="1B366BAE"/>
    <w:rsid w:val="1B413411"/>
    <w:rsid w:val="1B5752FA"/>
    <w:rsid w:val="1B682381"/>
    <w:rsid w:val="1B706610"/>
    <w:rsid w:val="1B730595"/>
    <w:rsid w:val="1B741964"/>
    <w:rsid w:val="1B7964F7"/>
    <w:rsid w:val="1B826631"/>
    <w:rsid w:val="1B853E23"/>
    <w:rsid w:val="1B8575B5"/>
    <w:rsid w:val="1B9739B9"/>
    <w:rsid w:val="1B98237C"/>
    <w:rsid w:val="1B9B4505"/>
    <w:rsid w:val="1BA16EE5"/>
    <w:rsid w:val="1BA6727A"/>
    <w:rsid w:val="1BAF457F"/>
    <w:rsid w:val="1BB2184F"/>
    <w:rsid w:val="1BB455C7"/>
    <w:rsid w:val="1BBF2C12"/>
    <w:rsid w:val="1BC0765E"/>
    <w:rsid w:val="1BC93522"/>
    <w:rsid w:val="1BCF41B9"/>
    <w:rsid w:val="1BD163B0"/>
    <w:rsid w:val="1BD53CD6"/>
    <w:rsid w:val="1BD82632"/>
    <w:rsid w:val="1BE539D2"/>
    <w:rsid w:val="1BE55780"/>
    <w:rsid w:val="1BE7774A"/>
    <w:rsid w:val="1BEA7699"/>
    <w:rsid w:val="1BEC49DB"/>
    <w:rsid w:val="1BED053E"/>
    <w:rsid w:val="1BF22168"/>
    <w:rsid w:val="1BFC0F69"/>
    <w:rsid w:val="1BFC644E"/>
    <w:rsid w:val="1C024584"/>
    <w:rsid w:val="1C055E22"/>
    <w:rsid w:val="1C08210D"/>
    <w:rsid w:val="1C144D4C"/>
    <w:rsid w:val="1C19367C"/>
    <w:rsid w:val="1C2077B4"/>
    <w:rsid w:val="1C356C65"/>
    <w:rsid w:val="1C387FA6"/>
    <w:rsid w:val="1C3A035E"/>
    <w:rsid w:val="1C407CE8"/>
    <w:rsid w:val="1C41457B"/>
    <w:rsid w:val="1C4231EC"/>
    <w:rsid w:val="1C4406A2"/>
    <w:rsid w:val="1C55210D"/>
    <w:rsid w:val="1C5648D0"/>
    <w:rsid w:val="1C5A2E52"/>
    <w:rsid w:val="1C5E5533"/>
    <w:rsid w:val="1C6E50C3"/>
    <w:rsid w:val="1C712C07"/>
    <w:rsid w:val="1C737230"/>
    <w:rsid w:val="1C782024"/>
    <w:rsid w:val="1C8766D3"/>
    <w:rsid w:val="1C893960"/>
    <w:rsid w:val="1C8A35E0"/>
    <w:rsid w:val="1C910F7F"/>
    <w:rsid w:val="1C931680"/>
    <w:rsid w:val="1C9F1DD3"/>
    <w:rsid w:val="1CAB3B14"/>
    <w:rsid w:val="1CAD1E1D"/>
    <w:rsid w:val="1CB773EA"/>
    <w:rsid w:val="1CC61A56"/>
    <w:rsid w:val="1CD60000"/>
    <w:rsid w:val="1CD64CCD"/>
    <w:rsid w:val="1CD74DF2"/>
    <w:rsid w:val="1CEA2700"/>
    <w:rsid w:val="1CF40302"/>
    <w:rsid w:val="1CF56512"/>
    <w:rsid w:val="1CF71C0F"/>
    <w:rsid w:val="1CF7417E"/>
    <w:rsid w:val="1CF85987"/>
    <w:rsid w:val="1CFB041C"/>
    <w:rsid w:val="1CFC5E9D"/>
    <w:rsid w:val="1CFF2872"/>
    <w:rsid w:val="1D064047"/>
    <w:rsid w:val="1D0916FA"/>
    <w:rsid w:val="1D0B7468"/>
    <w:rsid w:val="1D161002"/>
    <w:rsid w:val="1D2247B2"/>
    <w:rsid w:val="1D271DC8"/>
    <w:rsid w:val="1D322AF4"/>
    <w:rsid w:val="1D3430A9"/>
    <w:rsid w:val="1D37025D"/>
    <w:rsid w:val="1D3A1D8F"/>
    <w:rsid w:val="1D3D2253"/>
    <w:rsid w:val="1D477216"/>
    <w:rsid w:val="1D4A4435"/>
    <w:rsid w:val="1D4F7EA6"/>
    <w:rsid w:val="1D5368AC"/>
    <w:rsid w:val="1D58430D"/>
    <w:rsid w:val="1D596426"/>
    <w:rsid w:val="1D671CC9"/>
    <w:rsid w:val="1D6A1F13"/>
    <w:rsid w:val="1D6C3CB5"/>
    <w:rsid w:val="1D6E70D6"/>
    <w:rsid w:val="1D725739"/>
    <w:rsid w:val="1D767D65"/>
    <w:rsid w:val="1D7E169F"/>
    <w:rsid w:val="1D7E7C3A"/>
    <w:rsid w:val="1D813BCE"/>
    <w:rsid w:val="1D8202F5"/>
    <w:rsid w:val="1D8A2A83"/>
    <w:rsid w:val="1D96278E"/>
    <w:rsid w:val="1D9C4722"/>
    <w:rsid w:val="1D9D486B"/>
    <w:rsid w:val="1DA2662B"/>
    <w:rsid w:val="1DA76336"/>
    <w:rsid w:val="1DB418AE"/>
    <w:rsid w:val="1DB807CF"/>
    <w:rsid w:val="1DBA0B1F"/>
    <w:rsid w:val="1DBB5B35"/>
    <w:rsid w:val="1DBD26D8"/>
    <w:rsid w:val="1DC42085"/>
    <w:rsid w:val="1DC835AB"/>
    <w:rsid w:val="1DCA10D2"/>
    <w:rsid w:val="1DDA2BED"/>
    <w:rsid w:val="1DDB37DB"/>
    <w:rsid w:val="1DE43C6F"/>
    <w:rsid w:val="1DF42207"/>
    <w:rsid w:val="1DF955F9"/>
    <w:rsid w:val="1E011EC8"/>
    <w:rsid w:val="1E0345E3"/>
    <w:rsid w:val="1E077654"/>
    <w:rsid w:val="1E08626B"/>
    <w:rsid w:val="1E0B27D7"/>
    <w:rsid w:val="1E1046E0"/>
    <w:rsid w:val="1E117AC6"/>
    <w:rsid w:val="1E192DF2"/>
    <w:rsid w:val="1E2A528A"/>
    <w:rsid w:val="1E3576CC"/>
    <w:rsid w:val="1E471372"/>
    <w:rsid w:val="1E4A35C1"/>
    <w:rsid w:val="1E4C1AE7"/>
    <w:rsid w:val="1E501C47"/>
    <w:rsid w:val="1E5135A1"/>
    <w:rsid w:val="1E591666"/>
    <w:rsid w:val="1E5C1AC4"/>
    <w:rsid w:val="1E62130A"/>
    <w:rsid w:val="1E6E4A7A"/>
    <w:rsid w:val="1E764AF5"/>
    <w:rsid w:val="1E7C1B73"/>
    <w:rsid w:val="1E7D6144"/>
    <w:rsid w:val="1E7D7293"/>
    <w:rsid w:val="1E827BFE"/>
    <w:rsid w:val="1E867B66"/>
    <w:rsid w:val="1E880EA7"/>
    <w:rsid w:val="1E8A260F"/>
    <w:rsid w:val="1E911BEF"/>
    <w:rsid w:val="1E967206"/>
    <w:rsid w:val="1E9B481C"/>
    <w:rsid w:val="1EA10810"/>
    <w:rsid w:val="1EA409C5"/>
    <w:rsid w:val="1EA416D1"/>
    <w:rsid w:val="1EB01729"/>
    <w:rsid w:val="1EB21CEB"/>
    <w:rsid w:val="1EB37962"/>
    <w:rsid w:val="1EBA19DF"/>
    <w:rsid w:val="1EBB5AB8"/>
    <w:rsid w:val="1EBB6C6C"/>
    <w:rsid w:val="1EBE5680"/>
    <w:rsid w:val="1ED16D1D"/>
    <w:rsid w:val="1ED55F80"/>
    <w:rsid w:val="1EDF6033"/>
    <w:rsid w:val="1EE53CE9"/>
    <w:rsid w:val="1EED01A0"/>
    <w:rsid w:val="1EEF2009"/>
    <w:rsid w:val="1EF005C6"/>
    <w:rsid w:val="1EFA468C"/>
    <w:rsid w:val="1EFD3064"/>
    <w:rsid w:val="1EFD54D7"/>
    <w:rsid w:val="1F00195E"/>
    <w:rsid w:val="1F010B23"/>
    <w:rsid w:val="1F073974"/>
    <w:rsid w:val="1F15650D"/>
    <w:rsid w:val="1F1C3919"/>
    <w:rsid w:val="1F1D5B17"/>
    <w:rsid w:val="1F1D7927"/>
    <w:rsid w:val="1F1F544D"/>
    <w:rsid w:val="1F2667DB"/>
    <w:rsid w:val="1F2B2044"/>
    <w:rsid w:val="1F356159"/>
    <w:rsid w:val="1F3D5425"/>
    <w:rsid w:val="1F3E5B6C"/>
    <w:rsid w:val="1F4215DD"/>
    <w:rsid w:val="1F4437D9"/>
    <w:rsid w:val="1F457294"/>
    <w:rsid w:val="1F4934E4"/>
    <w:rsid w:val="1F4B0BE5"/>
    <w:rsid w:val="1F5F5687"/>
    <w:rsid w:val="1F693A18"/>
    <w:rsid w:val="1F7D4C37"/>
    <w:rsid w:val="1F8110BF"/>
    <w:rsid w:val="1F850013"/>
    <w:rsid w:val="1F8D685B"/>
    <w:rsid w:val="1F995AF1"/>
    <w:rsid w:val="1FA060F1"/>
    <w:rsid w:val="1FA37E2C"/>
    <w:rsid w:val="1FAB50E1"/>
    <w:rsid w:val="1FAB7D05"/>
    <w:rsid w:val="1FB572E0"/>
    <w:rsid w:val="1FB74527"/>
    <w:rsid w:val="1FBF3122"/>
    <w:rsid w:val="1FC009DE"/>
    <w:rsid w:val="1FC17C72"/>
    <w:rsid w:val="1FC35DD8"/>
    <w:rsid w:val="1FC96532"/>
    <w:rsid w:val="1FCE593B"/>
    <w:rsid w:val="1FCF5501"/>
    <w:rsid w:val="1FD60202"/>
    <w:rsid w:val="1FE53362"/>
    <w:rsid w:val="1FE65F6B"/>
    <w:rsid w:val="1FE842E7"/>
    <w:rsid w:val="1FED61F0"/>
    <w:rsid w:val="1FF97B46"/>
    <w:rsid w:val="2008261D"/>
    <w:rsid w:val="200A3A98"/>
    <w:rsid w:val="200C3C23"/>
    <w:rsid w:val="20126D60"/>
    <w:rsid w:val="201414A2"/>
    <w:rsid w:val="201828B7"/>
    <w:rsid w:val="201E3957"/>
    <w:rsid w:val="20301DA3"/>
    <w:rsid w:val="20315438"/>
    <w:rsid w:val="203E1903"/>
    <w:rsid w:val="205511BB"/>
    <w:rsid w:val="206147CB"/>
    <w:rsid w:val="20651585"/>
    <w:rsid w:val="206F32C6"/>
    <w:rsid w:val="20730A33"/>
    <w:rsid w:val="207363AA"/>
    <w:rsid w:val="207451CF"/>
    <w:rsid w:val="2075768C"/>
    <w:rsid w:val="208366E3"/>
    <w:rsid w:val="20983709"/>
    <w:rsid w:val="209D2B10"/>
    <w:rsid w:val="20A546FB"/>
    <w:rsid w:val="20A774A8"/>
    <w:rsid w:val="20AC6352"/>
    <w:rsid w:val="20B758B9"/>
    <w:rsid w:val="20B8113C"/>
    <w:rsid w:val="20B93996"/>
    <w:rsid w:val="20CB291C"/>
    <w:rsid w:val="20CF3625"/>
    <w:rsid w:val="20D73BEF"/>
    <w:rsid w:val="20DD55C0"/>
    <w:rsid w:val="20E06E5E"/>
    <w:rsid w:val="20E420A7"/>
    <w:rsid w:val="20E60371"/>
    <w:rsid w:val="20E74192"/>
    <w:rsid w:val="20EE0656"/>
    <w:rsid w:val="20EF79E3"/>
    <w:rsid w:val="20F2221A"/>
    <w:rsid w:val="20F37C9C"/>
    <w:rsid w:val="20F84124"/>
    <w:rsid w:val="20F952BE"/>
    <w:rsid w:val="20FB1D64"/>
    <w:rsid w:val="21001530"/>
    <w:rsid w:val="21004DB3"/>
    <w:rsid w:val="21012835"/>
    <w:rsid w:val="210A327C"/>
    <w:rsid w:val="210A56C3"/>
    <w:rsid w:val="210F2308"/>
    <w:rsid w:val="2113274F"/>
    <w:rsid w:val="21133454"/>
    <w:rsid w:val="211513C3"/>
    <w:rsid w:val="21155C52"/>
    <w:rsid w:val="211A6CAB"/>
    <w:rsid w:val="211D59BC"/>
    <w:rsid w:val="211F1CA5"/>
    <w:rsid w:val="212205CE"/>
    <w:rsid w:val="212241B8"/>
    <w:rsid w:val="21270241"/>
    <w:rsid w:val="21315582"/>
    <w:rsid w:val="21343AC3"/>
    <w:rsid w:val="21431083"/>
    <w:rsid w:val="214B612C"/>
    <w:rsid w:val="215C1D54"/>
    <w:rsid w:val="215D170A"/>
    <w:rsid w:val="215F5FD5"/>
    <w:rsid w:val="21613AFB"/>
    <w:rsid w:val="216215D5"/>
    <w:rsid w:val="21687122"/>
    <w:rsid w:val="216A0CFE"/>
    <w:rsid w:val="216D51AF"/>
    <w:rsid w:val="216E75E5"/>
    <w:rsid w:val="21751CCB"/>
    <w:rsid w:val="217D437D"/>
    <w:rsid w:val="2185264F"/>
    <w:rsid w:val="218C4997"/>
    <w:rsid w:val="218D48F0"/>
    <w:rsid w:val="2190013B"/>
    <w:rsid w:val="21AF0D0A"/>
    <w:rsid w:val="21BE59FA"/>
    <w:rsid w:val="21BF3429"/>
    <w:rsid w:val="21BF371C"/>
    <w:rsid w:val="21C03B6C"/>
    <w:rsid w:val="21C127EB"/>
    <w:rsid w:val="21C224CA"/>
    <w:rsid w:val="21C24E71"/>
    <w:rsid w:val="21C25EDD"/>
    <w:rsid w:val="21C354DC"/>
    <w:rsid w:val="21D249F9"/>
    <w:rsid w:val="21D30729"/>
    <w:rsid w:val="21D72C10"/>
    <w:rsid w:val="21D86412"/>
    <w:rsid w:val="21DB6E7F"/>
    <w:rsid w:val="21DE092D"/>
    <w:rsid w:val="21DE2598"/>
    <w:rsid w:val="21DF055F"/>
    <w:rsid w:val="21EB07A6"/>
    <w:rsid w:val="21EB1616"/>
    <w:rsid w:val="21F26E49"/>
    <w:rsid w:val="21F826DC"/>
    <w:rsid w:val="21FC56E5"/>
    <w:rsid w:val="21FF50C2"/>
    <w:rsid w:val="2204335C"/>
    <w:rsid w:val="22046BDF"/>
    <w:rsid w:val="22091FD7"/>
    <w:rsid w:val="22162B37"/>
    <w:rsid w:val="221A0D83"/>
    <w:rsid w:val="22297D19"/>
    <w:rsid w:val="223E69B9"/>
    <w:rsid w:val="22451542"/>
    <w:rsid w:val="22464F27"/>
    <w:rsid w:val="22466D25"/>
    <w:rsid w:val="22484D4A"/>
    <w:rsid w:val="224A077C"/>
    <w:rsid w:val="224D17D5"/>
    <w:rsid w:val="2251248A"/>
    <w:rsid w:val="22551E62"/>
    <w:rsid w:val="22597E38"/>
    <w:rsid w:val="225F2946"/>
    <w:rsid w:val="22634A96"/>
    <w:rsid w:val="226B2757"/>
    <w:rsid w:val="226D2D0D"/>
    <w:rsid w:val="226D64CF"/>
    <w:rsid w:val="2277156C"/>
    <w:rsid w:val="2277369B"/>
    <w:rsid w:val="227930C6"/>
    <w:rsid w:val="227A1390"/>
    <w:rsid w:val="227B768C"/>
    <w:rsid w:val="227D55A4"/>
    <w:rsid w:val="22877A1C"/>
    <w:rsid w:val="228850B7"/>
    <w:rsid w:val="22885B34"/>
    <w:rsid w:val="228E7AEA"/>
    <w:rsid w:val="22931946"/>
    <w:rsid w:val="229B59D3"/>
    <w:rsid w:val="229C0B63"/>
    <w:rsid w:val="229E12CE"/>
    <w:rsid w:val="22A16053"/>
    <w:rsid w:val="22A33789"/>
    <w:rsid w:val="22AD24F0"/>
    <w:rsid w:val="22AE7F72"/>
    <w:rsid w:val="22B234B0"/>
    <w:rsid w:val="22BE6D2B"/>
    <w:rsid w:val="22C43BD8"/>
    <w:rsid w:val="22C96720"/>
    <w:rsid w:val="22CA78A2"/>
    <w:rsid w:val="22CB5324"/>
    <w:rsid w:val="22CC5F20"/>
    <w:rsid w:val="22DB78DD"/>
    <w:rsid w:val="22DE2CCF"/>
    <w:rsid w:val="22DF55BA"/>
    <w:rsid w:val="22EC5858"/>
    <w:rsid w:val="22F11CE0"/>
    <w:rsid w:val="22F619EB"/>
    <w:rsid w:val="22F62969"/>
    <w:rsid w:val="22F90AD6"/>
    <w:rsid w:val="230E380E"/>
    <w:rsid w:val="231020BA"/>
    <w:rsid w:val="23114793"/>
    <w:rsid w:val="23166B67"/>
    <w:rsid w:val="231E4D1A"/>
    <w:rsid w:val="232B2612"/>
    <w:rsid w:val="23346B90"/>
    <w:rsid w:val="233C481F"/>
    <w:rsid w:val="233E17D0"/>
    <w:rsid w:val="234207E5"/>
    <w:rsid w:val="23431AEA"/>
    <w:rsid w:val="23443CE8"/>
    <w:rsid w:val="23447230"/>
    <w:rsid w:val="23485F72"/>
    <w:rsid w:val="234D28EB"/>
    <w:rsid w:val="235148C9"/>
    <w:rsid w:val="23555288"/>
    <w:rsid w:val="23613062"/>
    <w:rsid w:val="236363A0"/>
    <w:rsid w:val="2366364A"/>
    <w:rsid w:val="23715AB1"/>
    <w:rsid w:val="23723533"/>
    <w:rsid w:val="23735D67"/>
    <w:rsid w:val="237544B8"/>
    <w:rsid w:val="2379775D"/>
    <w:rsid w:val="2383091E"/>
    <w:rsid w:val="238B6FC5"/>
    <w:rsid w:val="23907C91"/>
    <w:rsid w:val="239301B8"/>
    <w:rsid w:val="23967627"/>
    <w:rsid w:val="23A27905"/>
    <w:rsid w:val="23B30E99"/>
    <w:rsid w:val="23BC14BC"/>
    <w:rsid w:val="23C73E2E"/>
    <w:rsid w:val="23CB6CE3"/>
    <w:rsid w:val="23CC26BC"/>
    <w:rsid w:val="23D322D3"/>
    <w:rsid w:val="23E34C9B"/>
    <w:rsid w:val="23E70F73"/>
    <w:rsid w:val="23F73406"/>
    <w:rsid w:val="240139CE"/>
    <w:rsid w:val="24030A5F"/>
    <w:rsid w:val="240B2677"/>
    <w:rsid w:val="241733C3"/>
    <w:rsid w:val="241F37F9"/>
    <w:rsid w:val="24240DD8"/>
    <w:rsid w:val="24242CAE"/>
    <w:rsid w:val="2426102C"/>
    <w:rsid w:val="24303C58"/>
    <w:rsid w:val="24324D70"/>
    <w:rsid w:val="243335F1"/>
    <w:rsid w:val="243E16B4"/>
    <w:rsid w:val="24466D8E"/>
    <w:rsid w:val="244A1018"/>
    <w:rsid w:val="245142FB"/>
    <w:rsid w:val="24545B99"/>
    <w:rsid w:val="24666EDE"/>
    <w:rsid w:val="246851A0"/>
    <w:rsid w:val="246E3050"/>
    <w:rsid w:val="24716CD9"/>
    <w:rsid w:val="24763D61"/>
    <w:rsid w:val="247B3126"/>
    <w:rsid w:val="24870E7D"/>
    <w:rsid w:val="248C1C53"/>
    <w:rsid w:val="248F6BD1"/>
    <w:rsid w:val="24915D3F"/>
    <w:rsid w:val="249254F1"/>
    <w:rsid w:val="249F5A9A"/>
    <w:rsid w:val="24A56FF0"/>
    <w:rsid w:val="24AE0D3C"/>
    <w:rsid w:val="24B228BF"/>
    <w:rsid w:val="24BB25D0"/>
    <w:rsid w:val="24BE0FD7"/>
    <w:rsid w:val="24BE1264"/>
    <w:rsid w:val="24CF51B7"/>
    <w:rsid w:val="24D129EB"/>
    <w:rsid w:val="24D47E0B"/>
    <w:rsid w:val="24E14A0E"/>
    <w:rsid w:val="24E30299"/>
    <w:rsid w:val="24ED56A6"/>
    <w:rsid w:val="24EF75A7"/>
    <w:rsid w:val="24F13E55"/>
    <w:rsid w:val="24F609FE"/>
    <w:rsid w:val="24FB2CBA"/>
    <w:rsid w:val="24FE1DC0"/>
    <w:rsid w:val="24FE307B"/>
    <w:rsid w:val="250C4CC8"/>
    <w:rsid w:val="2511775C"/>
    <w:rsid w:val="251946ED"/>
    <w:rsid w:val="25207D76"/>
    <w:rsid w:val="25211463"/>
    <w:rsid w:val="252512E3"/>
    <w:rsid w:val="25320A7B"/>
    <w:rsid w:val="25333A00"/>
    <w:rsid w:val="25346A17"/>
    <w:rsid w:val="25416D14"/>
    <w:rsid w:val="25453733"/>
    <w:rsid w:val="254623A4"/>
    <w:rsid w:val="25472D7E"/>
    <w:rsid w:val="25485BDD"/>
    <w:rsid w:val="255552F4"/>
    <w:rsid w:val="25560C22"/>
    <w:rsid w:val="25583467"/>
    <w:rsid w:val="25644FE8"/>
    <w:rsid w:val="256F3379"/>
    <w:rsid w:val="25744E30"/>
    <w:rsid w:val="25755282"/>
    <w:rsid w:val="25762D04"/>
    <w:rsid w:val="25790DC5"/>
    <w:rsid w:val="25867FD4"/>
    <w:rsid w:val="2590701A"/>
    <w:rsid w:val="259C1492"/>
    <w:rsid w:val="259D77A2"/>
    <w:rsid w:val="259E2560"/>
    <w:rsid w:val="259F7FE3"/>
    <w:rsid w:val="25A206EF"/>
    <w:rsid w:val="25A55F80"/>
    <w:rsid w:val="25AB17E9"/>
    <w:rsid w:val="25AE4162"/>
    <w:rsid w:val="25BC19E1"/>
    <w:rsid w:val="25BF34E6"/>
    <w:rsid w:val="25C16B8B"/>
    <w:rsid w:val="25C172E1"/>
    <w:rsid w:val="25C56306"/>
    <w:rsid w:val="25CB4B8A"/>
    <w:rsid w:val="25DB04AA"/>
    <w:rsid w:val="25DB061E"/>
    <w:rsid w:val="25E258B6"/>
    <w:rsid w:val="25F35B50"/>
    <w:rsid w:val="25F47683"/>
    <w:rsid w:val="25FF2C68"/>
    <w:rsid w:val="26084E8D"/>
    <w:rsid w:val="260B0924"/>
    <w:rsid w:val="261D2AB6"/>
    <w:rsid w:val="262306F1"/>
    <w:rsid w:val="26323CB8"/>
    <w:rsid w:val="26377520"/>
    <w:rsid w:val="263A21A9"/>
    <w:rsid w:val="263F23CC"/>
    <w:rsid w:val="26477C22"/>
    <w:rsid w:val="264E29E7"/>
    <w:rsid w:val="26505BC6"/>
    <w:rsid w:val="26572409"/>
    <w:rsid w:val="265F2C81"/>
    <w:rsid w:val="26637109"/>
    <w:rsid w:val="26652F36"/>
    <w:rsid w:val="26655417"/>
    <w:rsid w:val="266A16A4"/>
    <w:rsid w:val="2670658E"/>
    <w:rsid w:val="26720558"/>
    <w:rsid w:val="26730C36"/>
    <w:rsid w:val="26800C37"/>
    <w:rsid w:val="26834513"/>
    <w:rsid w:val="268362C1"/>
    <w:rsid w:val="26884394"/>
    <w:rsid w:val="269A360B"/>
    <w:rsid w:val="269B0852"/>
    <w:rsid w:val="269B0B65"/>
    <w:rsid w:val="26A60202"/>
    <w:rsid w:val="26A6639B"/>
    <w:rsid w:val="26B03FF2"/>
    <w:rsid w:val="26B45C0E"/>
    <w:rsid w:val="26B61111"/>
    <w:rsid w:val="26BE554B"/>
    <w:rsid w:val="26D7586A"/>
    <w:rsid w:val="26E044D4"/>
    <w:rsid w:val="26E562ED"/>
    <w:rsid w:val="26ED37EA"/>
    <w:rsid w:val="26EE5CFE"/>
    <w:rsid w:val="26F258ED"/>
    <w:rsid w:val="26FA2AFF"/>
    <w:rsid w:val="27027F0C"/>
    <w:rsid w:val="270630CC"/>
    <w:rsid w:val="270A5318"/>
    <w:rsid w:val="270C4628"/>
    <w:rsid w:val="27102AA5"/>
    <w:rsid w:val="27134D58"/>
    <w:rsid w:val="271B0BF0"/>
    <w:rsid w:val="272B10D0"/>
    <w:rsid w:val="272C0C17"/>
    <w:rsid w:val="27305558"/>
    <w:rsid w:val="27361586"/>
    <w:rsid w:val="273A020F"/>
    <w:rsid w:val="27484CC0"/>
    <w:rsid w:val="274B6F9C"/>
    <w:rsid w:val="27551F14"/>
    <w:rsid w:val="276115AA"/>
    <w:rsid w:val="276205CD"/>
    <w:rsid w:val="27635FF9"/>
    <w:rsid w:val="2764472D"/>
    <w:rsid w:val="276A6636"/>
    <w:rsid w:val="27790991"/>
    <w:rsid w:val="277933CE"/>
    <w:rsid w:val="277A0619"/>
    <w:rsid w:val="277E52D7"/>
    <w:rsid w:val="277F117F"/>
    <w:rsid w:val="278065DC"/>
    <w:rsid w:val="27991704"/>
    <w:rsid w:val="279E3DEE"/>
    <w:rsid w:val="27A14592"/>
    <w:rsid w:val="27A53D67"/>
    <w:rsid w:val="27A637D6"/>
    <w:rsid w:val="27B150B0"/>
    <w:rsid w:val="27B51034"/>
    <w:rsid w:val="27B626C7"/>
    <w:rsid w:val="27B708ED"/>
    <w:rsid w:val="27B775BB"/>
    <w:rsid w:val="27B963D1"/>
    <w:rsid w:val="27BB09BF"/>
    <w:rsid w:val="27BD2558"/>
    <w:rsid w:val="27BE60C1"/>
    <w:rsid w:val="27C015C4"/>
    <w:rsid w:val="27CC2E58"/>
    <w:rsid w:val="27CD08D9"/>
    <w:rsid w:val="27D063D4"/>
    <w:rsid w:val="27D56D35"/>
    <w:rsid w:val="27D711E9"/>
    <w:rsid w:val="27D86C6A"/>
    <w:rsid w:val="27D94A95"/>
    <w:rsid w:val="27DF1C1D"/>
    <w:rsid w:val="27EB5775"/>
    <w:rsid w:val="27EB6814"/>
    <w:rsid w:val="27F07987"/>
    <w:rsid w:val="27F1444B"/>
    <w:rsid w:val="27F268F2"/>
    <w:rsid w:val="27FC2486"/>
    <w:rsid w:val="27FE648E"/>
    <w:rsid w:val="280E4BFA"/>
    <w:rsid w:val="280E7144"/>
    <w:rsid w:val="280F6544"/>
    <w:rsid w:val="281C077C"/>
    <w:rsid w:val="281D195D"/>
    <w:rsid w:val="281E6BAE"/>
    <w:rsid w:val="282D0F13"/>
    <w:rsid w:val="28364A85"/>
    <w:rsid w:val="283F26BC"/>
    <w:rsid w:val="285223EF"/>
    <w:rsid w:val="285B196C"/>
    <w:rsid w:val="286A22CA"/>
    <w:rsid w:val="286B1703"/>
    <w:rsid w:val="287B1CF7"/>
    <w:rsid w:val="287D0A7D"/>
    <w:rsid w:val="287D63E4"/>
    <w:rsid w:val="28844573"/>
    <w:rsid w:val="28844B85"/>
    <w:rsid w:val="28850088"/>
    <w:rsid w:val="28A2163A"/>
    <w:rsid w:val="28A7603E"/>
    <w:rsid w:val="28AD5878"/>
    <w:rsid w:val="28BD0F49"/>
    <w:rsid w:val="28BE0636"/>
    <w:rsid w:val="28C240FD"/>
    <w:rsid w:val="28CE5683"/>
    <w:rsid w:val="28DC7F0B"/>
    <w:rsid w:val="28DF17A9"/>
    <w:rsid w:val="28E56407"/>
    <w:rsid w:val="28E95BAE"/>
    <w:rsid w:val="28FB3848"/>
    <w:rsid w:val="28FD468F"/>
    <w:rsid w:val="290B3B64"/>
    <w:rsid w:val="290C37E4"/>
    <w:rsid w:val="291D29FD"/>
    <w:rsid w:val="292024ED"/>
    <w:rsid w:val="29317C38"/>
    <w:rsid w:val="293640E9"/>
    <w:rsid w:val="293B3668"/>
    <w:rsid w:val="293E7F8F"/>
    <w:rsid w:val="293F6934"/>
    <w:rsid w:val="294100A6"/>
    <w:rsid w:val="294202A1"/>
    <w:rsid w:val="29420AAF"/>
    <w:rsid w:val="294500CE"/>
    <w:rsid w:val="295B3526"/>
    <w:rsid w:val="295F2D2F"/>
    <w:rsid w:val="296074BF"/>
    <w:rsid w:val="29614573"/>
    <w:rsid w:val="29622B9B"/>
    <w:rsid w:val="29672BF9"/>
    <w:rsid w:val="29676628"/>
    <w:rsid w:val="296E2462"/>
    <w:rsid w:val="29760C95"/>
    <w:rsid w:val="29765412"/>
    <w:rsid w:val="297E7214"/>
    <w:rsid w:val="298375A6"/>
    <w:rsid w:val="2989763D"/>
    <w:rsid w:val="298F50C0"/>
    <w:rsid w:val="29960750"/>
    <w:rsid w:val="29A175F2"/>
    <w:rsid w:val="29A2192B"/>
    <w:rsid w:val="29B20F56"/>
    <w:rsid w:val="29B23ABB"/>
    <w:rsid w:val="29B5668F"/>
    <w:rsid w:val="29B91548"/>
    <w:rsid w:val="29B9471B"/>
    <w:rsid w:val="29BB2216"/>
    <w:rsid w:val="29C0715D"/>
    <w:rsid w:val="29D04EE7"/>
    <w:rsid w:val="29D81A29"/>
    <w:rsid w:val="29D918D8"/>
    <w:rsid w:val="29DD3EBD"/>
    <w:rsid w:val="29DE3B3C"/>
    <w:rsid w:val="29E835CB"/>
    <w:rsid w:val="29EB08D6"/>
    <w:rsid w:val="29EC66D5"/>
    <w:rsid w:val="29F205DF"/>
    <w:rsid w:val="29FD282F"/>
    <w:rsid w:val="2A11566E"/>
    <w:rsid w:val="2A196512"/>
    <w:rsid w:val="2A1A2B3A"/>
    <w:rsid w:val="2A1A330B"/>
    <w:rsid w:val="2A306574"/>
    <w:rsid w:val="2A311950"/>
    <w:rsid w:val="2A330F5C"/>
    <w:rsid w:val="2A460069"/>
    <w:rsid w:val="2A4915D0"/>
    <w:rsid w:val="2A4A0D9B"/>
    <w:rsid w:val="2A4E61A8"/>
    <w:rsid w:val="2A502794"/>
    <w:rsid w:val="2A557A87"/>
    <w:rsid w:val="2A566386"/>
    <w:rsid w:val="2A5E32CD"/>
    <w:rsid w:val="2A5E5693"/>
    <w:rsid w:val="2A5F0DF4"/>
    <w:rsid w:val="2A606694"/>
    <w:rsid w:val="2A68701B"/>
    <w:rsid w:val="2A687324"/>
    <w:rsid w:val="2A6D247C"/>
    <w:rsid w:val="2A7931BF"/>
    <w:rsid w:val="2A7A3E7F"/>
    <w:rsid w:val="2A810768"/>
    <w:rsid w:val="2A816FBC"/>
    <w:rsid w:val="2A846AAC"/>
    <w:rsid w:val="2A88659C"/>
    <w:rsid w:val="2A921963"/>
    <w:rsid w:val="2A9242FE"/>
    <w:rsid w:val="2A9860B3"/>
    <w:rsid w:val="2A9B7773"/>
    <w:rsid w:val="2A9D64F9"/>
    <w:rsid w:val="2AA1167C"/>
    <w:rsid w:val="2AA35184"/>
    <w:rsid w:val="2AA42A4B"/>
    <w:rsid w:val="2AA50082"/>
    <w:rsid w:val="2AA5620F"/>
    <w:rsid w:val="2AA76E09"/>
    <w:rsid w:val="2AAE501A"/>
    <w:rsid w:val="2AB033FD"/>
    <w:rsid w:val="2AB42096"/>
    <w:rsid w:val="2ABF1892"/>
    <w:rsid w:val="2AC5334C"/>
    <w:rsid w:val="2AC563B9"/>
    <w:rsid w:val="2AC62C21"/>
    <w:rsid w:val="2ACC686A"/>
    <w:rsid w:val="2AD80C27"/>
    <w:rsid w:val="2AD90BD7"/>
    <w:rsid w:val="2ADD2D39"/>
    <w:rsid w:val="2AE35581"/>
    <w:rsid w:val="2AE80DE9"/>
    <w:rsid w:val="2AF459E0"/>
    <w:rsid w:val="2AF52B3C"/>
    <w:rsid w:val="2AF66B88"/>
    <w:rsid w:val="2AF9558E"/>
    <w:rsid w:val="2B023C9F"/>
    <w:rsid w:val="2B0B2D29"/>
    <w:rsid w:val="2B1206B6"/>
    <w:rsid w:val="2B277B63"/>
    <w:rsid w:val="2B2B6F28"/>
    <w:rsid w:val="2B3043E2"/>
    <w:rsid w:val="2B405D02"/>
    <w:rsid w:val="2B4104F9"/>
    <w:rsid w:val="2B472867"/>
    <w:rsid w:val="2B4C03C1"/>
    <w:rsid w:val="2B4D16E3"/>
    <w:rsid w:val="2B4F051B"/>
    <w:rsid w:val="2B512933"/>
    <w:rsid w:val="2B540226"/>
    <w:rsid w:val="2B5A2A95"/>
    <w:rsid w:val="2B5A40CF"/>
    <w:rsid w:val="2B5D7831"/>
    <w:rsid w:val="2B611ABA"/>
    <w:rsid w:val="2B650FCD"/>
    <w:rsid w:val="2B675BC2"/>
    <w:rsid w:val="2B6B7E4B"/>
    <w:rsid w:val="2B6F5066"/>
    <w:rsid w:val="2B747966"/>
    <w:rsid w:val="2B75075B"/>
    <w:rsid w:val="2B830B12"/>
    <w:rsid w:val="2B84162E"/>
    <w:rsid w:val="2B9351F9"/>
    <w:rsid w:val="2BA514F4"/>
    <w:rsid w:val="2BB01839"/>
    <w:rsid w:val="2BB12B3E"/>
    <w:rsid w:val="2BC362DB"/>
    <w:rsid w:val="2BCB7E65"/>
    <w:rsid w:val="2BCD4966"/>
    <w:rsid w:val="2BD426F5"/>
    <w:rsid w:val="2BD639CB"/>
    <w:rsid w:val="2BD650E5"/>
    <w:rsid w:val="2BE55328"/>
    <w:rsid w:val="2BE772F2"/>
    <w:rsid w:val="2BEC169E"/>
    <w:rsid w:val="2BF21EB8"/>
    <w:rsid w:val="2BF612E4"/>
    <w:rsid w:val="2BFD736F"/>
    <w:rsid w:val="2C090638"/>
    <w:rsid w:val="2C0A1C41"/>
    <w:rsid w:val="2C0B2FE1"/>
    <w:rsid w:val="2C0D1BD3"/>
    <w:rsid w:val="2C1C71D2"/>
    <w:rsid w:val="2C272ABE"/>
    <w:rsid w:val="2C2B4A06"/>
    <w:rsid w:val="2C2C6C04"/>
    <w:rsid w:val="2C2C73FB"/>
    <w:rsid w:val="2C3722EB"/>
    <w:rsid w:val="2C3A399C"/>
    <w:rsid w:val="2C42100B"/>
    <w:rsid w:val="2C477D91"/>
    <w:rsid w:val="2C4C1FA5"/>
    <w:rsid w:val="2C610E53"/>
    <w:rsid w:val="2C656797"/>
    <w:rsid w:val="2C6E2CA8"/>
    <w:rsid w:val="2C7278BF"/>
    <w:rsid w:val="2C75006C"/>
    <w:rsid w:val="2C8065DF"/>
    <w:rsid w:val="2C872D3A"/>
    <w:rsid w:val="2C8F0EA7"/>
    <w:rsid w:val="2C8F66B8"/>
    <w:rsid w:val="2C956D4E"/>
    <w:rsid w:val="2C970D19"/>
    <w:rsid w:val="2C9F7BCD"/>
    <w:rsid w:val="2CA46447"/>
    <w:rsid w:val="2CA53E3F"/>
    <w:rsid w:val="2CAB07D7"/>
    <w:rsid w:val="2CAF7E3B"/>
    <w:rsid w:val="2CBA4F2B"/>
    <w:rsid w:val="2CBC0A72"/>
    <w:rsid w:val="2CBF201D"/>
    <w:rsid w:val="2CCA2E9C"/>
    <w:rsid w:val="2CCC3747"/>
    <w:rsid w:val="2CCF1C91"/>
    <w:rsid w:val="2CD22C15"/>
    <w:rsid w:val="2CD23102"/>
    <w:rsid w:val="2CDE1189"/>
    <w:rsid w:val="2CFF241A"/>
    <w:rsid w:val="2D077E77"/>
    <w:rsid w:val="2D09157D"/>
    <w:rsid w:val="2D0A65F3"/>
    <w:rsid w:val="2D0B0DBF"/>
    <w:rsid w:val="2D0C1AF6"/>
    <w:rsid w:val="2D1265F1"/>
    <w:rsid w:val="2D141100"/>
    <w:rsid w:val="2D144984"/>
    <w:rsid w:val="2D22562B"/>
    <w:rsid w:val="2D265BF9"/>
    <w:rsid w:val="2D2B1461"/>
    <w:rsid w:val="2D3938BF"/>
    <w:rsid w:val="2D397142"/>
    <w:rsid w:val="2D470656"/>
    <w:rsid w:val="2D5142AB"/>
    <w:rsid w:val="2D5A1875"/>
    <w:rsid w:val="2D5A2425"/>
    <w:rsid w:val="2D606B92"/>
    <w:rsid w:val="2D7D41F6"/>
    <w:rsid w:val="2D817536"/>
    <w:rsid w:val="2D8E0DCA"/>
    <w:rsid w:val="2D92067D"/>
    <w:rsid w:val="2D9C5EBB"/>
    <w:rsid w:val="2DA63BF2"/>
    <w:rsid w:val="2DA7689D"/>
    <w:rsid w:val="2DB121BF"/>
    <w:rsid w:val="2DB81C0E"/>
    <w:rsid w:val="2DC05B9A"/>
    <w:rsid w:val="2DC17A14"/>
    <w:rsid w:val="2DCC49F2"/>
    <w:rsid w:val="2DE03FF9"/>
    <w:rsid w:val="2DED0462"/>
    <w:rsid w:val="2DF25659"/>
    <w:rsid w:val="2DFB0E33"/>
    <w:rsid w:val="2E114410"/>
    <w:rsid w:val="2E13267A"/>
    <w:rsid w:val="2E156399"/>
    <w:rsid w:val="2E182F2D"/>
    <w:rsid w:val="2E1B0FCF"/>
    <w:rsid w:val="2E1D2C38"/>
    <w:rsid w:val="2E1E0CBA"/>
    <w:rsid w:val="2E205627"/>
    <w:rsid w:val="2E222864"/>
    <w:rsid w:val="2E25123C"/>
    <w:rsid w:val="2E2F6D2F"/>
    <w:rsid w:val="2E312AA7"/>
    <w:rsid w:val="2E321682"/>
    <w:rsid w:val="2E3D56EB"/>
    <w:rsid w:val="2E3D769E"/>
    <w:rsid w:val="2E3F3416"/>
    <w:rsid w:val="2E4439BD"/>
    <w:rsid w:val="2E447804"/>
    <w:rsid w:val="2E4754F2"/>
    <w:rsid w:val="2E480742"/>
    <w:rsid w:val="2E4814FD"/>
    <w:rsid w:val="2E4F6CC3"/>
    <w:rsid w:val="2E514A8C"/>
    <w:rsid w:val="2E523CCD"/>
    <w:rsid w:val="2E527668"/>
    <w:rsid w:val="2E5A6073"/>
    <w:rsid w:val="2E63592A"/>
    <w:rsid w:val="2E652776"/>
    <w:rsid w:val="2E786928"/>
    <w:rsid w:val="2E7B1F74"/>
    <w:rsid w:val="2E800C9F"/>
    <w:rsid w:val="2E862A58"/>
    <w:rsid w:val="2E8720B9"/>
    <w:rsid w:val="2E8A7415"/>
    <w:rsid w:val="2E994780"/>
    <w:rsid w:val="2E9D6A09"/>
    <w:rsid w:val="2E9F3EB4"/>
    <w:rsid w:val="2EA25753"/>
    <w:rsid w:val="2EA5580D"/>
    <w:rsid w:val="2EB956B2"/>
    <w:rsid w:val="2EBB4127"/>
    <w:rsid w:val="2EC41B6D"/>
    <w:rsid w:val="2ED04948"/>
    <w:rsid w:val="2EEA6B08"/>
    <w:rsid w:val="2EED420A"/>
    <w:rsid w:val="2EED4AA2"/>
    <w:rsid w:val="2EF84D78"/>
    <w:rsid w:val="2F032695"/>
    <w:rsid w:val="2F0363AD"/>
    <w:rsid w:val="2F083808"/>
    <w:rsid w:val="2F1566BD"/>
    <w:rsid w:val="2F207854"/>
    <w:rsid w:val="2F2B4097"/>
    <w:rsid w:val="2F2D4FF3"/>
    <w:rsid w:val="2F2E2A75"/>
    <w:rsid w:val="2F326EFC"/>
    <w:rsid w:val="2F3331B3"/>
    <w:rsid w:val="2F337960"/>
    <w:rsid w:val="2F382346"/>
    <w:rsid w:val="2F386C07"/>
    <w:rsid w:val="2F410694"/>
    <w:rsid w:val="2F4927C3"/>
    <w:rsid w:val="2F5042AE"/>
    <w:rsid w:val="2F581694"/>
    <w:rsid w:val="2F5A6870"/>
    <w:rsid w:val="2F624BC6"/>
    <w:rsid w:val="2F6354CD"/>
    <w:rsid w:val="2F6509D0"/>
    <w:rsid w:val="2F6701C8"/>
    <w:rsid w:val="2F6A7056"/>
    <w:rsid w:val="2F6C2930"/>
    <w:rsid w:val="2F7B2B74"/>
    <w:rsid w:val="2F7B4FA2"/>
    <w:rsid w:val="2F897553"/>
    <w:rsid w:val="2F917CA1"/>
    <w:rsid w:val="2F9C03F4"/>
    <w:rsid w:val="2FA23C5C"/>
    <w:rsid w:val="2FA31782"/>
    <w:rsid w:val="2FA33D38"/>
    <w:rsid w:val="2FBB395D"/>
    <w:rsid w:val="2FBD0A96"/>
    <w:rsid w:val="2FCC2D1A"/>
    <w:rsid w:val="2FD23E16"/>
    <w:rsid w:val="2FD9098F"/>
    <w:rsid w:val="2FE547A2"/>
    <w:rsid w:val="2FEA13D8"/>
    <w:rsid w:val="2FF859C1"/>
    <w:rsid w:val="2FF906AD"/>
    <w:rsid w:val="2FFA6867"/>
    <w:rsid w:val="2FFE3E88"/>
    <w:rsid w:val="3003624E"/>
    <w:rsid w:val="300417D3"/>
    <w:rsid w:val="30073BA1"/>
    <w:rsid w:val="300F6E18"/>
    <w:rsid w:val="301760FD"/>
    <w:rsid w:val="302013B3"/>
    <w:rsid w:val="30275401"/>
    <w:rsid w:val="302C2998"/>
    <w:rsid w:val="303008FC"/>
    <w:rsid w:val="30352E72"/>
    <w:rsid w:val="303B192D"/>
    <w:rsid w:val="30413836"/>
    <w:rsid w:val="30450400"/>
    <w:rsid w:val="30485817"/>
    <w:rsid w:val="304A7E50"/>
    <w:rsid w:val="304E1079"/>
    <w:rsid w:val="304E3771"/>
    <w:rsid w:val="305118D2"/>
    <w:rsid w:val="30550BE7"/>
    <w:rsid w:val="305B205D"/>
    <w:rsid w:val="305E56A9"/>
    <w:rsid w:val="3062163D"/>
    <w:rsid w:val="306271F8"/>
    <w:rsid w:val="30664185"/>
    <w:rsid w:val="306E1D90"/>
    <w:rsid w:val="3088782E"/>
    <w:rsid w:val="309D06CD"/>
    <w:rsid w:val="309D08C8"/>
    <w:rsid w:val="309D53F6"/>
    <w:rsid w:val="30A13E86"/>
    <w:rsid w:val="30A440C6"/>
    <w:rsid w:val="30A532F1"/>
    <w:rsid w:val="30A64860"/>
    <w:rsid w:val="30B74AFA"/>
    <w:rsid w:val="30C3032E"/>
    <w:rsid w:val="30C7272C"/>
    <w:rsid w:val="30C776F3"/>
    <w:rsid w:val="30CB3D2C"/>
    <w:rsid w:val="30E262DA"/>
    <w:rsid w:val="30E3277E"/>
    <w:rsid w:val="30E61C30"/>
    <w:rsid w:val="30F36EDD"/>
    <w:rsid w:val="30F44202"/>
    <w:rsid w:val="30F67E62"/>
    <w:rsid w:val="30F77AE2"/>
    <w:rsid w:val="30FF0C3A"/>
    <w:rsid w:val="30FF6E8C"/>
    <w:rsid w:val="310A6B03"/>
    <w:rsid w:val="310C6BBA"/>
    <w:rsid w:val="311774FE"/>
    <w:rsid w:val="312201F5"/>
    <w:rsid w:val="31264419"/>
    <w:rsid w:val="3129239C"/>
    <w:rsid w:val="312955B3"/>
    <w:rsid w:val="312A4E39"/>
    <w:rsid w:val="312E4D7E"/>
    <w:rsid w:val="31305298"/>
    <w:rsid w:val="31333521"/>
    <w:rsid w:val="313A6116"/>
    <w:rsid w:val="31406FDD"/>
    <w:rsid w:val="31490245"/>
    <w:rsid w:val="31491621"/>
    <w:rsid w:val="314D6FE0"/>
    <w:rsid w:val="314E4A9B"/>
    <w:rsid w:val="3157337F"/>
    <w:rsid w:val="315F400E"/>
    <w:rsid w:val="31603DCF"/>
    <w:rsid w:val="31665B97"/>
    <w:rsid w:val="3168109A"/>
    <w:rsid w:val="316868A9"/>
    <w:rsid w:val="31697301"/>
    <w:rsid w:val="316E7B6E"/>
    <w:rsid w:val="31832F49"/>
    <w:rsid w:val="318339E3"/>
    <w:rsid w:val="318D3859"/>
    <w:rsid w:val="318E12DA"/>
    <w:rsid w:val="31917CE0"/>
    <w:rsid w:val="319950ED"/>
    <w:rsid w:val="31997F21"/>
    <w:rsid w:val="319C6429"/>
    <w:rsid w:val="319D6E9C"/>
    <w:rsid w:val="31A77880"/>
    <w:rsid w:val="31B00187"/>
    <w:rsid w:val="31B61672"/>
    <w:rsid w:val="31B6249E"/>
    <w:rsid w:val="31B767EF"/>
    <w:rsid w:val="31B776A3"/>
    <w:rsid w:val="31B90FA5"/>
    <w:rsid w:val="31C33922"/>
    <w:rsid w:val="31C4405B"/>
    <w:rsid w:val="31D43E75"/>
    <w:rsid w:val="31E032E3"/>
    <w:rsid w:val="31E602F5"/>
    <w:rsid w:val="31E91A67"/>
    <w:rsid w:val="31EC4C8B"/>
    <w:rsid w:val="31F147D1"/>
    <w:rsid w:val="32003B98"/>
    <w:rsid w:val="32066365"/>
    <w:rsid w:val="320B2F0A"/>
    <w:rsid w:val="320F4EAD"/>
    <w:rsid w:val="32110C25"/>
    <w:rsid w:val="32144A36"/>
    <w:rsid w:val="32195D2C"/>
    <w:rsid w:val="321E77E6"/>
    <w:rsid w:val="32223D4C"/>
    <w:rsid w:val="32244FBE"/>
    <w:rsid w:val="322C5A12"/>
    <w:rsid w:val="322C7EDF"/>
    <w:rsid w:val="322D5960"/>
    <w:rsid w:val="323458C7"/>
    <w:rsid w:val="3235470E"/>
    <w:rsid w:val="32371BCF"/>
    <w:rsid w:val="32403E9F"/>
    <w:rsid w:val="324B2107"/>
    <w:rsid w:val="32537D9E"/>
    <w:rsid w:val="32587D5E"/>
    <w:rsid w:val="32645ABA"/>
    <w:rsid w:val="3265133D"/>
    <w:rsid w:val="32741A08"/>
    <w:rsid w:val="327D0BE3"/>
    <w:rsid w:val="32935ADE"/>
    <w:rsid w:val="329D3C24"/>
    <w:rsid w:val="329F4D04"/>
    <w:rsid w:val="32A11A20"/>
    <w:rsid w:val="32A54325"/>
    <w:rsid w:val="32A61CB5"/>
    <w:rsid w:val="32AA07AD"/>
    <w:rsid w:val="32AE6F04"/>
    <w:rsid w:val="32B2363B"/>
    <w:rsid w:val="32B47D5B"/>
    <w:rsid w:val="32B97BD5"/>
    <w:rsid w:val="32BC099A"/>
    <w:rsid w:val="32C16688"/>
    <w:rsid w:val="32CD7A68"/>
    <w:rsid w:val="32D00AE0"/>
    <w:rsid w:val="32D22AAA"/>
    <w:rsid w:val="32D57073"/>
    <w:rsid w:val="32DC1589"/>
    <w:rsid w:val="32DC7485"/>
    <w:rsid w:val="32E225C2"/>
    <w:rsid w:val="32E40CC9"/>
    <w:rsid w:val="32ED57A7"/>
    <w:rsid w:val="32F81DE5"/>
    <w:rsid w:val="32FA0C0C"/>
    <w:rsid w:val="32FC5F99"/>
    <w:rsid w:val="32FD6CA5"/>
    <w:rsid w:val="330630C5"/>
    <w:rsid w:val="330865C8"/>
    <w:rsid w:val="330A27F0"/>
    <w:rsid w:val="330C4CD4"/>
    <w:rsid w:val="33150BE9"/>
    <w:rsid w:val="331A7FAD"/>
    <w:rsid w:val="332130EA"/>
    <w:rsid w:val="3328091C"/>
    <w:rsid w:val="33294694"/>
    <w:rsid w:val="33340711"/>
    <w:rsid w:val="33350391"/>
    <w:rsid w:val="33406722"/>
    <w:rsid w:val="3341553A"/>
    <w:rsid w:val="33492899"/>
    <w:rsid w:val="334F7481"/>
    <w:rsid w:val="335214F5"/>
    <w:rsid w:val="33550FE6"/>
    <w:rsid w:val="335C27CF"/>
    <w:rsid w:val="335E60EC"/>
    <w:rsid w:val="33644794"/>
    <w:rsid w:val="33671C8F"/>
    <w:rsid w:val="336851BD"/>
    <w:rsid w:val="33686F6B"/>
    <w:rsid w:val="33690584"/>
    <w:rsid w:val="336A1BAB"/>
    <w:rsid w:val="336B6A5B"/>
    <w:rsid w:val="33743D0F"/>
    <w:rsid w:val="33752ADF"/>
    <w:rsid w:val="337B4EF0"/>
    <w:rsid w:val="337F1A8A"/>
    <w:rsid w:val="3380537B"/>
    <w:rsid w:val="33843993"/>
    <w:rsid w:val="338E62A6"/>
    <w:rsid w:val="338F55A8"/>
    <w:rsid w:val="339077A6"/>
    <w:rsid w:val="339A368F"/>
    <w:rsid w:val="33A96152"/>
    <w:rsid w:val="33AD497E"/>
    <w:rsid w:val="33B77665"/>
    <w:rsid w:val="33B92B69"/>
    <w:rsid w:val="33C323F3"/>
    <w:rsid w:val="33DE547F"/>
    <w:rsid w:val="33DE722D"/>
    <w:rsid w:val="33DF2DA8"/>
    <w:rsid w:val="33E04D53"/>
    <w:rsid w:val="33E12879"/>
    <w:rsid w:val="33E16D1D"/>
    <w:rsid w:val="33F868FD"/>
    <w:rsid w:val="33FA4C57"/>
    <w:rsid w:val="34057BB2"/>
    <w:rsid w:val="34076784"/>
    <w:rsid w:val="340C4B71"/>
    <w:rsid w:val="341222FE"/>
    <w:rsid w:val="34160775"/>
    <w:rsid w:val="341F7EB7"/>
    <w:rsid w:val="34242C21"/>
    <w:rsid w:val="342804A8"/>
    <w:rsid w:val="342C4D21"/>
    <w:rsid w:val="342C7624"/>
    <w:rsid w:val="343520A9"/>
    <w:rsid w:val="343B467F"/>
    <w:rsid w:val="343E5F1E"/>
    <w:rsid w:val="34403A44"/>
    <w:rsid w:val="34433B11"/>
    <w:rsid w:val="34486F54"/>
    <w:rsid w:val="34551D58"/>
    <w:rsid w:val="345B262C"/>
    <w:rsid w:val="34635A4B"/>
    <w:rsid w:val="346D5686"/>
    <w:rsid w:val="34727D99"/>
    <w:rsid w:val="34750D1D"/>
    <w:rsid w:val="348744BB"/>
    <w:rsid w:val="34924EEA"/>
    <w:rsid w:val="349873DC"/>
    <w:rsid w:val="34A173EB"/>
    <w:rsid w:val="34A22AE6"/>
    <w:rsid w:val="34A95CF4"/>
    <w:rsid w:val="34AA4CF1"/>
    <w:rsid w:val="34AB11F7"/>
    <w:rsid w:val="34B61F58"/>
    <w:rsid w:val="34BB68B1"/>
    <w:rsid w:val="34BC1492"/>
    <w:rsid w:val="34C1119D"/>
    <w:rsid w:val="34CD635A"/>
    <w:rsid w:val="34D13E25"/>
    <w:rsid w:val="34E003CD"/>
    <w:rsid w:val="34E15227"/>
    <w:rsid w:val="34E16FD5"/>
    <w:rsid w:val="34EE7F06"/>
    <w:rsid w:val="34F767F8"/>
    <w:rsid w:val="34FB7A61"/>
    <w:rsid w:val="34FE6F2B"/>
    <w:rsid w:val="35041886"/>
    <w:rsid w:val="35092088"/>
    <w:rsid w:val="35135198"/>
    <w:rsid w:val="351C2B6A"/>
    <w:rsid w:val="35236EAC"/>
    <w:rsid w:val="35245113"/>
    <w:rsid w:val="35247985"/>
    <w:rsid w:val="352A4ADA"/>
    <w:rsid w:val="35355F17"/>
    <w:rsid w:val="35417A73"/>
    <w:rsid w:val="354229F0"/>
    <w:rsid w:val="35430471"/>
    <w:rsid w:val="354B5023"/>
    <w:rsid w:val="354E4284"/>
    <w:rsid w:val="35553C0F"/>
    <w:rsid w:val="355562C7"/>
    <w:rsid w:val="355E0C9B"/>
    <w:rsid w:val="35664CFA"/>
    <w:rsid w:val="35696FCA"/>
    <w:rsid w:val="3569702C"/>
    <w:rsid w:val="35847A4B"/>
    <w:rsid w:val="35853084"/>
    <w:rsid w:val="35871F43"/>
    <w:rsid w:val="358838F4"/>
    <w:rsid w:val="35923A74"/>
    <w:rsid w:val="359B367C"/>
    <w:rsid w:val="359B692C"/>
    <w:rsid w:val="359E23A5"/>
    <w:rsid w:val="35B35442"/>
    <w:rsid w:val="35CE4D4C"/>
    <w:rsid w:val="35D344DD"/>
    <w:rsid w:val="35D97CAC"/>
    <w:rsid w:val="35DB6085"/>
    <w:rsid w:val="35E36D7D"/>
    <w:rsid w:val="35E93C67"/>
    <w:rsid w:val="35FB1E1E"/>
    <w:rsid w:val="35FB2318"/>
    <w:rsid w:val="35FB40C6"/>
    <w:rsid w:val="35FC6BDB"/>
    <w:rsid w:val="3603722A"/>
    <w:rsid w:val="360A67E3"/>
    <w:rsid w:val="360D2EDF"/>
    <w:rsid w:val="3611037B"/>
    <w:rsid w:val="36115D5A"/>
    <w:rsid w:val="36183B8C"/>
    <w:rsid w:val="362D2BD6"/>
    <w:rsid w:val="362E38F2"/>
    <w:rsid w:val="36392E40"/>
    <w:rsid w:val="36415145"/>
    <w:rsid w:val="3643781B"/>
    <w:rsid w:val="36445017"/>
    <w:rsid w:val="364B133A"/>
    <w:rsid w:val="364F3704"/>
    <w:rsid w:val="364F4412"/>
    <w:rsid w:val="365537B1"/>
    <w:rsid w:val="365B7201"/>
    <w:rsid w:val="365C313C"/>
    <w:rsid w:val="365D4E17"/>
    <w:rsid w:val="366053C6"/>
    <w:rsid w:val="36627E86"/>
    <w:rsid w:val="366372FB"/>
    <w:rsid w:val="36674E48"/>
    <w:rsid w:val="36684315"/>
    <w:rsid w:val="366A480D"/>
    <w:rsid w:val="366F0610"/>
    <w:rsid w:val="367C3671"/>
    <w:rsid w:val="367E6B74"/>
    <w:rsid w:val="36873A61"/>
    <w:rsid w:val="36874DFF"/>
    <w:rsid w:val="36891FCF"/>
    <w:rsid w:val="368E5132"/>
    <w:rsid w:val="369462C9"/>
    <w:rsid w:val="369B27A6"/>
    <w:rsid w:val="369E4D44"/>
    <w:rsid w:val="36AF6C5F"/>
    <w:rsid w:val="36BE677F"/>
    <w:rsid w:val="36CB4A75"/>
    <w:rsid w:val="36CE48F8"/>
    <w:rsid w:val="36DD720B"/>
    <w:rsid w:val="36ED1CF2"/>
    <w:rsid w:val="36F44ACE"/>
    <w:rsid w:val="36F86858"/>
    <w:rsid w:val="36FB1D8D"/>
    <w:rsid w:val="37046FAB"/>
    <w:rsid w:val="37082CD2"/>
    <w:rsid w:val="37132580"/>
    <w:rsid w:val="3715036C"/>
    <w:rsid w:val="37200916"/>
    <w:rsid w:val="372C6501"/>
    <w:rsid w:val="372E4E68"/>
    <w:rsid w:val="37417379"/>
    <w:rsid w:val="37437BB7"/>
    <w:rsid w:val="37440FB2"/>
    <w:rsid w:val="37445638"/>
    <w:rsid w:val="374765BD"/>
    <w:rsid w:val="37493906"/>
    <w:rsid w:val="374C2A45"/>
    <w:rsid w:val="374D5F48"/>
    <w:rsid w:val="374E17CB"/>
    <w:rsid w:val="37533157"/>
    <w:rsid w:val="375436D4"/>
    <w:rsid w:val="37571348"/>
    <w:rsid w:val="375840D2"/>
    <w:rsid w:val="37592215"/>
    <w:rsid w:val="375A12C0"/>
    <w:rsid w:val="37643011"/>
    <w:rsid w:val="376817F5"/>
    <w:rsid w:val="37697DF6"/>
    <w:rsid w:val="376A0778"/>
    <w:rsid w:val="376A7A76"/>
    <w:rsid w:val="376B32F9"/>
    <w:rsid w:val="376C2FAF"/>
    <w:rsid w:val="37700F7E"/>
    <w:rsid w:val="37736187"/>
    <w:rsid w:val="37757F34"/>
    <w:rsid w:val="37761D13"/>
    <w:rsid w:val="378A1A8E"/>
    <w:rsid w:val="37907CB6"/>
    <w:rsid w:val="379F02D0"/>
    <w:rsid w:val="37B77B75"/>
    <w:rsid w:val="37BF6DC8"/>
    <w:rsid w:val="37C02A03"/>
    <w:rsid w:val="37CD4298"/>
    <w:rsid w:val="37CF301E"/>
    <w:rsid w:val="37D03331"/>
    <w:rsid w:val="37DF09B4"/>
    <w:rsid w:val="37E50AE3"/>
    <w:rsid w:val="37E62305"/>
    <w:rsid w:val="37E93BC8"/>
    <w:rsid w:val="37EB297B"/>
    <w:rsid w:val="37EF7C5B"/>
    <w:rsid w:val="37F1138F"/>
    <w:rsid w:val="37F31F59"/>
    <w:rsid w:val="37F457DC"/>
    <w:rsid w:val="37FD2868"/>
    <w:rsid w:val="38060F79"/>
    <w:rsid w:val="3806712E"/>
    <w:rsid w:val="38082ACA"/>
    <w:rsid w:val="38086660"/>
    <w:rsid w:val="38096AE5"/>
    <w:rsid w:val="380C477C"/>
    <w:rsid w:val="380C4B1A"/>
    <w:rsid w:val="38161214"/>
    <w:rsid w:val="38170F5F"/>
    <w:rsid w:val="38196915"/>
    <w:rsid w:val="38207E14"/>
    <w:rsid w:val="382175A5"/>
    <w:rsid w:val="38227225"/>
    <w:rsid w:val="38234CA6"/>
    <w:rsid w:val="38332D42"/>
    <w:rsid w:val="38393288"/>
    <w:rsid w:val="383A0153"/>
    <w:rsid w:val="383A2CAC"/>
    <w:rsid w:val="383D3652"/>
    <w:rsid w:val="383F7E6F"/>
    <w:rsid w:val="3842422E"/>
    <w:rsid w:val="38482EC7"/>
    <w:rsid w:val="384B0C09"/>
    <w:rsid w:val="38666A14"/>
    <w:rsid w:val="386C6E6D"/>
    <w:rsid w:val="38710670"/>
    <w:rsid w:val="38714C34"/>
    <w:rsid w:val="38731B98"/>
    <w:rsid w:val="38737BCC"/>
    <w:rsid w:val="387534F8"/>
    <w:rsid w:val="3877351C"/>
    <w:rsid w:val="3877581E"/>
    <w:rsid w:val="387B329C"/>
    <w:rsid w:val="387C096E"/>
    <w:rsid w:val="38830543"/>
    <w:rsid w:val="38853A46"/>
    <w:rsid w:val="388F1DD7"/>
    <w:rsid w:val="389055DC"/>
    <w:rsid w:val="389307DD"/>
    <w:rsid w:val="38930FEB"/>
    <w:rsid w:val="38995F6A"/>
    <w:rsid w:val="38A25703"/>
    <w:rsid w:val="38A50C47"/>
    <w:rsid w:val="38A722E3"/>
    <w:rsid w:val="38AC5B0E"/>
    <w:rsid w:val="38B27213"/>
    <w:rsid w:val="38BF3A9E"/>
    <w:rsid w:val="38CA6E75"/>
    <w:rsid w:val="38D26C34"/>
    <w:rsid w:val="38D34E86"/>
    <w:rsid w:val="38E465EC"/>
    <w:rsid w:val="38E505E8"/>
    <w:rsid w:val="38EA73AC"/>
    <w:rsid w:val="38EB1B2B"/>
    <w:rsid w:val="38EF0EF7"/>
    <w:rsid w:val="39041D96"/>
    <w:rsid w:val="39072D82"/>
    <w:rsid w:val="390B4A01"/>
    <w:rsid w:val="391842BA"/>
    <w:rsid w:val="39224BC9"/>
    <w:rsid w:val="392E645D"/>
    <w:rsid w:val="39437493"/>
    <w:rsid w:val="39445D84"/>
    <w:rsid w:val="394A521B"/>
    <w:rsid w:val="39525558"/>
    <w:rsid w:val="39535398"/>
    <w:rsid w:val="39561BA0"/>
    <w:rsid w:val="3958080B"/>
    <w:rsid w:val="39581820"/>
    <w:rsid w:val="39653FE8"/>
    <w:rsid w:val="396D5F42"/>
    <w:rsid w:val="39730417"/>
    <w:rsid w:val="397E2D4B"/>
    <w:rsid w:val="39833969"/>
    <w:rsid w:val="39882115"/>
    <w:rsid w:val="39882B41"/>
    <w:rsid w:val="398B6BD1"/>
    <w:rsid w:val="39964B88"/>
    <w:rsid w:val="399E5818"/>
    <w:rsid w:val="39A607ED"/>
    <w:rsid w:val="39A865E9"/>
    <w:rsid w:val="39A90325"/>
    <w:rsid w:val="39AE1450"/>
    <w:rsid w:val="39BC060B"/>
    <w:rsid w:val="39BC119D"/>
    <w:rsid w:val="39BD13FD"/>
    <w:rsid w:val="39C15F99"/>
    <w:rsid w:val="39CB3D5D"/>
    <w:rsid w:val="39D4246E"/>
    <w:rsid w:val="39D76716"/>
    <w:rsid w:val="39E8392E"/>
    <w:rsid w:val="39F33306"/>
    <w:rsid w:val="39F871A1"/>
    <w:rsid w:val="39FA4695"/>
    <w:rsid w:val="39FB0130"/>
    <w:rsid w:val="39FC040D"/>
    <w:rsid w:val="39FC5BB1"/>
    <w:rsid w:val="39FD5831"/>
    <w:rsid w:val="3A1439A9"/>
    <w:rsid w:val="3A157D7E"/>
    <w:rsid w:val="3A1F2FB6"/>
    <w:rsid w:val="3A2405FF"/>
    <w:rsid w:val="3A263172"/>
    <w:rsid w:val="3A2F600C"/>
    <w:rsid w:val="3A49130D"/>
    <w:rsid w:val="3A4C409B"/>
    <w:rsid w:val="3A4D2A17"/>
    <w:rsid w:val="3A541FF7"/>
    <w:rsid w:val="3A692962"/>
    <w:rsid w:val="3A6B45B9"/>
    <w:rsid w:val="3A6F6951"/>
    <w:rsid w:val="3A7257F0"/>
    <w:rsid w:val="3A7D77A0"/>
    <w:rsid w:val="3A843EB6"/>
    <w:rsid w:val="3A851932"/>
    <w:rsid w:val="3A8B1791"/>
    <w:rsid w:val="3A9B01D5"/>
    <w:rsid w:val="3A9B45AD"/>
    <w:rsid w:val="3A9C07DB"/>
    <w:rsid w:val="3A9D68EE"/>
    <w:rsid w:val="3AA2053D"/>
    <w:rsid w:val="3AA765CB"/>
    <w:rsid w:val="3AAB1C5E"/>
    <w:rsid w:val="3AB6113E"/>
    <w:rsid w:val="3ABC0C98"/>
    <w:rsid w:val="3AC53994"/>
    <w:rsid w:val="3AD44EE6"/>
    <w:rsid w:val="3AE05E24"/>
    <w:rsid w:val="3AEB4B67"/>
    <w:rsid w:val="3AED09BD"/>
    <w:rsid w:val="3AF215C1"/>
    <w:rsid w:val="3AF6384B"/>
    <w:rsid w:val="3AFA69CE"/>
    <w:rsid w:val="3B0405E2"/>
    <w:rsid w:val="3B1039F4"/>
    <w:rsid w:val="3B192406"/>
    <w:rsid w:val="3B1D6B5C"/>
    <w:rsid w:val="3B233415"/>
    <w:rsid w:val="3B247C1B"/>
    <w:rsid w:val="3B3458AE"/>
    <w:rsid w:val="3B364634"/>
    <w:rsid w:val="3B3C3FBF"/>
    <w:rsid w:val="3B3D1A41"/>
    <w:rsid w:val="3B3E3C3F"/>
    <w:rsid w:val="3B422A72"/>
    <w:rsid w:val="3B4E2EEA"/>
    <w:rsid w:val="3B4F376A"/>
    <w:rsid w:val="3B4F4C9A"/>
    <w:rsid w:val="3B512C60"/>
    <w:rsid w:val="3B530355"/>
    <w:rsid w:val="3B5612E6"/>
    <w:rsid w:val="3B5B0300"/>
    <w:rsid w:val="3B605478"/>
    <w:rsid w:val="3B632B7A"/>
    <w:rsid w:val="3B6A6751"/>
    <w:rsid w:val="3B6A692E"/>
    <w:rsid w:val="3B7641EF"/>
    <w:rsid w:val="3B772728"/>
    <w:rsid w:val="3B9A3B24"/>
    <w:rsid w:val="3BAD5C41"/>
    <w:rsid w:val="3BAF0A7B"/>
    <w:rsid w:val="3BB41E32"/>
    <w:rsid w:val="3BB42123"/>
    <w:rsid w:val="3BB73A39"/>
    <w:rsid w:val="3BBA5E93"/>
    <w:rsid w:val="3BC63C70"/>
    <w:rsid w:val="3BCE402B"/>
    <w:rsid w:val="3BD72EE0"/>
    <w:rsid w:val="3BDA5517"/>
    <w:rsid w:val="3BEE5F23"/>
    <w:rsid w:val="3BF21AC7"/>
    <w:rsid w:val="3BF633ED"/>
    <w:rsid w:val="3BF64CCA"/>
    <w:rsid w:val="3BF80748"/>
    <w:rsid w:val="3BF94AE7"/>
    <w:rsid w:val="3C042703"/>
    <w:rsid w:val="3C071109"/>
    <w:rsid w:val="3C073099"/>
    <w:rsid w:val="3C0C38B6"/>
    <w:rsid w:val="3C0C5591"/>
    <w:rsid w:val="3C0D06AF"/>
    <w:rsid w:val="3C1554E4"/>
    <w:rsid w:val="3C1C7DAA"/>
    <w:rsid w:val="3C261771"/>
    <w:rsid w:val="3C26613B"/>
    <w:rsid w:val="3C28163E"/>
    <w:rsid w:val="3C2F0FC9"/>
    <w:rsid w:val="3C300601"/>
    <w:rsid w:val="3C335C3C"/>
    <w:rsid w:val="3C3825FA"/>
    <w:rsid w:val="3C3E7065"/>
    <w:rsid w:val="3C440F6E"/>
    <w:rsid w:val="3C48097A"/>
    <w:rsid w:val="3C493B58"/>
    <w:rsid w:val="3C4B742A"/>
    <w:rsid w:val="3C4E0CC8"/>
    <w:rsid w:val="3C520E96"/>
    <w:rsid w:val="3C566C8A"/>
    <w:rsid w:val="3C5923AF"/>
    <w:rsid w:val="3C5C33E5"/>
    <w:rsid w:val="3C5D4096"/>
    <w:rsid w:val="3C5F093D"/>
    <w:rsid w:val="3C664B65"/>
    <w:rsid w:val="3C676344"/>
    <w:rsid w:val="3C6C1AAD"/>
    <w:rsid w:val="3C6D775E"/>
    <w:rsid w:val="3C6E1DB2"/>
    <w:rsid w:val="3C741ABD"/>
    <w:rsid w:val="3C814873"/>
    <w:rsid w:val="3C84588F"/>
    <w:rsid w:val="3C877459"/>
    <w:rsid w:val="3C8A7F52"/>
    <w:rsid w:val="3C8C328D"/>
    <w:rsid w:val="3C8E45A0"/>
    <w:rsid w:val="3C972F77"/>
    <w:rsid w:val="3C9C64EF"/>
    <w:rsid w:val="3C9E707E"/>
    <w:rsid w:val="3CA32DC2"/>
    <w:rsid w:val="3CA67D0E"/>
    <w:rsid w:val="3CAA4196"/>
    <w:rsid w:val="3CAF1767"/>
    <w:rsid w:val="3CB17AA6"/>
    <w:rsid w:val="3CB20BE1"/>
    <w:rsid w:val="3CB834AB"/>
    <w:rsid w:val="3CBB7A95"/>
    <w:rsid w:val="3CBF5605"/>
    <w:rsid w:val="3CC6226F"/>
    <w:rsid w:val="3CC82B3C"/>
    <w:rsid w:val="3CCA07EC"/>
    <w:rsid w:val="3CCB46CA"/>
    <w:rsid w:val="3CD016DD"/>
    <w:rsid w:val="3CD34171"/>
    <w:rsid w:val="3CD4741F"/>
    <w:rsid w:val="3CD62A5B"/>
    <w:rsid w:val="3CDA396C"/>
    <w:rsid w:val="3CDA6EE3"/>
    <w:rsid w:val="3CE07A2C"/>
    <w:rsid w:val="3CE62CF6"/>
    <w:rsid w:val="3CE70777"/>
    <w:rsid w:val="3CE974FE"/>
    <w:rsid w:val="3CEC4BFF"/>
    <w:rsid w:val="3CF2238C"/>
    <w:rsid w:val="3CF5759D"/>
    <w:rsid w:val="3D0036B9"/>
    <w:rsid w:val="3D0611DA"/>
    <w:rsid w:val="3D0D46DF"/>
    <w:rsid w:val="3D0F0A21"/>
    <w:rsid w:val="3D0F66A9"/>
    <w:rsid w:val="3D1215F7"/>
    <w:rsid w:val="3D2D1F83"/>
    <w:rsid w:val="3D37175C"/>
    <w:rsid w:val="3D375257"/>
    <w:rsid w:val="3D424389"/>
    <w:rsid w:val="3D540560"/>
    <w:rsid w:val="3D5A1E72"/>
    <w:rsid w:val="3D5E4F88"/>
    <w:rsid w:val="3D6029C0"/>
    <w:rsid w:val="3D6253E4"/>
    <w:rsid w:val="3D6D517E"/>
    <w:rsid w:val="3D6F76D8"/>
    <w:rsid w:val="3D763547"/>
    <w:rsid w:val="3D7804FA"/>
    <w:rsid w:val="3D895D82"/>
    <w:rsid w:val="3D897F02"/>
    <w:rsid w:val="3D934BE4"/>
    <w:rsid w:val="3D981095"/>
    <w:rsid w:val="3D9D0CCF"/>
    <w:rsid w:val="3DAC3EF8"/>
    <w:rsid w:val="3DAF01C0"/>
    <w:rsid w:val="3DB5224F"/>
    <w:rsid w:val="3DB73ABE"/>
    <w:rsid w:val="3DB94353"/>
    <w:rsid w:val="3DC20F0F"/>
    <w:rsid w:val="3DCE51F2"/>
    <w:rsid w:val="3DD403A2"/>
    <w:rsid w:val="3DDE5F0C"/>
    <w:rsid w:val="3DE03515"/>
    <w:rsid w:val="3DE2532C"/>
    <w:rsid w:val="3DE90F59"/>
    <w:rsid w:val="3DEF2CD6"/>
    <w:rsid w:val="3DF00289"/>
    <w:rsid w:val="3DF31B27"/>
    <w:rsid w:val="3DF862C0"/>
    <w:rsid w:val="3DFD29A6"/>
    <w:rsid w:val="3E0E6961"/>
    <w:rsid w:val="3E111615"/>
    <w:rsid w:val="3E120E55"/>
    <w:rsid w:val="3E182556"/>
    <w:rsid w:val="3E1A70B4"/>
    <w:rsid w:val="3E267E8C"/>
    <w:rsid w:val="3E2C49AC"/>
    <w:rsid w:val="3E2E579D"/>
    <w:rsid w:val="3E3A6DCE"/>
    <w:rsid w:val="3E444130"/>
    <w:rsid w:val="3E484EBC"/>
    <w:rsid w:val="3E4E2F41"/>
    <w:rsid w:val="3E507D4A"/>
    <w:rsid w:val="3E5F71BC"/>
    <w:rsid w:val="3E667CEF"/>
    <w:rsid w:val="3E67796F"/>
    <w:rsid w:val="3E6E2B7D"/>
    <w:rsid w:val="3E6E72FA"/>
    <w:rsid w:val="3E823CCF"/>
    <w:rsid w:val="3E872422"/>
    <w:rsid w:val="3E892813"/>
    <w:rsid w:val="3E8E3FB6"/>
    <w:rsid w:val="3E9165B5"/>
    <w:rsid w:val="3E927592"/>
    <w:rsid w:val="3E983C99"/>
    <w:rsid w:val="3EA56E29"/>
    <w:rsid w:val="3EA66B99"/>
    <w:rsid w:val="3EB17FEA"/>
    <w:rsid w:val="3EB30313"/>
    <w:rsid w:val="3EBB2C7C"/>
    <w:rsid w:val="3EC419A3"/>
    <w:rsid w:val="3EC4623D"/>
    <w:rsid w:val="3ECE641A"/>
    <w:rsid w:val="3ECF4CFE"/>
    <w:rsid w:val="3EEC6C2B"/>
    <w:rsid w:val="3EF773F5"/>
    <w:rsid w:val="3EF96328"/>
    <w:rsid w:val="3EFC7E62"/>
    <w:rsid w:val="3EFF0DE7"/>
    <w:rsid w:val="3F0355EF"/>
    <w:rsid w:val="3F05576C"/>
    <w:rsid w:val="3F094F7A"/>
    <w:rsid w:val="3F0B047D"/>
    <w:rsid w:val="3F0B1DED"/>
    <w:rsid w:val="3F0D4E6A"/>
    <w:rsid w:val="3F0F6E83"/>
    <w:rsid w:val="3F1F711D"/>
    <w:rsid w:val="3F211237"/>
    <w:rsid w:val="3F2521B4"/>
    <w:rsid w:val="3F260B3C"/>
    <w:rsid w:val="3F290D41"/>
    <w:rsid w:val="3F2B709E"/>
    <w:rsid w:val="3F313594"/>
    <w:rsid w:val="3F3146B5"/>
    <w:rsid w:val="3F34383F"/>
    <w:rsid w:val="3F350164"/>
    <w:rsid w:val="3F397A0D"/>
    <w:rsid w:val="3F4202DD"/>
    <w:rsid w:val="3F433E5A"/>
    <w:rsid w:val="3F484A5E"/>
    <w:rsid w:val="3F51536E"/>
    <w:rsid w:val="3F5440F4"/>
    <w:rsid w:val="3F5C36FF"/>
    <w:rsid w:val="3F6902F3"/>
    <w:rsid w:val="3F6A7BC7"/>
    <w:rsid w:val="3F786788"/>
    <w:rsid w:val="3F8844F1"/>
    <w:rsid w:val="3F980EB4"/>
    <w:rsid w:val="3FA0699A"/>
    <w:rsid w:val="3FA255B3"/>
    <w:rsid w:val="3FAF274A"/>
    <w:rsid w:val="3FB2668C"/>
    <w:rsid w:val="3FB452E6"/>
    <w:rsid w:val="3FBB6F9C"/>
    <w:rsid w:val="3FBE7F20"/>
    <w:rsid w:val="3FC419CD"/>
    <w:rsid w:val="3FCD053B"/>
    <w:rsid w:val="3FD80FD4"/>
    <w:rsid w:val="3FD87226"/>
    <w:rsid w:val="3FDC71A0"/>
    <w:rsid w:val="3FE61C22"/>
    <w:rsid w:val="3FE70AD0"/>
    <w:rsid w:val="40011C8E"/>
    <w:rsid w:val="40022F93"/>
    <w:rsid w:val="40076CDF"/>
    <w:rsid w:val="400C38A3"/>
    <w:rsid w:val="400C6ED0"/>
    <w:rsid w:val="4013542C"/>
    <w:rsid w:val="40175FA1"/>
    <w:rsid w:val="401A783F"/>
    <w:rsid w:val="401B60BB"/>
    <w:rsid w:val="401D5B1D"/>
    <w:rsid w:val="401F09B1"/>
    <w:rsid w:val="402E6E46"/>
    <w:rsid w:val="403D4072"/>
    <w:rsid w:val="40442B0E"/>
    <w:rsid w:val="40531A99"/>
    <w:rsid w:val="40585637"/>
    <w:rsid w:val="4060734D"/>
    <w:rsid w:val="406A4A08"/>
    <w:rsid w:val="406D1341"/>
    <w:rsid w:val="40786455"/>
    <w:rsid w:val="407B3B56"/>
    <w:rsid w:val="407C2F17"/>
    <w:rsid w:val="407C5E04"/>
    <w:rsid w:val="40820FB6"/>
    <w:rsid w:val="40903AFC"/>
    <w:rsid w:val="4090485C"/>
    <w:rsid w:val="40905D53"/>
    <w:rsid w:val="409717C0"/>
    <w:rsid w:val="40AD562A"/>
    <w:rsid w:val="40B4476B"/>
    <w:rsid w:val="40B85ED8"/>
    <w:rsid w:val="40BC2658"/>
    <w:rsid w:val="40C0464B"/>
    <w:rsid w:val="40C36D45"/>
    <w:rsid w:val="40C47093"/>
    <w:rsid w:val="40C63495"/>
    <w:rsid w:val="40C94DC1"/>
    <w:rsid w:val="40CB6D8B"/>
    <w:rsid w:val="40CF2F7E"/>
    <w:rsid w:val="40D709ED"/>
    <w:rsid w:val="40DC28F6"/>
    <w:rsid w:val="40E5796F"/>
    <w:rsid w:val="40E65973"/>
    <w:rsid w:val="40E70C87"/>
    <w:rsid w:val="40E824A3"/>
    <w:rsid w:val="40E97A0E"/>
    <w:rsid w:val="40ED4882"/>
    <w:rsid w:val="40F736DC"/>
    <w:rsid w:val="40F92738"/>
    <w:rsid w:val="411E2680"/>
    <w:rsid w:val="411F57EF"/>
    <w:rsid w:val="41205969"/>
    <w:rsid w:val="41297BBD"/>
    <w:rsid w:val="41354204"/>
    <w:rsid w:val="41385C64"/>
    <w:rsid w:val="413D1A37"/>
    <w:rsid w:val="41410DFB"/>
    <w:rsid w:val="414954A9"/>
    <w:rsid w:val="414D3EAF"/>
    <w:rsid w:val="41523008"/>
    <w:rsid w:val="41523BBA"/>
    <w:rsid w:val="415A0FC6"/>
    <w:rsid w:val="41634231"/>
    <w:rsid w:val="41637056"/>
    <w:rsid w:val="41643AD4"/>
    <w:rsid w:val="41674A59"/>
    <w:rsid w:val="416C6C3C"/>
    <w:rsid w:val="417137A9"/>
    <w:rsid w:val="4172782E"/>
    <w:rsid w:val="41793A79"/>
    <w:rsid w:val="417F049B"/>
    <w:rsid w:val="41801923"/>
    <w:rsid w:val="41855D22"/>
    <w:rsid w:val="418A64A3"/>
    <w:rsid w:val="418C2076"/>
    <w:rsid w:val="418D274E"/>
    <w:rsid w:val="4194717D"/>
    <w:rsid w:val="41961147"/>
    <w:rsid w:val="419805A5"/>
    <w:rsid w:val="41A41AB6"/>
    <w:rsid w:val="41A5138A"/>
    <w:rsid w:val="41A75842"/>
    <w:rsid w:val="41AA0C47"/>
    <w:rsid w:val="41B403DB"/>
    <w:rsid w:val="41BF2EE9"/>
    <w:rsid w:val="41C31810"/>
    <w:rsid w:val="41C44DF2"/>
    <w:rsid w:val="41D20053"/>
    <w:rsid w:val="41D3203B"/>
    <w:rsid w:val="41D87443"/>
    <w:rsid w:val="41D97316"/>
    <w:rsid w:val="41DC6703"/>
    <w:rsid w:val="41F274F4"/>
    <w:rsid w:val="41F320F5"/>
    <w:rsid w:val="41FB0B50"/>
    <w:rsid w:val="41FB0F6D"/>
    <w:rsid w:val="41FB544E"/>
    <w:rsid w:val="41FC0172"/>
    <w:rsid w:val="42051E29"/>
    <w:rsid w:val="420F4A55"/>
    <w:rsid w:val="42162288"/>
    <w:rsid w:val="421B5801"/>
    <w:rsid w:val="42295EB2"/>
    <w:rsid w:val="42322663"/>
    <w:rsid w:val="42481936"/>
    <w:rsid w:val="424900AA"/>
    <w:rsid w:val="424E1A22"/>
    <w:rsid w:val="425067CD"/>
    <w:rsid w:val="426B25DB"/>
    <w:rsid w:val="426C66BF"/>
    <w:rsid w:val="426D634C"/>
    <w:rsid w:val="42826DD7"/>
    <w:rsid w:val="42835EF4"/>
    <w:rsid w:val="428C0DFC"/>
    <w:rsid w:val="428D6406"/>
    <w:rsid w:val="428E22BD"/>
    <w:rsid w:val="42901043"/>
    <w:rsid w:val="429C4E56"/>
    <w:rsid w:val="42BA03DC"/>
    <w:rsid w:val="42C04965"/>
    <w:rsid w:val="42CE5543"/>
    <w:rsid w:val="42D178AE"/>
    <w:rsid w:val="42D251E4"/>
    <w:rsid w:val="42D63CE1"/>
    <w:rsid w:val="42D73E41"/>
    <w:rsid w:val="42DC0DDB"/>
    <w:rsid w:val="42DC36C1"/>
    <w:rsid w:val="42DD18CD"/>
    <w:rsid w:val="42DF6B1E"/>
    <w:rsid w:val="42F17DE3"/>
    <w:rsid w:val="42F52030"/>
    <w:rsid w:val="42F83EEA"/>
    <w:rsid w:val="42FB5B1A"/>
    <w:rsid w:val="43026FB7"/>
    <w:rsid w:val="4311795B"/>
    <w:rsid w:val="43125CEA"/>
    <w:rsid w:val="43193DDE"/>
    <w:rsid w:val="431A1904"/>
    <w:rsid w:val="431A5724"/>
    <w:rsid w:val="431E4E21"/>
    <w:rsid w:val="43274A3A"/>
    <w:rsid w:val="432A511E"/>
    <w:rsid w:val="43305190"/>
    <w:rsid w:val="433B01F8"/>
    <w:rsid w:val="433B36DA"/>
    <w:rsid w:val="43421586"/>
    <w:rsid w:val="43463922"/>
    <w:rsid w:val="43480064"/>
    <w:rsid w:val="43486471"/>
    <w:rsid w:val="434B5EF3"/>
    <w:rsid w:val="435117C9"/>
    <w:rsid w:val="4356268C"/>
    <w:rsid w:val="43694472"/>
    <w:rsid w:val="436D51AE"/>
    <w:rsid w:val="436F06B1"/>
    <w:rsid w:val="437B2C93"/>
    <w:rsid w:val="438E56E3"/>
    <w:rsid w:val="43906817"/>
    <w:rsid w:val="43922FB8"/>
    <w:rsid w:val="4395222D"/>
    <w:rsid w:val="4396090B"/>
    <w:rsid w:val="439F340D"/>
    <w:rsid w:val="43A01E09"/>
    <w:rsid w:val="43B03699"/>
    <w:rsid w:val="43B458B4"/>
    <w:rsid w:val="43BE6733"/>
    <w:rsid w:val="43C077A8"/>
    <w:rsid w:val="43C0796C"/>
    <w:rsid w:val="43CD0A4B"/>
    <w:rsid w:val="43CE2C49"/>
    <w:rsid w:val="43D47D05"/>
    <w:rsid w:val="43DE617A"/>
    <w:rsid w:val="43E3619A"/>
    <w:rsid w:val="43EE6A01"/>
    <w:rsid w:val="43F23209"/>
    <w:rsid w:val="43F42155"/>
    <w:rsid w:val="4401674F"/>
    <w:rsid w:val="44084DF8"/>
    <w:rsid w:val="4409502C"/>
    <w:rsid w:val="440D5B70"/>
    <w:rsid w:val="441E7379"/>
    <w:rsid w:val="44264566"/>
    <w:rsid w:val="44266B5B"/>
    <w:rsid w:val="4427725B"/>
    <w:rsid w:val="44295CDE"/>
    <w:rsid w:val="44302CEE"/>
    <w:rsid w:val="44352E99"/>
    <w:rsid w:val="4436451B"/>
    <w:rsid w:val="44376E3C"/>
    <w:rsid w:val="443D3AFC"/>
    <w:rsid w:val="44422F2A"/>
    <w:rsid w:val="44462396"/>
    <w:rsid w:val="444924A1"/>
    <w:rsid w:val="444C3D3F"/>
    <w:rsid w:val="445552E9"/>
    <w:rsid w:val="44580936"/>
    <w:rsid w:val="445A645C"/>
    <w:rsid w:val="44613C8E"/>
    <w:rsid w:val="44641089"/>
    <w:rsid w:val="446F000C"/>
    <w:rsid w:val="44703ED1"/>
    <w:rsid w:val="447446DC"/>
    <w:rsid w:val="44775660"/>
    <w:rsid w:val="447A6AFE"/>
    <w:rsid w:val="448262BA"/>
    <w:rsid w:val="44853A08"/>
    <w:rsid w:val="448C7B84"/>
    <w:rsid w:val="44943816"/>
    <w:rsid w:val="44985B95"/>
    <w:rsid w:val="449C6A74"/>
    <w:rsid w:val="44AB6CB7"/>
    <w:rsid w:val="44AD38D3"/>
    <w:rsid w:val="44B02520"/>
    <w:rsid w:val="44B40D48"/>
    <w:rsid w:val="44BA1F1F"/>
    <w:rsid w:val="44BC27B9"/>
    <w:rsid w:val="44BD4C3D"/>
    <w:rsid w:val="44BF087B"/>
    <w:rsid w:val="44C60FFC"/>
    <w:rsid w:val="44CB4EB4"/>
    <w:rsid w:val="44CB50EA"/>
    <w:rsid w:val="44D16FF4"/>
    <w:rsid w:val="44D84C84"/>
    <w:rsid w:val="44E0760E"/>
    <w:rsid w:val="44E5431A"/>
    <w:rsid w:val="44E6770B"/>
    <w:rsid w:val="44E977E0"/>
    <w:rsid w:val="44F763A1"/>
    <w:rsid w:val="44F87249"/>
    <w:rsid w:val="44F977FD"/>
    <w:rsid w:val="451B19F1"/>
    <w:rsid w:val="451C7473"/>
    <w:rsid w:val="45210645"/>
    <w:rsid w:val="452B7DF8"/>
    <w:rsid w:val="45437F4D"/>
    <w:rsid w:val="454531A8"/>
    <w:rsid w:val="454D5FC1"/>
    <w:rsid w:val="454D7189"/>
    <w:rsid w:val="45520847"/>
    <w:rsid w:val="4554273F"/>
    <w:rsid w:val="455C56E3"/>
    <w:rsid w:val="455F7AA2"/>
    <w:rsid w:val="456A6B72"/>
    <w:rsid w:val="457B0D80"/>
    <w:rsid w:val="457C0654"/>
    <w:rsid w:val="457D6511"/>
    <w:rsid w:val="45835E86"/>
    <w:rsid w:val="45A75D52"/>
    <w:rsid w:val="45AC5A5D"/>
    <w:rsid w:val="45AE447A"/>
    <w:rsid w:val="45BD7EF6"/>
    <w:rsid w:val="45C04F59"/>
    <w:rsid w:val="45C51FFB"/>
    <w:rsid w:val="45C53DA9"/>
    <w:rsid w:val="45C57CA5"/>
    <w:rsid w:val="45CA5863"/>
    <w:rsid w:val="45CB4B19"/>
    <w:rsid w:val="45CD197C"/>
    <w:rsid w:val="45CF6373"/>
    <w:rsid w:val="45D9530F"/>
    <w:rsid w:val="45E63FA0"/>
    <w:rsid w:val="45EF0E26"/>
    <w:rsid w:val="460554F1"/>
    <w:rsid w:val="460573F1"/>
    <w:rsid w:val="46064E72"/>
    <w:rsid w:val="46092573"/>
    <w:rsid w:val="460F6777"/>
    <w:rsid w:val="46132E83"/>
    <w:rsid w:val="461940F5"/>
    <w:rsid w:val="461B1C1B"/>
    <w:rsid w:val="461B7E6D"/>
    <w:rsid w:val="461F4717"/>
    <w:rsid w:val="46274A64"/>
    <w:rsid w:val="462C1290"/>
    <w:rsid w:val="46304712"/>
    <w:rsid w:val="463158E2"/>
    <w:rsid w:val="463C064B"/>
    <w:rsid w:val="464A19D4"/>
    <w:rsid w:val="464F3E15"/>
    <w:rsid w:val="4651388E"/>
    <w:rsid w:val="465D491C"/>
    <w:rsid w:val="46654E8C"/>
    <w:rsid w:val="466B0031"/>
    <w:rsid w:val="46706AA0"/>
    <w:rsid w:val="46753A21"/>
    <w:rsid w:val="4698695F"/>
    <w:rsid w:val="46A9191C"/>
    <w:rsid w:val="46A95479"/>
    <w:rsid w:val="46AB11F1"/>
    <w:rsid w:val="46AF6585"/>
    <w:rsid w:val="46B87139"/>
    <w:rsid w:val="46BF681F"/>
    <w:rsid w:val="46CE3249"/>
    <w:rsid w:val="46D973C9"/>
    <w:rsid w:val="46E251D0"/>
    <w:rsid w:val="46E717E5"/>
    <w:rsid w:val="46EC05E8"/>
    <w:rsid w:val="46EE533D"/>
    <w:rsid w:val="46EF571E"/>
    <w:rsid w:val="46F177FE"/>
    <w:rsid w:val="46F459F4"/>
    <w:rsid w:val="46F62029"/>
    <w:rsid w:val="46F661E4"/>
    <w:rsid w:val="46F72688"/>
    <w:rsid w:val="46F96400"/>
    <w:rsid w:val="46FA73EB"/>
    <w:rsid w:val="470703F1"/>
    <w:rsid w:val="4708107D"/>
    <w:rsid w:val="470F78A3"/>
    <w:rsid w:val="471B2EB0"/>
    <w:rsid w:val="471E0F6B"/>
    <w:rsid w:val="472471F5"/>
    <w:rsid w:val="472C13D1"/>
    <w:rsid w:val="472D1EC5"/>
    <w:rsid w:val="47451936"/>
    <w:rsid w:val="47472209"/>
    <w:rsid w:val="474E7DCE"/>
    <w:rsid w:val="4757351A"/>
    <w:rsid w:val="47691236"/>
    <w:rsid w:val="476B6C07"/>
    <w:rsid w:val="47723ABC"/>
    <w:rsid w:val="478144B1"/>
    <w:rsid w:val="47962FFF"/>
    <w:rsid w:val="479C20FB"/>
    <w:rsid w:val="47A32315"/>
    <w:rsid w:val="47B55CAB"/>
    <w:rsid w:val="47BF502A"/>
    <w:rsid w:val="47C53736"/>
    <w:rsid w:val="47C72D66"/>
    <w:rsid w:val="47C84024"/>
    <w:rsid w:val="47C84F7B"/>
    <w:rsid w:val="47CC707D"/>
    <w:rsid w:val="47CD163B"/>
    <w:rsid w:val="47CD3341"/>
    <w:rsid w:val="47CE7860"/>
    <w:rsid w:val="47D631DB"/>
    <w:rsid w:val="47DB78B4"/>
    <w:rsid w:val="47DC187E"/>
    <w:rsid w:val="47DC5FFF"/>
    <w:rsid w:val="47E20D04"/>
    <w:rsid w:val="47E87586"/>
    <w:rsid w:val="47F02414"/>
    <w:rsid w:val="47F65B00"/>
    <w:rsid w:val="47FB07A5"/>
    <w:rsid w:val="47FE15B1"/>
    <w:rsid w:val="47FF71AB"/>
    <w:rsid w:val="48031435"/>
    <w:rsid w:val="480F301E"/>
    <w:rsid w:val="48104EC7"/>
    <w:rsid w:val="48132115"/>
    <w:rsid w:val="481700D5"/>
    <w:rsid w:val="481D22A8"/>
    <w:rsid w:val="481E3C44"/>
    <w:rsid w:val="48205161"/>
    <w:rsid w:val="48263560"/>
    <w:rsid w:val="482728EE"/>
    <w:rsid w:val="482A12F4"/>
    <w:rsid w:val="482E20D9"/>
    <w:rsid w:val="4831408C"/>
    <w:rsid w:val="48337202"/>
    <w:rsid w:val="483579B5"/>
    <w:rsid w:val="483B158F"/>
    <w:rsid w:val="483E7E42"/>
    <w:rsid w:val="484B5043"/>
    <w:rsid w:val="484B50AC"/>
    <w:rsid w:val="48547E7F"/>
    <w:rsid w:val="48592DC5"/>
    <w:rsid w:val="48594C7C"/>
    <w:rsid w:val="485E3EC5"/>
    <w:rsid w:val="486378A9"/>
    <w:rsid w:val="486401D4"/>
    <w:rsid w:val="486F4FEE"/>
    <w:rsid w:val="48735D3E"/>
    <w:rsid w:val="48766E22"/>
    <w:rsid w:val="48880CD4"/>
    <w:rsid w:val="48885E0A"/>
    <w:rsid w:val="488A12DA"/>
    <w:rsid w:val="488C4F18"/>
    <w:rsid w:val="48912261"/>
    <w:rsid w:val="4894048A"/>
    <w:rsid w:val="489B1216"/>
    <w:rsid w:val="489B7C1F"/>
    <w:rsid w:val="48A71E8C"/>
    <w:rsid w:val="48AE4235"/>
    <w:rsid w:val="48B10882"/>
    <w:rsid w:val="48B337D7"/>
    <w:rsid w:val="48B6475B"/>
    <w:rsid w:val="48C06AA9"/>
    <w:rsid w:val="48C301EE"/>
    <w:rsid w:val="48C7608A"/>
    <w:rsid w:val="48CC7A48"/>
    <w:rsid w:val="48CE326A"/>
    <w:rsid w:val="48D82712"/>
    <w:rsid w:val="48FA2E41"/>
    <w:rsid w:val="49036652"/>
    <w:rsid w:val="491750B6"/>
    <w:rsid w:val="491B7832"/>
    <w:rsid w:val="49226B2C"/>
    <w:rsid w:val="4929464F"/>
    <w:rsid w:val="493059DD"/>
    <w:rsid w:val="49341F33"/>
    <w:rsid w:val="493863CD"/>
    <w:rsid w:val="4942469B"/>
    <w:rsid w:val="494506FF"/>
    <w:rsid w:val="49470AC2"/>
    <w:rsid w:val="49502F3F"/>
    <w:rsid w:val="495C70E7"/>
    <w:rsid w:val="4963171F"/>
    <w:rsid w:val="49635DB3"/>
    <w:rsid w:val="496D09DF"/>
    <w:rsid w:val="49803223"/>
    <w:rsid w:val="4983062C"/>
    <w:rsid w:val="498615B1"/>
    <w:rsid w:val="498B7EF7"/>
    <w:rsid w:val="49917942"/>
    <w:rsid w:val="499A72FA"/>
    <w:rsid w:val="49A308A5"/>
    <w:rsid w:val="49AA4EF7"/>
    <w:rsid w:val="49B4579F"/>
    <w:rsid w:val="49B81EB5"/>
    <w:rsid w:val="49B900A4"/>
    <w:rsid w:val="49BD2994"/>
    <w:rsid w:val="49C37038"/>
    <w:rsid w:val="49C51095"/>
    <w:rsid w:val="49C8088A"/>
    <w:rsid w:val="49CB2F9F"/>
    <w:rsid w:val="49D92519"/>
    <w:rsid w:val="49DB4E7D"/>
    <w:rsid w:val="49DF720F"/>
    <w:rsid w:val="49E75535"/>
    <w:rsid w:val="49EB34D3"/>
    <w:rsid w:val="49ED225A"/>
    <w:rsid w:val="49EF1EDA"/>
    <w:rsid w:val="49F44C5D"/>
    <w:rsid w:val="49F57666"/>
    <w:rsid w:val="49F772E6"/>
    <w:rsid w:val="49FA026B"/>
    <w:rsid w:val="4A007AA5"/>
    <w:rsid w:val="4A0749E0"/>
    <w:rsid w:val="4A0A4480"/>
    <w:rsid w:val="4A0A683C"/>
    <w:rsid w:val="4A0E4F5D"/>
    <w:rsid w:val="4A174DEF"/>
    <w:rsid w:val="4A176B9D"/>
    <w:rsid w:val="4A1D1724"/>
    <w:rsid w:val="4A1D6937"/>
    <w:rsid w:val="4A232912"/>
    <w:rsid w:val="4A255E5B"/>
    <w:rsid w:val="4A280ACD"/>
    <w:rsid w:val="4A2D19BE"/>
    <w:rsid w:val="4A2F2CC3"/>
    <w:rsid w:val="4A3E672A"/>
    <w:rsid w:val="4A435BE4"/>
    <w:rsid w:val="4A47036A"/>
    <w:rsid w:val="4A4F31F8"/>
    <w:rsid w:val="4A541B9F"/>
    <w:rsid w:val="4A585ED7"/>
    <w:rsid w:val="4A59738B"/>
    <w:rsid w:val="4A5C4AA9"/>
    <w:rsid w:val="4A5D250E"/>
    <w:rsid w:val="4A65539B"/>
    <w:rsid w:val="4A6E0EB3"/>
    <w:rsid w:val="4A6E1F94"/>
    <w:rsid w:val="4A701DB3"/>
    <w:rsid w:val="4A722025"/>
    <w:rsid w:val="4A7364C9"/>
    <w:rsid w:val="4A7551BD"/>
    <w:rsid w:val="4A7C5291"/>
    <w:rsid w:val="4A7E04C4"/>
    <w:rsid w:val="4A826C22"/>
    <w:rsid w:val="4A8C1339"/>
    <w:rsid w:val="4A972636"/>
    <w:rsid w:val="4A9D46FE"/>
    <w:rsid w:val="4AA03036"/>
    <w:rsid w:val="4AA43195"/>
    <w:rsid w:val="4AA541A9"/>
    <w:rsid w:val="4AAB008E"/>
    <w:rsid w:val="4AAE55D6"/>
    <w:rsid w:val="4AB92C27"/>
    <w:rsid w:val="4AC044B9"/>
    <w:rsid w:val="4AC44BC3"/>
    <w:rsid w:val="4ACE1548"/>
    <w:rsid w:val="4AD1231B"/>
    <w:rsid w:val="4AD124CC"/>
    <w:rsid w:val="4AD27F4E"/>
    <w:rsid w:val="4AD52CE0"/>
    <w:rsid w:val="4AE301E8"/>
    <w:rsid w:val="4AE50A49"/>
    <w:rsid w:val="4AE820F1"/>
    <w:rsid w:val="4AF018C8"/>
    <w:rsid w:val="4AFC3310"/>
    <w:rsid w:val="4B005883"/>
    <w:rsid w:val="4B0535CF"/>
    <w:rsid w:val="4B0B4153"/>
    <w:rsid w:val="4B1D310B"/>
    <w:rsid w:val="4B2B7053"/>
    <w:rsid w:val="4B32756D"/>
    <w:rsid w:val="4B3F39F1"/>
    <w:rsid w:val="4B4400B5"/>
    <w:rsid w:val="4B446F88"/>
    <w:rsid w:val="4B447056"/>
    <w:rsid w:val="4B4F0B9C"/>
    <w:rsid w:val="4B58746D"/>
    <w:rsid w:val="4B5978B7"/>
    <w:rsid w:val="4B5A6BDD"/>
    <w:rsid w:val="4B5F1B26"/>
    <w:rsid w:val="4B7446C0"/>
    <w:rsid w:val="4B882524"/>
    <w:rsid w:val="4B8A5790"/>
    <w:rsid w:val="4B92038C"/>
    <w:rsid w:val="4B9C0C9C"/>
    <w:rsid w:val="4BA22522"/>
    <w:rsid w:val="4BAA6B3F"/>
    <w:rsid w:val="4BAB1236"/>
    <w:rsid w:val="4BAC65AF"/>
    <w:rsid w:val="4BB533B2"/>
    <w:rsid w:val="4BB91A07"/>
    <w:rsid w:val="4BC07BD6"/>
    <w:rsid w:val="4BC30B5B"/>
    <w:rsid w:val="4BC461C0"/>
    <w:rsid w:val="4BCB5E91"/>
    <w:rsid w:val="4BCB709E"/>
    <w:rsid w:val="4BCD7E5B"/>
    <w:rsid w:val="4BD023EF"/>
    <w:rsid w:val="4BD93C8B"/>
    <w:rsid w:val="4BE21410"/>
    <w:rsid w:val="4BEA2F99"/>
    <w:rsid w:val="4BED77A1"/>
    <w:rsid w:val="4BF623B7"/>
    <w:rsid w:val="4BFD7185"/>
    <w:rsid w:val="4C0513A3"/>
    <w:rsid w:val="4C0B1536"/>
    <w:rsid w:val="4C1053D7"/>
    <w:rsid w:val="4C15535E"/>
    <w:rsid w:val="4C1672E0"/>
    <w:rsid w:val="4C196BFC"/>
    <w:rsid w:val="4C1B6FEB"/>
    <w:rsid w:val="4C2537F3"/>
    <w:rsid w:val="4C2E02E7"/>
    <w:rsid w:val="4C395885"/>
    <w:rsid w:val="4C43601E"/>
    <w:rsid w:val="4C4641FC"/>
    <w:rsid w:val="4C464E12"/>
    <w:rsid w:val="4C475FD9"/>
    <w:rsid w:val="4C480DB4"/>
    <w:rsid w:val="4C497D1F"/>
    <w:rsid w:val="4C4A5745"/>
    <w:rsid w:val="4C50269C"/>
    <w:rsid w:val="4C515A17"/>
    <w:rsid w:val="4C537145"/>
    <w:rsid w:val="4C551A6E"/>
    <w:rsid w:val="4C595035"/>
    <w:rsid w:val="4C5B7215"/>
    <w:rsid w:val="4C631ED6"/>
    <w:rsid w:val="4C6373E0"/>
    <w:rsid w:val="4C72630D"/>
    <w:rsid w:val="4C776080"/>
    <w:rsid w:val="4C8147A2"/>
    <w:rsid w:val="4C856040"/>
    <w:rsid w:val="4C8631BD"/>
    <w:rsid w:val="4C8749CF"/>
    <w:rsid w:val="4C9011A8"/>
    <w:rsid w:val="4C906FAA"/>
    <w:rsid w:val="4C9A3242"/>
    <w:rsid w:val="4C9F2994"/>
    <w:rsid w:val="4CB33CE7"/>
    <w:rsid w:val="4CB42DC9"/>
    <w:rsid w:val="4CB726ED"/>
    <w:rsid w:val="4CBC35C3"/>
    <w:rsid w:val="4CBD13AA"/>
    <w:rsid w:val="4CC151FB"/>
    <w:rsid w:val="4CC21042"/>
    <w:rsid w:val="4CC4534D"/>
    <w:rsid w:val="4CD32F17"/>
    <w:rsid w:val="4CDA6125"/>
    <w:rsid w:val="4CE40EBB"/>
    <w:rsid w:val="4CE82EBC"/>
    <w:rsid w:val="4CE9093D"/>
    <w:rsid w:val="4CEF795D"/>
    <w:rsid w:val="4CF0343A"/>
    <w:rsid w:val="4CF54750"/>
    <w:rsid w:val="4D021D86"/>
    <w:rsid w:val="4D102D7B"/>
    <w:rsid w:val="4D18527C"/>
    <w:rsid w:val="4D1D6C62"/>
    <w:rsid w:val="4D292E6F"/>
    <w:rsid w:val="4D2E5D0E"/>
    <w:rsid w:val="4D354E86"/>
    <w:rsid w:val="4D3F38CB"/>
    <w:rsid w:val="4D415B18"/>
    <w:rsid w:val="4D447D52"/>
    <w:rsid w:val="4D47736A"/>
    <w:rsid w:val="4D4971D6"/>
    <w:rsid w:val="4D4E2860"/>
    <w:rsid w:val="4D4E3D3A"/>
    <w:rsid w:val="4D555CFF"/>
    <w:rsid w:val="4D5819A6"/>
    <w:rsid w:val="4D64034B"/>
    <w:rsid w:val="4D826D77"/>
    <w:rsid w:val="4D86623D"/>
    <w:rsid w:val="4D8D5BC8"/>
    <w:rsid w:val="4D8E361A"/>
    <w:rsid w:val="4D933355"/>
    <w:rsid w:val="4D956858"/>
    <w:rsid w:val="4D975F23"/>
    <w:rsid w:val="4D9D3416"/>
    <w:rsid w:val="4DA22C22"/>
    <w:rsid w:val="4DA64574"/>
    <w:rsid w:val="4DA80F7F"/>
    <w:rsid w:val="4DB34E2F"/>
    <w:rsid w:val="4DB646D5"/>
    <w:rsid w:val="4DBA7991"/>
    <w:rsid w:val="4DBE1C1A"/>
    <w:rsid w:val="4DC20621"/>
    <w:rsid w:val="4DCA0CB8"/>
    <w:rsid w:val="4DCA5A2D"/>
    <w:rsid w:val="4DCB34AF"/>
    <w:rsid w:val="4DD34366"/>
    <w:rsid w:val="4DD454D1"/>
    <w:rsid w:val="4DDA23BB"/>
    <w:rsid w:val="4DE3428B"/>
    <w:rsid w:val="4DE3517A"/>
    <w:rsid w:val="4DF0205A"/>
    <w:rsid w:val="4DF71B22"/>
    <w:rsid w:val="4DFF0074"/>
    <w:rsid w:val="4DFF1E22"/>
    <w:rsid w:val="4E031912"/>
    <w:rsid w:val="4E0F4E9D"/>
    <w:rsid w:val="4E1318E2"/>
    <w:rsid w:val="4E146DA6"/>
    <w:rsid w:val="4E192EE4"/>
    <w:rsid w:val="4E1B3ACF"/>
    <w:rsid w:val="4E1F4272"/>
    <w:rsid w:val="4E2B47CD"/>
    <w:rsid w:val="4E2E7EBC"/>
    <w:rsid w:val="4E3E6DEE"/>
    <w:rsid w:val="4E433B47"/>
    <w:rsid w:val="4E45017D"/>
    <w:rsid w:val="4E482ED2"/>
    <w:rsid w:val="4E4A4FCE"/>
    <w:rsid w:val="4E4B2B03"/>
    <w:rsid w:val="4E4D2BD1"/>
    <w:rsid w:val="4E547B90"/>
    <w:rsid w:val="4E5B14B9"/>
    <w:rsid w:val="4E5B1EF6"/>
    <w:rsid w:val="4E5D5E57"/>
    <w:rsid w:val="4E606D65"/>
    <w:rsid w:val="4E6B40F0"/>
    <w:rsid w:val="4E6D3230"/>
    <w:rsid w:val="4E720846"/>
    <w:rsid w:val="4E7826A8"/>
    <w:rsid w:val="4E920EE8"/>
    <w:rsid w:val="4E93713A"/>
    <w:rsid w:val="4E98249A"/>
    <w:rsid w:val="4EA03605"/>
    <w:rsid w:val="4EA74993"/>
    <w:rsid w:val="4EB46CAF"/>
    <w:rsid w:val="4EBA4172"/>
    <w:rsid w:val="4EC1586E"/>
    <w:rsid w:val="4EC210D8"/>
    <w:rsid w:val="4EC56BC8"/>
    <w:rsid w:val="4ECB0C82"/>
    <w:rsid w:val="4ECE0172"/>
    <w:rsid w:val="4ECE0E1B"/>
    <w:rsid w:val="4ED41501"/>
    <w:rsid w:val="4ED82D9F"/>
    <w:rsid w:val="4EDC662A"/>
    <w:rsid w:val="4EDC7FE5"/>
    <w:rsid w:val="4EDE412D"/>
    <w:rsid w:val="4EE15D33"/>
    <w:rsid w:val="4EE670FE"/>
    <w:rsid w:val="4EE71991"/>
    <w:rsid w:val="4EEB4B7D"/>
    <w:rsid w:val="4EEF208C"/>
    <w:rsid w:val="4EF26794"/>
    <w:rsid w:val="4EF77399"/>
    <w:rsid w:val="4EFB3A82"/>
    <w:rsid w:val="4EFE032C"/>
    <w:rsid w:val="4EFF4BDB"/>
    <w:rsid w:val="4F082599"/>
    <w:rsid w:val="4F0D069F"/>
    <w:rsid w:val="4F184CEA"/>
    <w:rsid w:val="4F1A6654"/>
    <w:rsid w:val="4F1E5471"/>
    <w:rsid w:val="4F22226C"/>
    <w:rsid w:val="4F2F6737"/>
    <w:rsid w:val="4F3124AF"/>
    <w:rsid w:val="4F316279"/>
    <w:rsid w:val="4F337FD5"/>
    <w:rsid w:val="4F346C2B"/>
    <w:rsid w:val="4F3A6B88"/>
    <w:rsid w:val="4F3C208C"/>
    <w:rsid w:val="4F442D1B"/>
    <w:rsid w:val="4F47041D"/>
    <w:rsid w:val="4F4A3571"/>
    <w:rsid w:val="4F4D7134"/>
    <w:rsid w:val="4F530677"/>
    <w:rsid w:val="4F785B61"/>
    <w:rsid w:val="4F795774"/>
    <w:rsid w:val="4F7D417A"/>
    <w:rsid w:val="4F7D425A"/>
    <w:rsid w:val="4F8855BC"/>
    <w:rsid w:val="4F8C0F11"/>
    <w:rsid w:val="4F8C1F34"/>
    <w:rsid w:val="4F9D33AA"/>
    <w:rsid w:val="4F9D711A"/>
    <w:rsid w:val="4F9F2130"/>
    <w:rsid w:val="4FA13668"/>
    <w:rsid w:val="4FA931B8"/>
    <w:rsid w:val="4FB22F0E"/>
    <w:rsid w:val="4FB42FCF"/>
    <w:rsid w:val="4FBF5D0D"/>
    <w:rsid w:val="4FC26AA8"/>
    <w:rsid w:val="4FC718C9"/>
    <w:rsid w:val="4FC92F74"/>
    <w:rsid w:val="4FCA510C"/>
    <w:rsid w:val="4FCB6477"/>
    <w:rsid w:val="4FD221F1"/>
    <w:rsid w:val="4FD23C92"/>
    <w:rsid w:val="4FD46784"/>
    <w:rsid w:val="4FD51C85"/>
    <w:rsid w:val="4FDD3A7F"/>
    <w:rsid w:val="4FE2132C"/>
    <w:rsid w:val="4FE528A4"/>
    <w:rsid w:val="4FF62B3F"/>
    <w:rsid w:val="4FF959C0"/>
    <w:rsid w:val="4FFF452A"/>
    <w:rsid w:val="500367AB"/>
    <w:rsid w:val="50074FD7"/>
    <w:rsid w:val="50093F85"/>
    <w:rsid w:val="500D4CCA"/>
    <w:rsid w:val="500D6A78"/>
    <w:rsid w:val="50100316"/>
    <w:rsid w:val="50153B7F"/>
    <w:rsid w:val="501A2EA9"/>
    <w:rsid w:val="501F3FC6"/>
    <w:rsid w:val="501F5343"/>
    <w:rsid w:val="502B33A2"/>
    <w:rsid w:val="50321D2E"/>
    <w:rsid w:val="50345083"/>
    <w:rsid w:val="503463C8"/>
    <w:rsid w:val="50365BF9"/>
    <w:rsid w:val="503D5FC5"/>
    <w:rsid w:val="503E4E84"/>
    <w:rsid w:val="504925C9"/>
    <w:rsid w:val="504F44D2"/>
    <w:rsid w:val="5051105B"/>
    <w:rsid w:val="505745B8"/>
    <w:rsid w:val="5058706C"/>
    <w:rsid w:val="50587360"/>
    <w:rsid w:val="505B02E5"/>
    <w:rsid w:val="505E1082"/>
    <w:rsid w:val="505E20E8"/>
    <w:rsid w:val="506E5C81"/>
    <w:rsid w:val="506F764D"/>
    <w:rsid w:val="50781E13"/>
    <w:rsid w:val="507A2D98"/>
    <w:rsid w:val="508C2CB2"/>
    <w:rsid w:val="508F60F5"/>
    <w:rsid w:val="509E3B74"/>
    <w:rsid w:val="50A54F03"/>
    <w:rsid w:val="50A70C7B"/>
    <w:rsid w:val="50AC6DEA"/>
    <w:rsid w:val="50BC0A37"/>
    <w:rsid w:val="50C4668F"/>
    <w:rsid w:val="50C942C5"/>
    <w:rsid w:val="50CF3D2E"/>
    <w:rsid w:val="50D01829"/>
    <w:rsid w:val="50D33EBC"/>
    <w:rsid w:val="50D373F7"/>
    <w:rsid w:val="50D608F9"/>
    <w:rsid w:val="50DE2666"/>
    <w:rsid w:val="50E21CB3"/>
    <w:rsid w:val="50E85C87"/>
    <w:rsid w:val="50EA5985"/>
    <w:rsid w:val="50EB4351"/>
    <w:rsid w:val="50F25C6E"/>
    <w:rsid w:val="50FA10E8"/>
    <w:rsid w:val="50FD4D3F"/>
    <w:rsid w:val="50FF78E5"/>
    <w:rsid w:val="510736ED"/>
    <w:rsid w:val="510833D1"/>
    <w:rsid w:val="510C4885"/>
    <w:rsid w:val="510F20DD"/>
    <w:rsid w:val="510F4A72"/>
    <w:rsid w:val="511677DA"/>
    <w:rsid w:val="511D718F"/>
    <w:rsid w:val="5121482B"/>
    <w:rsid w:val="512C5624"/>
    <w:rsid w:val="512E02BD"/>
    <w:rsid w:val="51324AC5"/>
    <w:rsid w:val="513723D1"/>
    <w:rsid w:val="5139688C"/>
    <w:rsid w:val="513A1AEF"/>
    <w:rsid w:val="513B5609"/>
    <w:rsid w:val="51414BB4"/>
    <w:rsid w:val="51421E97"/>
    <w:rsid w:val="514349DF"/>
    <w:rsid w:val="51454A1C"/>
    <w:rsid w:val="51463789"/>
    <w:rsid w:val="51491D32"/>
    <w:rsid w:val="51532BB1"/>
    <w:rsid w:val="51542485"/>
    <w:rsid w:val="515F688E"/>
    <w:rsid w:val="516E10A7"/>
    <w:rsid w:val="517254B9"/>
    <w:rsid w:val="51880C7C"/>
    <w:rsid w:val="51890380"/>
    <w:rsid w:val="51977520"/>
    <w:rsid w:val="51985B66"/>
    <w:rsid w:val="51B03B5F"/>
    <w:rsid w:val="51B45FE4"/>
    <w:rsid w:val="51B64D1E"/>
    <w:rsid w:val="51C0562E"/>
    <w:rsid w:val="51C07B1A"/>
    <w:rsid w:val="51C413B8"/>
    <w:rsid w:val="51C978A0"/>
    <w:rsid w:val="51CA3CFC"/>
    <w:rsid w:val="51CD5DF7"/>
    <w:rsid w:val="51D058C8"/>
    <w:rsid w:val="51D97508"/>
    <w:rsid w:val="51E333FD"/>
    <w:rsid w:val="51E44568"/>
    <w:rsid w:val="51E732EF"/>
    <w:rsid w:val="51E754ED"/>
    <w:rsid w:val="51E85641"/>
    <w:rsid w:val="51E91E61"/>
    <w:rsid w:val="51EB2DE9"/>
    <w:rsid w:val="51EF3BC5"/>
    <w:rsid w:val="51F65B08"/>
    <w:rsid w:val="51FA6CAC"/>
    <w:rsid w:val="51FD18BA"/>
    <w:rsid w:val="51FF7A8C"/>
    <w:rsid w:val="520D572D"/>
    <w:rsid w:val="520E1290"/>
    <w:rsid w:val="520E31AE"/>
    <w:rsid w:val="52102850"/>
    <w:rsid w:val="52126331"/>
    <w:rsid w:val="5215396F"/>
    <w:rsid w:val="5215416B"/>
    <w:rsid w:val="52217326"/>
    <w:rsid w:val="522A3820"/>
    <w:rsid w:val="522A39D8"/>
    <w:rsid w:val="52324668"/>
    <w:rsid w:val="52392202"/>
    <w:rsid w:val="52473DBA"/>
    <w:rsid w:val="52484F6F"/>
    <w:rsid w:val="524F431A"/>
    <w:rsid w:val="5251037B"/>
    <w:rsid w:val="525A1EEB"/>
    <w:rsid w:val="52622E1E"/>
    <w:rsid w:val="52655DBB"/>
    <w:rsid w:val="52697B69"/>
    <w:rsid w:val="526B217C"/>
    <w:rsid w:val="526D5D39"/>
    <w:rsid w:val="527D1264"/>
    <w:rsid w:val="52822445"/>
    <w:rsid w:val="528540F2"/>
    <w:rsid w:val="52901298"/>
    <w:rsid w:val="529160FB"/>
    <w:rsid w:val="529169C4"/>
    <w:rsid w:val="52961843"/>
    <w:rsid w:val="529A65BD"/>
    <w:rsid w:val="529C5033"/>
    <w:rsid w:val="52A51893"/>
    <w:rsid w:val="52AA11D3"/>
    <w:rsid w:val="52AC6530"/>
    <w:rsid w:val="52AD4542"/>
    <w:rsid w:val="52B01536"/>
    <w:rsid w:val="52B15FA1"/>
    <w:rsid w:val="52BD6977"/>
    <w:rsid w:val="52BE1CCD"/>
    <w:rsid w:val="52C7430B"/>
    <w:rsid w:val="52C750D6"/>
    <w:rsid w:val="52CA5AE0"/>
    <w:rsid w:val="52CB6DE5"/>
    <w:rsid w:val="52DA15FD"/>
    <w:rsid w:val="52DB0EAB"/>
    <w:rsid w:val="52DE4780"/>
    <w:rsid w:val="52E141EC"/>
    <w:rsid w:val="52E21865"/>
    <w:rsid w:val="52E3039E"/>
    <w:rsid w:val="52E4399A"/>
    <w:rsid w:val="52EA18F8"/>
    <w:rsid w:val="52EF7913"/>
    <w:rsid w:val="52F1599F"/>
    <w:rsid w:val="52FB3280"/>
    <w:rsid w:val="53035F10"/>
    <w:rsid w:val="531639E1"/>
    <w:rsid w:val="53174D00"/>
    <w:rsid w:val="531F422E"/>
    <w:rsid w:val="53213F70"/>
    <w:rsid w:val="532A5B93"/>
    <w:rsid w:val="532C0D5C"/>
    <w:rsid w:val="532C35FB"/>
    <w:rsid w:val="532C36B9"/>
    <w:rsid w:val="532F31A9"/>
    <w:rsid w:val="53342F91"/>
    <w:rsid w:val="533E38A0"/>
    <w:rsid w:val="5341644A"/>
    <w:rsid w:val="53440641"/>
    <w:rsid w:val="53593B01"/>
    <w:rsid w:val="535940CA"/>
    <w:rsid w:val="53660E77"/>
    <w:rsid w:val="538B5B9E"/>
    <w:rsid w:val="53901E9A"/>
    <w:rsid w:val="53913478"/>
    <w:rsid w:val="539564AD"/>
    <w:rsid w:val="53A235C5"/>
    <w:rsid w:val="53A77A4C"/>
    <w:rsid w:val="53A854CE"/>
    <w:rsid w:val="53AD3B54"/>
    <w:rsid w:val="53B90442"/>
    <w:rsid w:val="53B97094"/>
    <w:rsid w:val="53BA0CC5"/>
    <w:rsid w:val="53C47D96"/>
    <w:rsid w:val="53C51418"/>
    <w:rsid w:val="53CE790C"/>
    <w:rsid w:val="53D052F8"/>
    <w:rsid w:val="53E47207"/>
    <w:rsid w:val="53E60836"/>
    <w:rsid w:val="53F008AC"/>
    <w:rsid w:val="53F6304F"/>
    <w:rsid w:val="53F80DFD"/>
    <w:rsid w:val="53F8359B"/>
    <w:rsid w:val="540C23E1"/>
    <w:rsid w:val="540E0D6A"/>
    <w:rsid w:val="540E2DBF"/>
    <w:rsid w:val="54161588"/>
    <w:rsid w:val="541B4188"/>
    <w:rsid w:val="541F790E"/>
    <w:rsid w:val="54244390"/>
    <w:rsid w:val="542D31A9"/>
    <w:rsid w:val="544143C8"/>
    <w:rsid w:val="5444625D"/>
    <w:rsid w:val="544640D3"/>
    <w:rsid w:val="544D7D8B"/>
    <w:rsid w:val="544E5B1C"/>
    <w:rsid w:val="545A6004"/>
    <w:rsid w:val="545D22D7"/>
    <w:rsid w:val="54684759"/>
    <w:rsid w:val="54686246"/>
    <w:rsid w:val="54691D09"/>
    <w:rsid w:val="54745318"/>
    <w:rsid w:val="547748DF"/>
    <w:rsid w:val="54776BB6"/>
    <w:rsid w:val="547B36BF"/>
    <w:rsid w:val="547D4CCF"/>
    <w:rsid w:val="548670BA"/>
    <w:rsid w:val="5489003F"/>
    <w:rsid w:val="549606B9"/>
    <w:rsid w:val="549A0ADA"/>
    <w:rsid w:val="54A10B32"/>
    <w:rsid w:val="54A91C1A"/>
    <w:rsid w:val="54AA6F8B"/>
    <w:rsid w:val="54AC5365"/>
    <w:rsid w:val="54B05D00"/>
    <w:rsid w:val="54B07EFF"/>
    <w:rsid w:val="54B43966"/>
    <w:rsid w:val="54B96610"/>
    <w:rsid w:val="54BD1793"/>
    <w:rsid w:val="54C3004D"/>
    <w:rsid w:val="54D7236E"/>
    <w:rsid w:val="54D95840"/>
    <w:rsid w:val="54DC19BB"/>
    <w:rsid w:val="54E30C7D"/>
    <w:rsid w:val="54E76545"/>
    <w:rsid w:val="54F04C33"/>
    <w:rsid w:val="54F12136"/>
    <w:rsid w:val="54FB1E97"/>
    <w:rsid w:val="550A0FB6"/>
    <w:rsid w:val="550D148B"/>
    <w:rsid w:val="550D751A"/>
    <w:rsid w:val="5511121D"/>
    <w:rsid w:val="55142657"/>
    <w:rsid w:val="55164CE6"/>
    <w:rsid w:val="5517410B"/>
    <w:rsid w:val="551A3B1D"/>
    <w:rsid w:val="551C4892"/>
    <w:rsid w:val="5526104B"/>
    <w:rsid w:val="552C1F88"/>
    <w:rsid w:val="552C551F"/>
    <w:rsid w:val="553E6869"/>
    <w:rsid w:val="55434EEF"/>
    <w:rsid w:val="554503F2"/>
    <w:rsid w:val="554A4238"/>
    <w:rsid w:val="554E14CA"/>
    <w:rsid w:val="55513AF2"/>
    <w:rsid w:val="555313D1"/>
    <w:rsid w:val="55570796"/>
    <w:rsid w:val="55570883"/>
    <w:rsid w:val="5557323B"/>
    <w:rsid w:val="55591611"/>
    <w:rsid w:val="555D46FF"/>
    <w:rsid w:val="556C24ED"/>
    <w:rsid w:val="556E3E46"/>
    <w:rsid w:val="55704ABA"/>
    <w:rsid w:val="55735144"/>
    <w:rsid w:val="557723A3"/>
    <w:rsid w:val="557B66CE"/>
    <w:rsid w:val="55864728"/>
    <w:rsid w:val="558A2919"/>
    <w:rsid w:val="5593401E"/>
    <w:rsid w:val="559357DD"/>
    <w:rsid w:val="5596486B"/>
    <w:rsid w:val="559B68D4"/>
    <w:rsid w:val="559D264C"/>
    <w:rsid w:val="559F5609"/>
    <w:rsid w:val="55A41A91"/>
    <w:rsid w:val="55A734CB"/>
    <w:rsid w:val="55AD03B6"/>
    <w:rsid w:val="55B72CB0"/>
    <w:rsid w:val="55BE6DB7"/>
    <w:rsid w:val="55C30B63"/>
    <w:rsid w:val="55C403A3"/>
    <w:rsid w:val="55D41E21"/>
    <w:rsid w:val="55D707A2"/>
    <w:rsid w:val="55DA564E"/>
    <w:rsid w:val="55DC29ED"/>
    <w:rsid w:val="55E3118B"/>
    <w:rsid w:val="55E41916"/>
    <w:rsid w:val="55E524FA"/>
    <w:rsid w:val="55EC1E85"/>
    <w:rsid w:val="55EF10B1"/>
    <w:rsid w:val="55EF2829"/>
    <w:rsid w:val="55F70216"/>
    <w:rsid w:val="55F81E39"/>
    <w:rsid w:val="55FD59A2"/>
    <w:rsid w:val="55FE3424"/>
    <w:rsid w:val="56043EDC"/>
    <w:rsid w:val="560C332E"/>
    <w:rsid w:val="561548D9"/>
    <w:rsid w:val="561641AD"/>
    <w:rsid w:val="561D0456"/>
    <w:rsid w:val="561D553B"/>
    <w:rsid w:val="562D5289"/>
    <w:rsid w:val="5630526E"/>
    <w:rsid w:val="5636079B"/>
    <w:rsid w:val="56383420"/>
    <w:rsid w:val="563929C2"/>
    <w:rsid w:val="563A5B71"/>
    <w:rsid w:val="563C2F09"/>
    <w:rsid w:val="56412C14"/>
    <w:rsid w:val="565E5FF8"/>
    <w:rsid w:val="56616C1A"/>
    <w:rsid w:val="56700CBB"/>
    <w:rsid w:val="5670465C"/>
    <w:rsid w:val="568B1FB7"/>
    <w:rsid w:val="56925E96"/>
    <w:rsid w:val="5698397A"/>
    <w:rsid w:val="56A75E3B"/>
    <w:rsid w:val="56A87777"/>
    <w:rsid w:val="56A9133E"/>
    <w:rsid w:val="56AD44C1"/>
    <w:rsid w:val="56B517A4"/>
    <w:rsid w:val="56B64DD1"/>
    <w:rsid w:val="56BD0859"/>
    <w:rsid w:val="56CB13FA"/>
    <w:rsid w:val="56D26326"/>
    <w:rsid w:val="56DE2A3C"/>
    <w:rsid w:val="56E36E37"/>
    <w:rsid w:val="56E828D8"/>
    <w:rsid w:val="56EE1636"/>
    <w:rsid w:val="56F15EAF"/>
    <w:rsid w:val="56FA587C"/>
    <w:rsid w:val="570A2DB8"/>
    <w:rsid w:val="570E0DDA"/>
    <w:rsid w:val="57203535"/>
    <w:rsid w:val="5721546D"/>
    <w:rsid w:val="57252E86"/>
    <w:rsid w:val="57284198"/>
    <w:rsid w:val="572933CA"/>
    <w:rsid w:val="572A10FA"/>
    <w:rsid w:val="572C2811"/>
    <w:rsid w:val="572D7A00"/>
    <w:rsid w:val="573A5F50"/>
    <w:rsid w:val="574009FC"/>
    <w:rsid w:val="57416F33"/>
    <w:rsid w:val="574216FD"/>
    <w:rsid w:val="574616FA"/>
    <w:rsid w:val="57482A8C"/>
    <w:rsid w:val="574F7976"/>
    <w:rsid w:val="575933F7"/>
    <w:rsid w:val="576109DB"/>
    <w:rsid w:val="57633422"/>
    <w:rsid w:val="577658BF"/>
    <w:rsid w:val="578876A8"/>
    <w:rsid w:val="578B08A7"/>
    <w:rsid w:val="57971EC0"/>
    <w:rsid w:val="579B705F"/>
    <w:rsid w:val="57AA122F"/>
    <w:rsid w:val="57AA30DF"/>
    <w:rsid w:val="57AE36D7"/>
    <w:rsid w:val="57B44CCE"/>
    <w:rsid w:val="57B62775"/>
    <w:rsid w:val="57BB403E"/>
    <w:rsid w:val="57C26DE0"/>
    <w:rsid w:val="57D7363D"/>
    <w:rsid w:val="57D85C2D"/>
    <w:rsid w:val="57DD5F63"/>
    <w:rsid w:val="57ED06D1"/>
    <w:rsid w:val="57ED4E4E"/>
    <w:rsid w:val="57EF1159"/>
    <w:rsid w:val="57FD399E"/>
    <w:rsid w:val="580524F4"/>
    <w:rsid w:val="58097EEC"/>
    <w:rsid w:val="580C1D0B"/>
    <w:rsid w:val="580E2E04"/>
    <w:rsid w:val="58101F66"/>
    <w:rsid w:val="58144D0D"/>
    <w:rsid w:val="581F0A66"/>
    <w:rsid w:val="58291691"/>
    <w:rsid w:val="58296419"/>
    <w:rsid w:val="582B2D5F"/>
    <w:rsid w:val="58351494"/>
    <w:rsid w:val="58351C4C"/>
    <w:rsid w:val="58381A4A"/>
    <w:rsid w:val="583E71D6"/>
    <w:rsid w:val="58405511"/>
    <w:rsid w:val="58450D79"/>
    <w:rsid w:val="584E3BED"/>
    <w:rsid w:val="58587D80"/>
    <w:rsid w:val="585A7A00"/>
    <w:rsid w:val="585B7BCD"/>
    <w:rsid w:val="58675193"/>
    <w:rsid w:val="586912C7"/>
    <w:rsid w:val="587D0EB9"/>
    <w:rsid w:val="587F332E"/>
    <w:rsid w:val="588673C8"/>
    <w:rsid w:val="588D58A4"/>
    <w:rsid w:val="588D761C"/>
    <w:rsid w:val="58944362"/>
    <w:rsid w:val="589917F1"/>
    <w:rsid w:val="58A261CC"/>
    <w:rsid w:val="58A61818"/>
    <w:rsid w:val="58A94B3D"/>
    <w:rsid w:val="58A957AC"/>
    <w:rsid w:val="58AD528C"/>
    <w:rsid w:val="58B42698"/>
    <w:rsid w:val="58B959EF"/>
    <w:rsid w:val="58C7006B"/>
    <w:rsid w:val="58D40387"/>
    <w:rsid w:val="58D81BED"/>
    <w:rsid w:val="58D92577"/>
    <w:rsid w:val="58E13419"/>
    <w:rsid w:val="58E57753"/>
    <w:rsid w:val="59017396"/>
    <w:rsid w:val="59034EBC"/>
    <w:rsid w:val="59096590"/>
    <w:rsid w:val="590A5625"/>
    <w:rsid w:val="590B1675"/>
    <w:rsid w:val="590F77E3"/>
    <w:rsid w:val="591118CF"/>
    <w:rsid w:val="591304B3"/>
    <w:rsid w:val="59142C25"/>
    <w:rsid w:val="59164ECC"/>
    <w:rsid w:val="591A5BE0"/>
    <w:rsid w:val="591F1D47"/>
    <w:rsid w:val="59205A6E"/>
    <w:rsid w:val="592B1B73"/>
    <w:rsid w:val="592B3B93"/>
    <w:rsid w:val="593309E8"/>
    <w:rsid w:val="593502DC"/>
    <w:rsid w:val="5939571C"/>
    <w:rsid w:val="59433EDE"/>
    <w:rsid w:val="59442BC5"/>
    <w:rsid w:val="594C3B10"/>
    <w:rsid w:val="594F1212"/>
    <w:rsid w:val="59575B95"/>
    <w:rsid w:val="59584EE2"/>
    <w:rsid w:val="59620232"/>
    <w:rsid w:val="596E66CB"/>
    <w:rsid w:val="597A4A53"/>
    <w:rsid w:val="598A738C"/>
    <w:rsid w:val="598C48FA"/>
    <w:rsid w:val="598E6BE8"/>
    <w:rsid w:val="598F49A2"/>
    <w:rsid w:val="59941CE6"/>
    <w:rsid w:val="599C04BB"/>
    <w:rsid w:val="599C1311"/>
    <w:rsid w:val="599C2C1B"/>
    <w:rsid w:val="59A07D17"/>
    <w:rsid w:val="59A809A7"/>
    <w:rsid w:val="59AB5F38"/>
    <w:rsid w:val="59AD0FA8"/>
    <w:rsid w:val="59AF294E"/>
    <w:rsid w:val="59B447B9"/>
    <w:rsid w:val="59B63CDD"/>
    <w:rsid w:val="59B92E3F"/>
    <w:rsid w:val="59BC0E53"/>
    <w:rsid w:val="59C949AE"/>
    <w:rsid w:val="59DE0E81"/>
    <w:rsid w:val="59E06FAB"/>
    <w:rsid w:val="59E36E2E"/>
    <w:rsid w:val="59EA7E2A"/>
    <w:rsid w:val="59EE0EDE"/>
    <w:rsid w:val="59F40CA9"/>
    <w:rsid w:val="59FC0431"/>
    <w:rsid w:val="5A002EB1"/>
    <w:rsid w:val="5A0A4028"/>
    <w:rsid w:val="5A0A52F6"/>
    <w:rsid w:val="5A0C5FF2"/>
    <w:rsid w:val="5A0D1C05"/>
    <w:rsid w:val="5A114B53"/>
    <w:rsid w:val="5A1E47AC"/>
    <w:rsid w:val="5A252C10"/>
    <w:rsid w:val="5A2F4103"/>
    <w:rsid w:val="5A30425D"/>
    <w:rsid w:val="5A345F00"/>
    <w:rsid w:val="5A36150F"/>
    <w:rsid w:val="5A376F91"/>
    <w:rsid w:val="5A395817"/>
    <w:rsid w:val="5A3B0686"/>
    <w:rsid w:val="5A403C0F"/>
    <w:rsid w:val="5A494BC1"/>
    <w:rsid w:val="5A4F084A"/>
    <w:rsid w:val="5A582D49"/>
    <w:rsid w:val="5A5A4FB0"/>
    <w:rsid w:val="5A5B044A"/>
    <w:rsid w:val="5A5D394D"/>
    <w:rsid w:val="5A5E38E3"/>
    <w:rsid w:val="5A5F6122"/>
    <w:rsid w:val="5A612DDC"/>
    <w:rsid w:val="5A66205E"/>
    <w:rsid w:val="5A683C2C"/>
    <w:rsid w:val="5A690D4F"/>
    <w:rsid w:val="5A7125EE"/>
    <w:rsid w:val="5A7622F9"/>
    <w:rsid w:val="5A7A11AE"/>
    <w:rsid w:val="5A7B6781"/>
    <w:rsid w:val="5A7D277F"/>
    <w:rsid w:val="5A8042EB"/>
    <w:rsid w:val="5A833B8D"/>
    <w:rsid w:val="5A8836A8"/>
    <w:rsid w:val="5A8A4177"/>
    <w:rsid w:val="5A8B6A1B"/>
    <w:rsid w:val="5A8F01C0"/>
    <w:rsid w:val="5A933F47"/>
    <w:rsid w:val="5A9B2ED2"/>
    <w:rsid w:val="5A9C642A"/>
    <w:rsid w:val="5AA553C6"/>
    <w:rsid w:val="5AA75A9A"/>
    <w:rsid w:val="5AB6510A"/>
    <w:rsid w:val="5ABC682F"/>
    <w:rsid w:val="5ABD2A6D"/>
    <w:rsid w:val="5AC14046"/>
    <w:rsid w:val="5AC1544A"/>
    <w:rsid w:val="5ACC10CC"/>
    <w:rsid w:val="5ACD0019"/>
    <w:rsid w:val="5AD44891"/>
    <w:rsid w:val="5AD73617"/>
    <w:rsid w:val="5AD73B2D"/>
    <w:rsid w:val="5AD855B2"/>
    <w:rsid w:val="5ADA679A"/>
    <w:rsid w:val="5ADE7C65"/>
    <w:rsid w:val="5AE20550"/>
    <w:rsid w:val="5AE26D53"/>
    <w:rsid w:val="5AEC49E1"/>
    <w:rsid w:val="5AF01470"/>
    <w:rsid w:val="5AF200A3"/>
    <w:rsid w:val="5AF660CA"/>
    <w:rsid w:val="5AF727FF"/>
    <w:rsid w:val="5AF80325"/>
    <w:rsid w:val="5AFE7B1B"/>
    <w:rsid w:val="5AFF7905"/>
    <w:rsid w:val="5B1C2A87"/>
    <w:rsid w:val="5B1D5FB9"/>
    <w:rsid w:val="5B1F0EE5"/>
    <w:rsid w:val="5B200BB3"/>
    <w:rsid w:val="5B363630"/>
    <w:rsid w:val="5B372BFB"/>
    <w:rsid w:val="5B417443"/>
    <w:rsid w:val="5B4302E1"/>
    <w:rsid w:val="5B44144F"/>
    <w:rsid w:val="5B495C1D"/>
    <w:rsid w:val="5B4A5B4F"/>
    <w:rsid w:val="5B4E356A"/>
    <w:rsid w:val="5B4F3336"/>
    <w:rsid w:val="5B4F58A4"/>
    <w:rsid w:val="5B500161"/>
    <w:rsid w:val="5B5758AB"/>
    <w:rsid w:val="5B6C1BBC"/>
    <w:rsid w:val="5B6F0312"/>
    <w:rsid w:val="5B705D94"/>
    <w:rsid w:val="5B736D19"/>
    <w:rsid w:val="5B74034D"/>
    <w:rsid w:val="5B8646B4"/>
    <w:rsid w:val="5B8737C4"/>
    <w:rsid w:val="5B9B50D2"/>
    <w:rsid w:val="5B9C6F02"/>
    <w:rsid w:val="5B9D4BB1"/>
    <w:rsid w:val="5B9E4656"/>
    <w:rsid w:val="5B9F3060"/>
    <w:rsid w:val="5BA069F2"/>
    <w:rsid w:val="5BAF329F"/>
    <w:rsid w:val="5BB3647D"/>
    <w:rsid w:val="5BB431A9"/>
    <w:rsid w:val="5BC70423"/>
    <w:rsid w:val="5BC7696B"/>
    <w:rsid w:val="5BCA3A6F"/>
    <w:rsid w:val="5BD1298E"/>
    <w:rsid w:val="5BDE1544"/>
    <w:rsid w:val="5BE2700B"/>
    <w:rsid w:val="5BE73454"/>
    <w:rsid w:val="5BF117E5"/>
    <w:rsid w:val="5BF237CA"/>
    <w:rsid w:val="5BF40AEC"/>
    <w:rsid w:val="5BF4276A"/>
    <w:rsid w:val="5BFB1D61"/>
    <w:rsid w:val="5BFD3926"/>
    <w:rsid w:val="5C090A3C"/>
    <w:rsid w:val="5C0A0310"/>
    <w:rsid w:val="5C0F1571"/>
    <w:rsid w:val="5C11087B"/>
    <w:rsid w:val="5C144F38"/>
    <w:rsid w:val="5C1703A7"/>
    <w:rsid w:val="5C1B009B"/>
    <w:rsid w:val="5C1B305D"/>
    <w:rsid w:val="5C206A58"/>
    <w:rsid w:val="5C2238AB"/>
    <w:rsid w:val="5C2343B5"/>
    <w:rsid w:val="5C2D3BC9"/>
    <w:rsid w:val="5C383CDE"/>
    <w:rsid w:val="5C3979DB"/>
    <w:rsid w:val="5C3A4FD1"/>
    <w:rsid w:val="5C3B3014"/>
    <w:rsid w:val="5C3B62C3"/>
    <w:rsid w:val="5C3D2493"/>
    <w:rsid w:val="5C401F83"/>
    <w:rsid w:val="5C441A74"/>
    <w:rsid w:val="5C45732F"/>
    <w:rsid w:val="5C491815"/>
    <w:rsid w:val="5C4F3E56"/>
    <w:rsid w:val="5C4F5402"/>
    <w:rsid w:val="5C503002"/>
    <w:rsid w:val="5C521C46"/>
    <w:rsid w:val="5C5A49B0"/>
    <w:rsid w:val="5C5B3413"/>
    <w:rsid w:val="5C602626"/>
    <w:rsid w:val="5C6A01AA"/>
    <w:rsid w:val="5C76744A"/>
    <w:rsid w:val="5C86092C"/>
    <w:rsid w:val="5C87326A"/>
    <w:rsid w:val="5C9E5181"/>
    <w:rsid w:val="5CA00684"/>
    <w:rsid w:val="5CA1037A"/>
    <w:rsid w:val="5CA50038"/>
    <w:rsid w:val="5CAB11D6"/>
    <w:rsid w:val="5CAE175C"/>
    <w:rsid w:val="5CAE513F"/>
    <w:rsid w:val="5CB21C23"/>
    <w:rsid w:val="5CDB7061"/>
    <w:rsid w:val="5CE24971"/>
    <w:rsid w:val="5CE37E74"/>
    <w:rsid w:val="5CE84505"/>
    <w:rsid w:val="5CED3EB9"/>
    <w:rsid w:val="5CFC40FC"/>
    <w:rsid w:val="5D086DAF"/>
    <w:rsid w:val="5D0E453B"/>
    <w:rsid w:val="5D0E5BDE"/>
    <w:rsid w:val="5D111C3D"/>
    <w:rsid w:val="5D122F42"/>
    <w:rsid w:val="5D162E6C"/>
    <w:rsid w:val="5D254161"/>
    <w:rsid w:val="5D2830F8"/>
    <w:rsid w:val="5D2A7D99"/>
    <w:rsid w:val="5D2B2C34"/>
    <w:rsid w:val="5D327B1E"/>
    <w:rsid w:val="5D327BF3"/>
    <w:rsid w:val="5D3476B8"/>
    <w:rsid w:val="5D3715D8"/>
    <w:rsid w:val="5D385380"/>
    <w:rsid w:val="5D40278C"/>
    <w:rsid w:val="5D4A44A3"/>
    <w:rsid w:val="5D4F6EFA"/>
    <w:rsid w:val="5D6A35C7"/>
    <w:rsid w:val="5D6F2B20"/>
    <w:rsid w:val="5D7008F2"/>
    <w:rsid w:val="5D7102EB"/>
    <w:rsid w:val="5D7A7717"/>
    <w:rsid w:val="5D8366F8"/>
    <w:rsid w:val="5D8617EF"/>
    <w:rsid w:val="5D875D92"/>
    <w:rsid w:val="5D881E34"/>
    <w:rsid w:val="5D885990"/>
    <w:rsid w:val="5D8D2E20"/>
    <w:rsid w:val="5D915A0E"/>
    <w:rsid w:val="5D937CD7"/>
    <w:rsid w:val="5D942587"/>
    <w:rsid w:val="5D9500AD"/>
    <w:rsid w:val="5D982E1B"/>
    <w:rsid w:val="5DA2440A"/>
    <w:rsid w:val="5DAA1DAA"/>
    <w:rsid w:val="5DB35CF5"/>
    <w:rsid w:val="5DBC0C9B"/>
    <w:rsid w:val="5DC310BE"/>
    <w:rsid w:val="5DC82A63"/>
    <w:rsid w:val="5DD46E27"/>
    <w:rsid w:val="5DDD0748"/>
    <w:rsid w:val="5DEE7D70"/>
    <w:rsid w:val="5DEF7EAE"/>
    <w:rsid w:val="5DFB43B4"/>
    <w:rsid w:val="5E053D08"/>
    <w:rsid w:val="5E055781"/>
    <w:rsid w:val="5E1075E1"/>
    <w:rsid w:val="5E134CE3"/>
    <w:rsid w:val="5E145FE7"/>
    <w:rsid w:val="5E1A1C14"/>
    <w:rsid w:val="5E231B5D"/>
    <w:rsid w:val="5E3169EB"/>
    <w:rsid w:val="5E36363E"/>
    <w:rsid w:val="5E3E38DE"/>
    <w:rsid w:val="5E417DB0"/>
    <w:rsid w:val="5E5644D2"/>
    <w:rsid w:val="5E58122A"/>
    <w:rsid w:val="5E581806"/>
    <w:rsid w:val="5E5D10B1"/>
    <w:rsid w:val="5E5E146F"/>
    <w:rsid w:val="5E602469"/>
    <w:rsid w:val="5E6335C4"/>
    <w:rsid w:val="5E6737F7"/>
    <w:rsid w:val="5E767015"/>
    <w:rsid w:val="5E780E5B"/>
    <w:rsid w:val="5E7A598C"/>
    <w:rsid w:val="5E821E30"/>
    <w:rsid w:val="5E826883"/>
    <w:rsid w:val="5E8C0F8B"/>
    <w:rsid w:val="5E8E6FD6"/>
    <w:rsid w:val="5E925D5C"/>
    <w:rsid w:val="5E9A3CC2"/>
    <w:rsid w:val="5EA110CF"/>
    <w:rsid w:val="5EA20FF8"/>
    <w:rsid w:val="5EAA5DDA"/>
    <w:rsid w:val="5EB574EB"/>
    <w:rsid w:val="5EB6652D"/>
    <w:rsid w:val="5EB95EDC"/>
    <w:rsid w:val="5EBD2F7D"/>
    <w:rsid w:val="5EBD5B0D"/>
    <w:rsid w:val="5ECF75EF"/>
    <w:rsid w:val="5ED602A4"/>
    <w:rsid w:val="5ED658B5"/>
    <w:rsid w:val="5ED8702A"/>
    <w:rsid w:val="5EE266ED"/>
    <w:rsid w:val="5EE42E3D"/>
    <w:rsid w:val="5EE73DC1"/>
    <w:rsid w:val="5EE972C4"/>
    <w:rsid w:val="5EEA4B6F"/>
    <w:rsid w:val="5EEF11CE"/>
    <w:rsid w:val="5F076875"/>
    <w:rsid w:val="5F1F14D7"/>
    <w:rsid w:val="5F21609C"/>
    <w:rsid w:val="5F26446A"/>
    <w:rsid w:val="5F265461"/>
    <w:rsid w:val="5F2922AC"/>
    <w:rsid w:val="5F2B1033"/>
    <w:rsid w:val="5F38637A"/>
    <w:rsid w:val="5F3B32FC"/>
    <w:rsid w:val="5F3F2252"/>
    <w:rsid w:val="5F46765E"/>
    <w:rsid w:val="5F477655"/>
    <w:rsid w:val="5F4C5CE4"/>
    <w:rsid w:val="5F4F0E5B"/>
    <w:rsid w:val="5F50072F"/>
    <w:rsid w:val="5F571ABE"/>
    <w:rsid w:val="5F617CB3"/>
    <w:rsid w:val="5F6464FD"/>
    <w:rsid w:val="5F6F2B8E"/>
    <w:rsid w:val="5F701F64"/>
    <w:rsid w:val="5F7B1082"/>
    <w:rsid w:val="5F7C32D2"/>
    <w:rsid w:val="5F7F1015"/>
    <w:rsid w:val="5F8328B3"/>
    <w:rsid w:val="5F846FB6"/>
    <w:rsid w:val="5F9525E6"/>
    <w:rsid w:val="5F985CE2"/>
    <w:rsid w:val="5F993E84"/>
    <w:rsid w:val="5F9A3EA5"/>
    <w:rsid w:val="5F9C6D68"/>
    <w:rsid w:val="5F9F3465"/>
    <w:rsid w:val="5FA479F8"/>
    <w:rsid w:val="5FAA1CE5"/>
    <w:rsid w:val="5FAF2D13"/>
    <w:rsid w:val="5FC60CFF"/>
    <w:rsid w:val="5FC8790B"/>
    <w:rsid w:val="5FCC28EF"/>
    <w:rsid w:val="5FD53BA7"/>
    <w:rsid w:val="5FDD3055"/>
    <w:rsid w:val="5FE10357"/>
    <w:rsid w:val="5FED41D0"/>
    <w:rsid w:val="5FF26C90"/>
    <w:rsid w:val="5FF87482"/>
    <w:rsid w:val="60002A46"/>
    <w:rsid w:val="6009519E"/>
    <w:rsid w:val="600F70A7"/>
    <w:rsid w:val="60237BF2"/>
    <w:rsid w:val="602F75DC"/>
    <w:rsid w:val="603941FE"/>
    <w:rsid w:val="604007A4"/>
    <w:rsid w:val="60490185"/>
    <w:rsid w:val="604C498D"/>
    <w:rsid w:val="605A504E"/>
    <w:rsid w:val="605D3104"/>
    <w:rsid w:val="606267DB"/>
    <w:rsid w:val="60654232"/>
    <w:rsid w:val="60682F2B"/>
    <w:rsid w:val="606D3939"/>
    <w:rsid w:val="606E6CBA"/>
    <w:rsid w:val="60716BAF"/>
    <w:rsid w:val="607C633C"/>
    <w:rsid w:val="60837066"/>
    <w:rsid w:val="608665C9"/>
    <w:rsid w:val="60932FCA"/>
    <w:rsid w:val="609E0F14"/>
    <w:rsid w:val="60A0246F"/>
    <w:rsid w:val="60A3539C"/>
    <w:rsid w:val="60A51155"/>
    <w:rsid w:val="60AB35D2"/>
    <w:rsid w:val="60B00C2E"/>
    <w:rsid w:val="60B07789"/>
    <w:rsid w:val="60B62D38"/>
    <w:rsid w:val="60B868DE"/>
    <w:rsid w:val="60B92304"/>
    <w:rsid w:val="60C223CE"/>
    <w:rsid w:val="60CD7F37"/>
    <w:rsid w:val="60D14BE6"/>
    <w:rsid w:val="60D57568"/>
    <w:rsid w:val="60D7326D"/>
    <w:rsid w:val="60D84E80"/>
    <w:rsid w:val="60DE5A49"/>
    <w:rsid w:val="60E40384"/>
    <w:rsid w:val="60E96A0A"/>
    <w:rsid w:val="60F32A7A"/>
    <w:rsid w:val="60F51212"/>
    <w:rsid w:val="60F814B3"/>
    <w:rsid w:val="610A1B12"/>
    <w:rsid w:val="610C1A1E"/>
    <w:rsid w:val="61123685"/>
    <w:rsid w:val="611C2BC3"/>
    <w:rsid w:val="611C5F5F"/>
    <w:rsid w:val="611E37D0"/>
    <w:rsid w:val="6127183B"/>
    <w:rsid w:val="61277B74"/>
    <w:rsid w:val="612D3DF8"/>
    <w:rsid w:val="613A0D93"/>
    <w:rsid w:val="613B0F6B"/>
    <w:rsid w:val="613B5823"/>
    <w:rsid w:val="61413AF8"/>
    <w:rsid w:val="614800A8"/>
    <w:rsid w:val="61504A47"/>
    <w:rsid w:val="615457F8"/>
    <w:rsid w:val="61587D6F"/>
    <w:rsid w:val="615D528C"/>
    <w:rsid w:val="616366D4"/>
    <w:rsid w:val="616606D1"/>
    <w:rsid w:val="616B3307"/>
    <w:rsid w:val="616D5E79"/>
    <w:rsid w:val="61720EED"/>
    <w:rsid w:val="61783F6D"/>
    <w:rsid w:val="617B70F7"/>
    <w:rsid w:val="618047EF"/>
    <w:rsid w:val="618527DE"/>
    <w:rsid w:val="61924DCC"/>
    <w:rsid w:val="61945EFB"/>
    <w:rsid w:val="6198332B"/>
    <w:rsid w:val="619E14FA"/>
    <w:rsid w:val="61A4713D"/>
    <w:rsid w:val="61B04F40"/>
    <w:rsid w:val="61B6064C"/>
    <w:rsid w:val="61B646BC"/>
    <w:rsid w:val="61BC220D"/>
    <w:rsid w:val="61CA707C"/>
    <w:rsid w:val="61CF089F"/>
    <w:rsid w:val="61CF4015"/>
    <w:rsid w:val="61D70C94"/>
    <w:rsid w:val="61DA69D6"/>
    <w:rsid w:val="61E3588B"/>
    <w:rsid w:val="61E437AA"/>
    <w:rsid w:val="61EF3D39"/>
    <w:rsid w:val="61F166F8"/>
    <w:rsid w:val="61F35FC3"/>
    <w:rsid w:val="61F8163D"/>
    <w:rsid w:val="61F93300"/>
    <w:rsid w:val="61F950AE"/>
    <w:rsid w:val="620329DA"/>
    <w:rsid w:val="62061760"/>
    <w:rsid w:val="6208638A"/>
    <w:rsid w:val="6208709F"/>
    <w:rsid w:val="620B3669"/>
    <w:rsid w:val="620C3EAA"/>
    <w:rsid w:val="621351F3"/>
    <w:rsid w:val="62142C74"/>
    <w:rsid w:val="62145058"/>
    <w:rsid w:val="62147C1C"/>
    <w:rsid w:val="621B2D66"/>
    <w:rsid w:val="621B5E82"/>
    <w:rsid w:val="621F5CAF"/>
    <w:rsid w:val="6232236E"/>
    <w:rsid w:val="623B41B9"/>
    <w:rsid w:val="623D76BC"/>
    <w:rsid w:val="62487C4B"/>
    <w:rsid w:val="624A76B8"/>
    <w:rsid w:val="624F1172"/>
    <w:rsid w:val="62516C98"/>
    <w:rsid w:val="62593D9F"/>
    <w:rsid w:val="62693A03"/>
    <w:rsid w:val="626D4701"/>
    <w:rsid w:val="62705060"/>
    <w:rsid w:val="62771DA3"/>
    <w:rsid w:val="628E3997"/>
    <w:rsid w:val="628F657E"/>
    <w:rsid w:val="6290679C"/>
    <w:rsid w:val="629152E7"/>
    <w:rsid w:val="629E51B7"/>
    <w:rsid w:val="62AE428A"/>
    <w:rsid w:val="62B6027F"/>
    <w:rsid w:val="62BA4707"/>
    <w:rsid w:val="62C13738"/>
    <w:rsid w:val="62C204A2"/>
    <w:rsid w:val="62CA27A3"/>
    <w:rsid w:val="62CB47F7"/>
    <w:rsid w:val="62D046AC"/>
    <w:rsid w:val="62DC5F40"/>
    <w:rsid w:val="62E86142"/>
    <w:rsid w:val="62F84C2A"/>
    <w:rsid w:val="62FB10F8"/>
    <w:rsid w:val="62FB5C6E"/>
    <w:rsid w:val="62FF591F"/>
    <w:rsid w:val="63020CC8"/>
    <w:rsid w:val="63035AB9"/>
    <w:rsid w:val="630A358C"/>
    <w:rsid w:val="63102C2A"/>
    <w:rsid w:val="631127C2"/>
    <w:rsid w:val="631322C8"/>
    <w:rsid w:val="631D4DCC"/>
    <w:rsid w:val="631E435E"/>
    <w:rsid w:val="632048BD"/>
    <w:rsid w:val="632223E3"/>
    <w:rsid w:val="632717A7"/>
    <w:rsid w:val="632768D6"/>
    <w:rsid w:val="632A0564"/>
    <w:rsid w:val="632B573B"/>
    <w:rsid w:val="632C1CA9"/>
    <w:rsid w:val="632F71FF"/>
    <w:rsid w:val="633113A9"/>
    <w:rsid w:val="6335407A"/>
    <w:rsid w:val="63417E63"/>
    <w:rsid w:val="635A680F"/>
    <w:rsid w:val="636C579C"/>
    <w:rsid w:val="636F3BC9"/>
    <w:rsid w:val="637569B7"/>
    <w:rsid w:val="637644DD"/>
    <w:rsid w:val="638559B0"/>
    <w:rsid w:val="638A5749"/>
    <w:rsid w:val="638C120E"/>
    <w:rsid w:val="638D0016"/>
    <w:rsid w:val="63953170"/>
    <w:rsid w:val="63995E65"/>
    <w:rsid w:val="639B6B8B"/>
    <w:rsid w:val="63A159FD"/>
    <w:rsid w:val="63A43A07"/>
    <w:rsid w:val="63A94DAB"/>
    <w:rsid w:val="63AA6DA9"/>
    <w:rsid w:val="63AD43A2"/>
    <w:rsid w:val="63B16649"/>
    <w:rsid w:val="63B22E99"/>
    <w:rsid w:val="63BC55AE"/>
    <w:rsid w:val="63C00A0C"/>
    <w:rsid w:val="63C4349A"/>
    <w:rsid w:val="63D3192F"/>
    <w:rsid w:val="63D863F5"/>
    <w:rsid w:val="63DD3C89"/>
    <w:rsid w:val="63DE0EF8"/>
    <w:rsid w:val="63E30CF1"/>
    <w:rsid w:val="63E678B4"/>
    <w:rsid w:val="63EB4ECB"/>
    <w:rsid w:val="63EC2194"/>
    <w:rsid w:val="63FA2E95"/>
    <w:rsid w:val="63FF151B"/>
    <w:rsid w:val="64063AB3"/>
    <w:rsid w:val="64064729"/>
    <w:rsid w:val="640C1FB5"/>
    <w:rsid w:val="640D40B4"/>
    <w:rsid w:val="642838D6"/>
    <w:rsid w:val="64286CEB"/>
    <w:rsid w:val="642A3D97"/>
    <w:rsid w:val="642A71D3"/>
    <w:rsid w:val="642F3009"/>
    <w:rsid w:val="64322AF9"/>
    <w:rsid w:val="643A6633"/>
    <w:rsid w:val="643C5105"/>
    <w:rsid w:val="64414AEB"/>
    <w:rsid w:val="6443458E"/>
    <w:rsid w:val="644840CB"/>
    <w:rsid w:val="64485BB7"/>
    <w:rsid w:val="644C27B6"/>
    <w:rsid w:val="64607667"/>
    <w:rsid w:val="64611EE0"/>
    <w:rsid w:val="64623124"/>
    <w:rsid w:val="647C2169"/>
    <w:rsid w:val="648065F1"/>
    <w:rsid w:val="64892729"/>
    <w:rsid w:val="649E1424"/>
    <w:rsid w:val="649F3623"/>
    <w:rsid w:val="64A10C94"/>
    <w:rsid w:val="64A1314A"/>
    <w:rsid w:val="64A96CD9"/>
    <w:rsid w:val="64AD52E7"/>
    <w:rsid w:val="64B70CC9"/>
    <w:rsid w:val="64BA34FF"/>
    <w:rsid w:val="64BC46AB"/>
    <w:rsid w:val="64BC5CB6"/>
    <w:rsid w:val="64C47FDF"/>
    <w:rsid w:val="64C556A1"/>
    <w:rsid w:val="64DA4BDD"/>
    <w:rsid w:val="64DD4813"/>
    <w:rsid w:val="64DF4A2F"/>
    <w:rsid w:val="64E113D0"/>
    <w:rsid w:val="64E8140A"/>
    <w:rsid w:val="64E819B2"/>
    <w:rsid w:val="64F17BAA"/>
    <w:rsid w:val="64F53B67"/>
    <w:rsid w:val="64FC46E1"/>
    <w:rsid w:val="65000502"/>
    <w:rsid w:val="650067A8"/>
    <w:rsid w:val="650224CC"/>
    <w:rsid w:val="65040DC9"/>
    <w:rsid w:val="650A6555"/>
    <w:rsid w:val="651A0D6E"/>
    <w:rsid w:val="65283AC6"/>
    <w:rsid w:val="65294FC1"/>
    <w:rsid w:val="652C7549"/>
    <w:rsid w:val="652F0DE7"/>
    <w:rsid w:val="65337675"/>
    <w:rsid w:val="65385EEE"/>
    <w:rsid w:val="653E3E3D"/>
    <w:rsid w:val="65453ADD"/>
    <w:rsid w:val="655F763C"/>
    <w:rsid w:val="65606335"/>
    <w:rsid w:val="65687D91"/>
    <w:rsid w:val="65714685"/>
    <w:rsid w:val="657F15D6"/>
    <w:rsid w:val="658815CF"/>
    <w:rsid w:val="658835A0"/>
    <w:rsid w:val="65890C8C"/>
    <w:rsid w:val="658D6624"/>
    <w:rsid w:val="659200E8"/>
    <w:rsid w:val="65942C36"/>
    <w:rsid w:val="65A11CE5"/>
    <w:rsid w:val="65B009F6"/>
    <w:rsid w:val="65B508C7"/>
    <w:rsid w:val="65C036DA"/>
    <w:rsid w:val="65CD2ADA"/>
    <w:rsid w:val="65CD7A1F"/>
    <w:rsid w:val="65CE23AE"/>
    <w:rsid w:val="65D35F9E"/>
    <w:rsid w:val="65D4319C"/>
    <w:rsid w:val="65D95929"/>
    <w:rsid w:val="65DA24B0"/>
    <w:rsid w:val="65DD0AAC"/>
    <w:rsid w:val="65E6594A"/>
    <w:rsid w:val="65F30067"/>
    <w:rsid w:val="65F32C4F"/>
    <w:rsid w:val="65FC6F1B"/>
    <w:rsid w:val="66032EEA"/>
    <w:rsid w:val="660A0257"/>
    <w:rsid w:val="660B02F6"/>
    <w:rsid w:val="660B53B0"/>
    <w:rsid w:val="660E127B"/>
    <w:rsid w:val="6616004D"/>
    <w:rsid w:val="6618760C"/>
    <w:rsid w:val="6622616C"/>
    <w:rsid w:val="66252916"/>
    <w:rsid w:val="662C40AE"/>
    <w:rsid w:val="6631762B"/>
    <w:rsid w:val="66325B83"/>
    <w:rsid w:val="663C7C5F"/>
    <w:rsid w:val="664177C9"/>
    <w:rsid w:val="664571D6"/>
    <w:rsid w:val="664A3CFC"/>
    <w:rsid w:val="665419EF"/>
    <w:rsid w:val="66552ACF"/>
    <w:rsid w:val="66683E35"/>
    <w:rsid w:val="667016B7"/>
    <w:rsid w:val="6679795D"/>
    <w:rsid w:val="667B14DE"/>
    <w:rsid w:val="667B76B0"/>
    <w:rsid w:val="667D323A"/>
    <w:rsid w:val="66A03280"/>
    <w:rsid w:val="66A07919"/>
    <w:rsid w:val="66A42250"/>
    <w:rsid w:val="66A6658B"/>
    <w:rsid w:val="66A80E51"/>
    <w:rsid w:val="66AA4BC9"/>
    <w:rsid w:val="66BC48FC"/>
    <w:rsid w:val="66C13CC1"/>
    <w:rsid w:val="66C51A03"/>
    <w:rsid w:val="66C95231"/>
    <w:rsid w:val="66CA31C9"/>
    <w:rsid w:val="66D1483C"/>
    <w:rsid w:val="66D711C9"/>
    <w:rsid w:val="66D76745"/>
    <w:rsid w:val="66D93700"/>
    <w:rsid w:val="66DF198B"/>
    <w:rsid w:val="66E300DB"/>
    <w:rsid w:val="66E51C25"/>
    <w:rsid w:val="66E53E53"/>
    <w:rsid w:val="66EC3434"/>
    <w:rsid w:val="66F36075"/>
    <w:rsid w:val="66F86821"/>
    <w:rsid w:val="66FA3597"/>
    <w:rsid w:val="66FA684E"/>
    <w:rsid w:val="670D6401"/>
    <w:rsid w:val="671343AC"/>
    <w:rsid w:val="672167B8"/>
    <w:rsid w:val="672209C0"/>
    <w:rsid w:val="67244646"/>
    <w:rsid w:val="67311CD9"/>
    <w:rsid w:val="674028F1"/>
    <w:rsid w:val="67475AFF"/>
    <w:rsid w:val="674A5682"/>
    <w:rsid w:val="674D7A09"/>
    <w:rsid w:val="674E7D7F"/>
    <w:rsid w:val="6751640F"/>
    <w:rsid w:val="67562897"/>
    <w:rsid w:val="675B2367"/>
    <w:rsid w:val="677754F9"/>
    <w:rsid w:val="67784521"/>
    <w:rsid w:val="67793947"/>
    <w:rsid w:val="677B2AD6"/>
    <w:rsid w:val="677B30F5"/>
    <w:rsid w:val="677D5E3A"/>
    <w:rsid w:val="677F52B9"/>
    <w:rsid w:val="67896569"/>
    <w:rsid w:val="67957581"/>
    <w:rsid w:val="679B1933"/>
    <w:rsid w:val="67A46585"/>
    <w:rsid w:val="67A567E0"/>
    <w:rsid w:val="67B04461"/>
    <w:rsid w:val="67B13010"/>
    <w:rsid w:val="67B2192C"/>
    <w:rsid w:val="67B47541"/>
    <w:rsid w:val="67C00E88"/>
    <w:rsid w:val="67CC7F1C"/>
    <w:rsid w:val="67CF09B9"/>
    <w:rsid w:val="67D44158"/>
    <w:rsid w:val="67DB2246"/>
    <w:rsid w:val="67DC2F3F"/>
    <w:rsid w:val="67E22141"/>
    <w:rsid w:val="67E31201"/>
    <w:rsid w:val="67EE1EAF"/>
    <w:rsid w:val="67EF14AF"/>
    <w:rsid w:val="67F57A3E"/>
    <w:rsid w:val="67FC3E1A"/>
    <w:rsid w:val="68077DF9"/>
    <w:rsid w:val="680A07C5"/>
    <w:rsid w:val="680B1697"/>
    <w:rsid w:val="680E0640"/>
    <w:rsid w:val="681364CD"/>
    <w:rsid w:val="68142C42"/>
    <w:rsid w:val="6814614D"/>
    <w:rsid w:val="681945FC"/>
    <w:rsid w:val="682A2347"/>
    <w:rsid w:val="682B6ABD"/>
    <w:rsid w:val="683A1C10"/>
    <w:rsid w:val="68433E8A"/>
    <w:rsid w:val="68434A9E"/>
    <w:rsid w:val="68476AF4"/>
    <w:rsid w:val="685B68C1"/>
    <w:rsid w:val="6861624C"/>
    <w:rsid w:val="68641294"/>
    <w:rsid w:val="68713D5E"/>
    <w:rsid w:val="68741282"/>
    <w:rsid w:val="68760770"/>
    <w:rsid w:val="687C1D1A"/>
    <w:rsid w:val="687E7F00"/>
    <w:rsid w:val="68822004"/>
    <w:rsid w:val="68856439"/>
    <w:rsid w:val="688F4E56"/>
    <w:rsid w:val="689773CF"/>
    <w:rsid w:val="689C6431"/>
    <w:rsid w:val="68A17036"/>
    <w:rsid w:val="68A2033A"/>
    <w:rsid w:val="68A267DC"/>
    <w:rsid w:val="68A34199"/>
    <w:rsid w:val="68A47863"/>
    <w:rsid w:val="68AC2CF6"/>
    <w:rsid w:val="68B0362C"/>
    <w:rsid w:val="68B4060E"/>
    <w:rsid w:val="68B74A5D"/>
    <w:rsid w:val="68C66F69"/>
    <w:rsid w:val="68CF6B69"/>
    <w:rsid w:val="68D46074"/>
    <w:rsid w:val="68DE6E9B"/>
    <w:rsid w:val="68F14A85"/>
    <w:rsid w:val="68F22857"/>
    <w:rsid w:val="68F954C6"/>
    <w:rsid w:val="68FA3E26"/>
    <w:rsid w:val="6905163C"/>
    <w:rsid w:val="69060B35"/>
    <w:rsid w:val="69083E29"/>
    <w:rsid w:val="690D143F"/>
    <w:rsid w:val="69110F2F"/>
    <w:rsid w:val="69112B6D"/>
    <w:rsid w:val="691D4401"/>
    <w:rsid w:val="692D249D"/>
    <w:rsid w:val="694D1F4E"/>
    <w:rsid w:val="69540E1C"/>
    <w:rsid w:val="695452C0"/>
    <w:rsid w:val="69577BD2"/>
    <w:rsid w:val="69580D63"/>
    <w:rsid w:val="695B21AB"/>
    <w:rsid w:val="695C7769"/>
    <w:rsid w:val="69605A13"/>
    <w:rsid w:val="6967744F"/>
    <w:rsid w:val="696C260A"/>
    <w:rsid w:val="69811F27"/>
    <w:rsid w:val="69837628"/>
    <w:rsid w:val="69883408"/>
    <w:rsid w:val="698D5927"/>
    <w:rsid w:val="69952C1A"/>
    <w:rsid w:val="69A156E1"/>
    <w:rsid w:val="69A70AE2"/>
    <w:rsid w:val="69A73642"/>
    <w:rsid w:val="69A753F0"/>
    <w:rsid w:val="69A91168"/>
    <w:rsid w:val="69B14C74"/>
    <w:rsid w:val="69B26DD7"/>
    <w:rsid w:val="69BE45D2"/>
    <w:rsid w:val="69C201CC"/>
    <w:rsid w:val="69CC32A0"/>
    <w:rsid w:val="69CE3E84"/>
    <w:rsid w:val="69D02B99"/>
    <w:rsid w:val="69D20A2C"/>
    <w:rsid w:val="69D4612E"/>
    <w:rsid w:val="69D87714"/>
    <w:rsid w:val="69D94A39"/>
    <w:rsid w:val="69DC778F"/>
    <w:rsid w:val="69DF3062"/>
    <w:rsid w:val="69E06ECE"/>
    <w:rsid w:val="69E7514E"/>
    <w:rsid w:val="69E85184"/>
    <w:rsid w:val="69F67967"/>
    <w:rsid w:val="69F77CF1"/>
    <w:rsid w:val="6A077186"/>
    <w:rsid w:val="6A0C1B0B"/>
    <w:rsid w:val="6A0D21A3"/>
    <w:rsid w:val="6A151116"/>
    <w:rsid w:val="6A154A4F"/>
    <w:rsid w:val="6A161188"/>
    <w:rsid w:val="6A1B5632"/>
    <w:rsid w:val="6A1E0CEA"/>
    <w:rsid w:val="6A263293"/>
    <w:rsid w:val="6A2E3D63"/>
    <w:rsid w:val="6A303637"/>
    <w:rsid w:val="6A321D4B"/>
    <w:rsid w:val="6A3550F2"/>
    <w:rsid w:val="6A37294F"/>
    <w:rsid w:val="6A3C417C"/>
    <w:rsid w:val="6A3D3FA6"/>
    <w:rsid w:val="6A4610AD"/>
    <w:rsid w:val="6A465CB8"/>
    <w:rsid w:val="6A4960ED"/>
    <w:rsid w:val="6A4E7F61"/>
    <w:rsid w:val="6A5247FE"/>
    <w:rsid w:val="6A547D01"/>
    <w:rsid w:val="6A576E16"/>
    <w:rsid w:val="6A5D7294"/>
    <w:rsid w:val="6A5E1D79"/>
    <w:rsid w:val="6A5F4AE6"/>
    <w:rsid w:val="6A67025D"/>
    <w:rsid w:val="6A902328"/>
    <w:rsid w:val="6A9260A0"/>
    <w:rsid w:val="6A94006A"/>
    <w:rsid w:val="6A961A6F"/>
    <w:rsid w:val="6AA13A6B"/>
    <w:rsid w:val="6AA933EA"/>
    <w:rsid w:val="6AAC3D78"/>
    <w:rsid w:val="6AAD1A6B"/>
    <w:rsid w:val="6AB53CDC"/>
    <w:rsid w:val="6ABC5E2E"/>
    <w:rsid w:val="6ABC642B"/>
    <w:rsid w:val="6AC65D4A"/>
    <w:rsid w:val="6AD02735"/>
    <w:rsid w:val="6AD227CD"/>
    <w:rsid w:val="6AD53752"/>
    <w:rsid w:val="6AEC1C54"/>
    <w:rsid w:val="6AEC238B"/>
    <w:rsid w:val="6AEE41CC"/>
    <w:rsid w:val="6AF87310"/>
    <w:rsid w:val="6B192F42"/>
    <w:rsid w:val="6B1C3BBC"/>
    <w:rsid w:val="6B202B03"/>
    <w:rsid w:val="6B274A7B"/>
    <w:rsid w:val="6B2F50E5"/>
    <w:rsid w:val="6B3E5F7F"/>
    <w:rsid w:val="6B5D73DB"/>
    <w:rsid w:val="6B631BEA"/>
    <w:rsid w:val="6B7408F7"/>
    <w:rsid w:val="6B7C465A"/>
    <w:rsid w:val="6B8271C9"/>
    <w:rsid w:val="6B8E6784"/>
    <w:rsid w:val="6B92518A"/>
    <w:rsid w:val="6B94610F"/>
    <w:rsid w:val="6B9876E6"/>
    <w:rsid w:val="6B9D0F9D"/>
    <w:rsid w:val="6BA22313"/>
    <w:rsid w:val="6BAB02B2"/>
    <w:rsid w:val="6BAC13E3"/>
    <w:rsid w:val="6BAF6037"/>
    <w:rsid w:val="6BB56643"/>
    <w:rsid w:val="6BB71B46"/>
    <w:rsid w:val="6BBB5C49"/>
    <w:rsid w:val="6BCE6AC9"/>
    <w:rsid w:val="6BD120F2"/>
    <w:rsid w:val="6BDA7CFF"/>
    <w:rsid w:val="6BDE45F3"/>
    <w:rsid w:val="6BE1078C"/>
    <w:rsid w:val="6BE51D9B"/>
    <w:rsid w:val="6BE902C2"/>
    <w:rsid w:val="6BEF1396"/>
    <w:rsid w:val="6BEF7236"/>
    <w:rsid w:val="6BF264A8"/>
    <w:rsid w:val="6BFC1877"/>
    <w:rsid w:val="6C0256EC"/>
    <w:rsid w:val="6C051157"/>
    <w:rsid w:val="6C0E5BFA"/>
    <w:rsid w:val="6C14665D"/>
    <w:rsid w:val="6C172E65"/>
    <w:rsid w:val="6C1825D5"/>
    <w:rsid w:val="6C1E7A09"/>
    <w:rsid w:val="6C236C77"/>
    <w:rsid w:val="6C272940"/>
    <w:rsid w:val="6C2A1A05"/>
    <w:rsid w:val="6C2F3939"/>
    <w:rsid w:val="6C375918"/>
    <w:rsid w:val="6C3A2F26"/>
    <w:rsid w:val="6C3E338E"/>
    <w:rsid w:val="6C4C5E9E"/>
    <w:rsid w:val="6C501D6F"/>
    <w:rsid w:val="6C515AE7"/>
    <w:rsid w:val="6C5E250C"/>
    <w:rsid w:val="6C5E257D"/>
    <w:rsid w:val="6C606ADC"/>
    <w:rsid w:val="6C673EE9"/>
    <w:rsid w:val="6C6A134C"/>
    <w:rsid w:val="6C6D2921"/>
    <w:rsid w:val="6C7553FD"/>
    <w:rsid w:val="6C81186D"/>
    <w:rsid w:val="6C837F3D"/>
    <w:rsid w:val="6C867EA1"/>
    <w:rsid w:val="6C891725"/>
    <w:rsid w:val="6C8C5526"/>
    <w:rsid w:val="6C8F490A"/>
    <w:rsid w:val="6C9846B8"/>
    <w:rsid w:val="6CA472B1"/>
    <w:rsid w:val="6CA67BE1"/>
    <w:rsid w:val="6CB528A3"/>
    <w:rsid w:val="6CB716E9"/>
    <w:rsid w:val="6CBD06EB"/>
    <w:rsid w:val="6CC462B9"/>
    <w:rsid w:val="6CC63A2F"/>
    <w:rsid w:val="6CCC0845"/>
    <w:rsid w:val="6CCE377C"/>
    <w:rsid w:val="6CD504C6"/>
    <w:rsid w:val="6CD61F9E"/>
    <w:rsid w:val="6CD71C67"/>
    <w:rsid w:val="6CD72490"/>
    <w:rsid w:val="6CDA5121"/>
    <w:rsid w:val="6CDD06CC"/>
    <w:rsid w:val="6CE12DE0"/>
    <w:rsid w:val="6CED7A5F"/>
    <w:rsid w:val="6CF070AE"/>
    <w:rsid w:val="6CF11776"/>
    <w:rsid w:val="6CFB0BE2"/>
    <w:rsid w:val="6D056086"/>
    <w:rsid w:val="6D077569"/>
    <w:rsid w:val="6D0943F7"/>
    <w:rsid w:val="6D0C6F39"/>
    <w:rsid w:val="6D1624B9"/>
    <w:rsid w:val="6D194857"/>
    <w:rsid w:val="6D1A7871"/>
    <w:rsid w:val="6D1E0FE5"/>
    <w:rsid w:val="6D275220"/>
    <w:rsid w:val="6D284A9A"/>
    <w:rsid w:val="6D325918"/>
    <w:rsid w:val="6D36583B"/>
    <w:rsid w:val="6D400035"/>
    <w:rsid w:val="6D404C2F"/>
    <w:rsid w:val="6D4F2EDA"/>
    <w:rsid w:val="6D564D30"/>
    <w:rsid w:val="6D574459"/>
    <w:rsid w:val="6D6B0BCD"/>
    <w:rsid w:val="6D6C7F13"/>
    <w:rsid w:val="6D721E1C"/>
    <w:rsid w:val="6D747729"/>
    <w:rsid w:val="6D7640A6"/>
    <w:rsid w:val="6D797FE3"/>
    <w:rsid w:val="6D806684"/>
    <w:rsid w:val="6D875C64"/>
    <w:rsid w:val="6D893CB3"/>
    <w:rsid w:val="6D8A4F79"/>
    <w:rsid w:val="6D8A5CBE"/>
    <w:rsid w:val="6D8F4B19"/>
    <w:rsid w:val="6D910891"/>
    <w:rsid w:val="6D9C72A7"/>
    <w:rsid w:val="6DA24B6A"/>
    <w:rsid w:val="6DA32372"/>
    <w:rsid w:val="6DAF0D17"/>
    <w:rsid w:val="6DB427D1"/>
    <w:rsid w:val="6DBB76BC"/>
    <w:rsid w:val="6DD1233C"/>
    <w:rsid w:val="6DD16EDF"/>
    <w:rsid w:val="6DD61290"/>
    <w:rsid w:val="6DD91CCA"/>
    <w:rsid w:val="6DDA2238"/>
    <w:rsid w:val="6DED7F0C"/>
    <w:rsid w:val="6DEE4FE9"/>
    <w:rsid w:val="6DF3366F"/>
    <w:rsid w:val="6DF33BCB"/>
    <w:rsid w:val="6DF64B98"/>
    <w:rsid w:val="6DFE6663"/>
    <w:rsid w:val="6E043B72"/>
    <w:rsid w:val="6E056B89"/>
    <w:rsid w:val="6E06696E"/>
    <w:rsid w:val="6E1C3A50"/>
    <w:rsid w:val="6E262BC5"/>
    <w:rsid w:val="6E2934F2"/>
    <w:rsid w:val="6E2A57BB"/>
    <w:rsid w:val="6E2E1A5E"/>
    <w:rsid w:val="6E2E5B6D"/>
    <w:rsid w:val="6E331948"/>
    <w:rsid w:val="6E34575E"/>
    <w:rsid w:val="6E3E5D92"/>
    <w:rsid w:val="6E53498E"/>
    <w:rsid w:val="6E54240F"/>
    <w:rsid w:val="6E613C69"/>
    <w:rsid w:val="6E775C2D"/>
    <w:rsid w:val="6E810905"/>
    <w:rsid w:val="6E8D3A17"/>
    <w:rsid w:val="6E8F7FD8"/>
    <w:rsid w:val="6E977A01"/>
    <w:rsid w:val="6E9E1183"/>
    <w:rsid w:val="6EA10310"/>
    <w:rsid w:val="6EA81E99"/>
    <w:rsid w:val="6EAF6592"/>
    <w:rsid w:val="6ECC5CD1"/>
    <w:rsid w:val="6EDA396D"/>
    <w:rsid w:val="6EDC1FE0"/>
    <w:rsid w:val="6EDF1B93"/>
    <w:rsid w:val="6EDF692B"/>
    <w:rsid w:val="6EE82732"/>
    <w:rsid w:val="6EF17676"/>
    <w:rsid w:val="6EF177FB"/>
    <w:rsid w:val="6EF36A95"/>
    <w:rsid w:val="6EF74A03"/>
    <w:rsid w:val="6EF8025D"/>
    <w:rsid w:val="6EFC02AA"/>
    <w:rsid w:val="6F0312AE"/>
    <w:rsid w:val="6F045092"/>
    <w:rsid w:val="6F062233"/>
    <w:rsid w:val="6F096A3B"/>
    <w:rsid w:val="6F0A4E20"/>
    <w:rsid w:val="6F206EA5"/>
    <w:rsid w:val="6F223D61"/>
    <w:rsid w:val="6F23111B"/>
    <w:rsid w:val="6F252AE8"/>
    <w:rsid w:val="6F3A0A5C"/>
    <w:rsid w:val="6F3B6E8A"/>
    <w:rsid w:val="6F3F41B2"/>
    <w:rsid w:val="6F457B85"/>
    <w:rsid w:val="6F4D5330"/>
    <w:rsid w:val="6F537761"/>
    <w:rsid w:val="6F5C2C41"/>
    <w:rsid w:val="6F5D779B"/>
    <w:rsid w:val="6F6349E7"/>
    <w:rsid w:val="6F683873"/>
    <w:rsid w:val="6F6A57DA"/>
    <w:rsid w:val="6F7252E8"/>
    <w:rsid w:val="6F771567"/>
    <w:rsid w:val="6F885CC3"/>
    <w:rsid w:val="6F89202D"/>
    <w:rsid w:val="6F9401C4"/>
    <w:rsid w:val="6F971253"/>
    <w:rsid w:val="6F9A1C85"/>
    <w:rsid w:val="6FA97A2D"/>
    <w:rsid w:val="6FAB550E"/>
    <w:rsid w:val="6FB07785"/>
    <w:rsid w:val="6FBC373A"/>
    <w:rsid w:val="6FC163CE"/>
    <w:rsid w:val="6FDC1B6B"/>
    <w:rsid w:val="6FDE58E3"/>
    <w:rsid w:val="6FDE6E1D"/>
    <w:rsid w:val="6FE860A9"/>
    <w:rsid w:val="6FF15617"/>
    <w:rsid w:val="6FF3138F"/>
    <w:rsid w:val="6FF51B3B"/>
    <w:rsid w:val="6FF944CB"/>
    <w:rsid w:val="6FFE7D34"/>
    <w:rsid w:val="70036A83"/>
    <w:rsid w:val="70052E70"/>
    <w:rsid w:val="700A0487"/>
    <w:rsid w:val="700C3CDF"/>
    <w:rsid w:val="700D5950"/>
    <w:rsid w:val="7012731D"/>
    <w:rsid w:val="701D4F74"/>
    <w:rsid w:val="70347D7F"/>
    <w:rsid w:val="7048066A"/>
    <w:rsid w:val="70531E2E"/>
    <w:rsid w:val="705553D8"/>
    <w:rsid w:val="705666DD"/>
    <w:rsid w:val="70577C95"/>
    <w:rsid w:val="705F3769"/>
    <w:rsid w:val="705F45A2"/>
    <w:rsid w:val="706D6302"/>
    <w:rsid w:val="706F5A59"/>
    <w:rsid w:val="706F62CF"/>
    <w:rsid w:val="70714CC9"/>
    <w:rsid w:val="70735B9D"/>
    <w:rsid w:val="7075738A"/>
    <w:rsid w:val="70812E7A"/>
    <w:rsid w:val="7090092E"/>
    <w:rsid w:val="709451EF"/>
    <w:rsid w:val="70997E6D"/>
    <w:rsid w:val="709D12FB"/>
    <w:rsid w:val="70B46A76"/>
    <w:rsid w:val="70B679FB"/>
    <w:rsid w:val="70B86135"/>
    <w:rsid w:val="70BF3967"/>
    <w:rsid w:val="70C2380D"/>
    <w:rsid w:val="70C930F5"/>
    <w:rsid w:val="70CB5E68"/>
    <w:rsid w:val="70CC631B"/>
    <w:rsid w:val="70D511A9"/>
    <w:rsid w:val="70D867D7"/>
    <w:rsid w:val="70DC62C7"/>
    <w:rsid w:val="70E43D09"/>
    <w:rsid w:val="70F42CAF"/>
    <w:rsid w:val="70FD3A44"/>
    <w:rsid w:val="710864C2"/>
    <w:rsid w:val="71094BE2"/>
    <w:rsid w:val="71105B0B"/>
    <w:rsid w:val="71121CE9"/>
    <w:rsid w:val="71180321"/>
    <w:rsid w:val="71236D2A"/>
    <w:rsid w:val="712B6F2E"/>
    <w:rsid w:val="71325EE7"/>
    <w:rsid w:val="71393C67"/>
    <w:rsid w:val="713A2AE5"/>
    <w:rsid w:val="713D769E"/>
    <w:rsid w:val="713E5806"/>
    <w:rsid w:val="713E6586"/>
    <w:rsid w:val="714814E8"/>
    <w:rsid w:val="714F68F5"/>
    <w:rsid w:val="71504D01"/>
    <w:rsid w:val="715C11B6"/>
    <w:rsid w:val="71625915"/>
    <w:rsid w:val="7166002E"/>
    <w:rsid w:val="71720FE4"/>
    <w:rsid w:val="71755338"/>
    <w:rsid w:val="71795227"/>
    <w:rsid w:val="717C0814"/>
    <w:rsid w:val="71804EA4"/>
    <w:rsid w:val="71845ACA"/>
    <w:rsid w:val="71881333"/>
    <w:rsid w:val="718F158B"/>
    <w:rsid w:val="718F50E7"/>
    <w:rsid w:val="71934453"/>
    <w:rsid w:val="71950224"/>
    <w:rsid w:val="71981026"/>
    <w:rsid w:val="71A05546"/>
    <w:rsid w:val="71AF75B0"/>
    <w:rsid w:val="71B0505E"/>
    <w:rsid w:val="71B055E4"/>
    <w:rsid w:val="71BD31F6"/>
    <w:rsid w:val="71D27FCE"/>
    <w:rsid w:val="71E847F7"/>
    <w:rsid w:val="71F20E08"/>
    <w:rsid w:val="71F57082"/>
    <w:rsid w:val="71FB452B"/>
    <w:rsid w:val="71FE2F9F"/>
    <w:rsid w:val="72021D5D"/>
    <w:rsid w:val="72023B0B"/>
    <w:rsid w:val="72050415"/>
    <w:rsid w:val="72064D9E"/>
    <w:rsid w:val="7208595F"/>
    <w:rsid w:val="720865CF"/>
    <w:rsid w:val="720F23F1"/>
    <w:rsid w:val="72131EB6"/>
    <w:rsid w:val="721722CA"/>
    <w:rsid w:val="72217912"/>
    <w:rsid w:val="72273572"/>
    <w:rsid w:val="723A676B"/>
    <w:rsid w:val="724539F8"/>
    <w:rsid w:val="7251199A"/>
    <w:rsid w:val="72531C00"/>
    <w:rsid w:val="725620A9"/>
    <w:rsid w:val="72593EF4"/>
    <w:rsid w:val="72674EB9"/>
    <w:rsid w:val="726A5245"/>
    <w:rsid w:val="726C7228"/>
    <w:rsid w:val="7270316B"/>
    <w:rsid w:val="727566D7"/>
    <w:rsid w:val="727A671F"/>
    <w:rsid w:val="727E1565"/>
    <w:rsid w:val="728026E4"/>
    <w:rsid w:val="72830C42"/>
    <w:rsid w:val="7283457B"/>
    <w:rsid w:val="72932477"/>
    <w:rsid w:val="729752B9"/>
    <w:rsid w:val="729C0B15"/>
    <w:rsid w:val="72AA1C97"/>
    <w:rsid w:val="72AB607C"/>
    <w:rsid w:val="72B666A4"/>
    <w:rsid w:val="72B800D0"/>
    <w:rsid w:val="72BA2638"/>
    <w:rsid w:val="72BD6ACB"/>
    <w:rsid w:val="72BF7DD0"/>
    <w:rsid w:val="72C405F2"/>
    <w:rsid w:val="72C5775B"/>
    <w:rsid w:val="72CB7EFA"/>
    <w:rsid w:val="72D63761"/>
    <w:rsid w:val="72D90E3C"/>
    <w:rsid w:val="72EA6696"/>
    <w:rsid w:val="72EF2AA3"/>
    <w:rsid w:val="72F86CBC"/>
    <w:rsid w:val="72FA0C86"/>
    <w:rsid w:val="72FA7FFA"/>
    <w:rsid w:val="72FD54BF"/>
    <w:rsid w:val="730E55D1"/>
    <w:rsid w:val="73130B06"/>
    <w:rsid w:val="73163E8B"/>
    <w:rsid w:val="732764FB"/>
    <w:rsid w:val="732D2602"/>
    <w:rsid w:val="73303587"/>
    <w:rsid w:val="733B477B"/>
    <w:rsid w:val="733B634C"/>
    <w:rsid w:val="733D74A2"/>
    <w:rsid w:val="733E0E99"/>
    <w:rsid w:val="73412E22"/>
    <w:rsid w:val="734F0FD2"/>
    <w:rsid w:val="7353109E"/>
    <w:rsid w:val="735313FE"/>
    <w:rsid w:val="735C724B"/>
    <w:rsid w:val="73674A9C"/>
    <w:rsid w:val="736B3932"/>
    <w:rsid w:val="736D1458"/>
    <w:rsid w:val="736E0E6D"/>
    <w:rsid w:val="7372081D"/>
    <w:rsid w:val="737407F8"/>
    <w:rsid w:val="737547B1"/>
    <w:rsid w:val="737E1108"/>
    <w:rsid w:val="7387688C"/>
    <w:rsid w:val="738B621F"/>
    <w:rsid w:val="73A0182E"/>
    <w:rsid w:val="73AD31C3"/>
    <w:rsid w:val="73B175F5"/>
    <w:rsid w:val="73B415E2"/>
    <w:rsid w:val="73B452D9"/>
    <w:rsid w:val="73BC132A"/>
    <w:rsid w:val="73C26C80"/>
    <w:rsid w:val="73C672A0"/>
    <w:rsid w:val="73CC4A8A"/>
    <w:rsid w:val="73CE599C"/>
    <w:rsid w:val="73D21502"/>
    <w:rsid w:val="73D51B16"/>
    <w:rsid w:val="73DA2548"/>
    <w:rsid w:val="73DE1E65"/>
    <w:rsid w:val="73E223A7"/>
    <w:rsid w:val="73E442FB"/>
    <w:rsid w:val="73E4432F"/>
    <w:rsid w:val="73E70B37"/>
    <w:rsid w:val="73E84F83"/>
    <w:rsid w:val="73F00142"/>
    <w:rsid w:val="73F2195D"/>
    <w:rsid w:val="73F800A1"/>
    <w:rsid w:val="73FB3F54"/>
    <w:rsid w:val="73FF295B"/>
    <w:rsid w:val="74017DF2"/>
    <w:rsid w:val="74080A9F"/>
    <w:rsid w:val="740E6590"/>
    <w:rsid w:val="74122DC3"/>
    <w:rsid w:val="74147B26"/>
    <w:rsid w:val="74186E1E"/>
    <w:rsid w:val="74244162"/>
    <w:rsid w:val="7425611C"/>
    <w:rsid w:val="743453B3"/>
    <w:rsid w:val="74367183"/>
    <w:rsid w:val="74382034"/>
    <w:rsid w:val="743E56AC"/>
    <w:rsid w:val="74475B4D"/>
    <w:rsid w:val="744D04DB"/>
    <w:rsid w:val="745201E6"/>
    <w:rsid w:val="74597B71"/>
    <w:rsid w:val="745A3CA1"/>
    <w:rsid w:val="745B23E4"/>
    <w:rsid w:val="745D7AD6"/>
    <w:rsid w:val="7463285B"/>
    <w:rsid w:val="7463463C"/>
    <w:rsid w:val="74697E0C"/>
    <w:rsid w:val="746F3739"/>
    <w:rsid w:val="74711570"/>
    <w:rsid w:val="747131CA"/>
    <w:rsid w:val="747B7BA5"/>
    <w:rsid w:val="74831C9D"/>
    <w:rsid w:val="74884E3D"/>
    <w:rsid w:val="748C3843"/>
    <w:rsid w:val="748F47C8"/>
    <w:rsid w:val="74913DDA"/>
    <w:rsid w:val="74983AA2"/>
    <w:rsid w:val="7499627D"/>
    <w:rsid w:val="74A2126A"/>
    <w:rsid w:val="74A32F54"/>
    <w:rsid w:val="74B20186"/>
    <w:rsid w:val="74B41A9A"/>
    <w:rsid w:val="74B82BA7"/>
    <w:rsid w:val="74B87B8B"/>
    <w:rsid w:val="74BA6911"/>
    <w:rsid w:val="74BE1A94"/>
    <w:rsid w:val="74C57072"/>
    <w:rsid w:val="74CD20AE"/>
    <w:rsid w:val="74D474BB"/>
    <w:rsid w:val="74D54F3C"/>
    <w:rsid w:val="74E474F8"/>
    <w:rsid w:val="74EC760D"/>
    <w:rsid w:val="74F11C15"/>
    <w:rsid w:val="74F543BE"/>
    <w:rsid w:val="74FD05BA"/>
    <w:rsid w:val="74FF4A74"/>
    <w:rsid w:val="75014537"/>
    <w:rsid w:val="75071E68"/>
    <w:rsid w:val="7507768A"/>
    <w:rsid w:val="750B717B"/>
    <w:rsid w:val="75120509"/>
    <w:rsid w:val="75214E0A"/>
    <w:rsid w:val="7524053F"/>
    <w:rsid w:val="75263927"/>
    <w:rsid w:val="75265D63"/>
    <w:rsid w:val="752B3379"/>
    <w:rsid w:val="752B727F"/>
    <w:rsid w:val="752C0E9F"/>
    <w:rsid w:val="75306BE1"/>
    <w:rsid w:val="75371D1E"/>
    <w:rsid w:val="753D3667"/>
    <w:rsid w:val="753E6FB6"/>
    <w:rsid w:val="753F32E7"/>
    <w:rsid w:val="75476D63"/>
    <w:rsid w:val="754C3BE8"/>
    <w:rsid w:val="754E7067"/>
    <w:rsid w:val="75571650"/>
    <w:rsid w:val="755C0699"/>
    <w:rsid w:val="755C3532"/>
    <w:rsid w:val="755F6208"/>
    <w:rsid w:val="75615996"/>
    <w:rsid w:val="75656DAA"/>
    <w:rsid w:val="75662603"/>
    <w:rsid w:val="756D01D6"/>
    <w:rsid w:val="75765F49"/>
    <w:rsid w:val="757A019B"/>
    <w:rsid w:val="757F40D0"/>
    <w:rsid w:val="758A3766"/>
    <w:rsid w:val="758B3534"/>
    <w:rsid w:val="759251A6"/>
    <w:rsid w:val="759252EF"/>
    <w:rsid w:val="75957F62"/>
    <w:rsid w:val="759E1D9D"/>
    <w:rsid w:val="759E4985"/>
    <w:rsid w:val="75A1363B"/>
    <w:rsid w:val="75A2558A"/>
    <w:rsid w:val="75A34D55"/>
    <w:rsid w:val="75A71A11"/>
    <w:rsid w:val="75AF26A1"/>
    <w:rsid w:val="75AF3FAA"/>
    <w:rsid w:val="75B15BA4"/>
    <w:rsid w:val="75B357AF"/>
    <w:rsid w:val="75B4336E"/>
    <w:rsid w:val="75BB3F35"/>
    <w:rsid w:val="75C622C6"/>
    <w:rsid w:val="75D04BF2"/>
    <w:rsid w:val="75D373DE"/>
    <w:rsid w:val="75D7370F"/>
    <w:rsid w:val="75D752AF"/>
    <w:rsid w:val="75D96784"/>
    <w:rsid w:val="75E051CE"/>
    <w:rsid w:val="75E12BAC"/>
    <w:rsid w:val="75E2202D"/>
    <w:rsid w:val="75E727FB"/>
    <w:rsid w:val="75E8027D"/>
    <w:rsid w:val="75F25C45"/>
    <w:rsid w:val="7601057E"/>
    <w:rsid w:val="76064CFE"/>
    <w:rsid w:val="760E35DC"/>
    <w:rsid w:val="76120095"/>
    <w:rsid w:val="761E0757"/>
    <w:rsid w:val="761E4431"/>
    <w:rsid w:val="76283D5C"/>
    <w:rsid w:val="7629236B"/>
    <w:rsid w:val="762B43A2"/>
    <w:rsid w:val="763111B7"/>
    <w:rsid w:val="763745BB"/>
    <w:rsid w:val="763B7D07"/>
    <w:rsid w:val="763E1B89"/>
    <w:rsid w:val="7640418E"/>
    <w:rsid w:val="764C3824"/>
    <w:rsid w:val="764D37C3"/>
    <w:rsid w:val="764E6D27"/>
    <w:rsid w:val="7656089D"/>
    <w:rsid w:val="76564426"/>
    <w:rsid w:val="7657143C"/>
    <w:rsid w:val="76595D0F"/>
    <w:rsid w:val="765C72C6"/>
    <w:rsid w:val="765D2FDF"/>
    <w:rsid w:val="765E7936"/>
    <w:rsid w:val="766024C5"/>
    <w:rsid w:val="766475EB"/>
    <w:rsid w:val="766723FC"/>
    <w:rsid w:val="766A10BC"/>
    <w:rsid w:val="766B09DE"/>
    <w:rsid w:val="766D176F"/>
    <w:rsid w:val="766F145A"/>
    <w:rsid w:val="7677439C"/>
    <w:rsid w:val="76813AC6"/>
    <w:rsid w:val="76882384"/>
    <w:rsid w:val="768E3DB8"/>
    <w:rsid w:val="768E7479"/>
    <w:rsid w:val="769413F2"/>
    <w:rsid w:val="769A026B"/>
    <w:rsid w:val="76AA441E"/>
    <w:rsid w:val="76AE4262"/>
    <w:rsid w:val="76B15747"/>
    <w:rsid w:val="76B30C4A"/>
    <w:rsid w:val="76B3397B"/>
    <w:rsid w:val="76B35224"/>
    <w:rsid w:val="76B47740"/>
    <w:rsid w:val="76B64EC4"/>
    <w:rsid w:val="76BD0524"/>
    <w:rsid w:val="76C20D00"/>
    <w:rsid w:val="76C33714"/>
    <w:rsid w:val="76C543E8"/>
    <w:rsid w:val="76C577FD"/>
    <w:rsid w:val="76C656C6"/>
    <w:rsid w:val="76C80BEF"/>
    <w:rsid w:val="76CC0B02"/>
    <w:rsid w:val="76CC3B1E"/>
    <w:rsid w:val="76E23F0B"/>
    <w:rsid w:val="76E920B3"/>
    <w:rsid w:val="76F364F1"/>
    <w:rsid w:val="76FC2713"/>
    <w:rsid w:val="76FF6B4B"/>
    <w:rsid w:val="7701204E"/>
    <w:rsid w:val="77023321"/>
    <w:rsid w:val="77050A54"/>
    <w:rsid w:val="770704DA"/>
    <w:rsid w:val="7709593C"/>
    <w:rsid w:val="771019C9"/>
    <w:rsid w:val="771741F2"/>
    <w:rsid w:val="7718085E"/>
    <w:rsid w:val="771A1A54"/>
    <w:rsid w:val="771C4E1E"/>
    <w:rsid w:val="771D27BA"/>
    <w:rsid w:val="7721127E"/>
    <w:rsid w:val="77296836"/>
    <w:rsid w:val="772B5ADA"/>
    <w:rsid w:val="772E53A2"/>
    <w:rsid w:val="772E7150"/>
    <w:rsid w:val="77304C77"/>
    <w:rsid w:val="7735228D"/>
    <w:rsid w:val="77364257"/>
    <w:rsid w:val="77373422"/>
    <w:rsid w:val="773C312D"/>
    <w:rsid w:val="773F7E40"/>
    <w:rsid w:val="77455749"/>
    <w:rsid w:val="775904DE"/>
    <w:rsid w:val="77723F1A"/>
    <w:rsid w:val="777E613A"/>
    <w:rsid w:val="777F79AC"/>
    <w:rsid w:val="778356EE"/>
    <w:rsid w:val="778A2865"/>
    <w:rsid w:val="77901BB9"/>
    <w:rsid w:val="779A1ABE"/>
    <w:rsid w:val="779A56C5"/>
    <w:rsid w:val="77A14BA4"/>
    <w:rsid w:val="77A22AD1"/>
    <w:rsid w:val="77A236FE"/>
    <w:rsid w:val="77A305C2"/>
    <w:rsid w:val="77AB353B"/>
    <w:rsid w:val="77AD384F"/>
    <w:rsid w:val="77B27D81"/>
    <w:rsid w:val="77B53651"/>
    <w:rsid w:val="77BC12C0"/>
    <w:rsid w:val="77C36889"/>
    <w:rsid w:val="77C40B4D"/>
    <w:rsid w:val="77CD2B43"/>
    <w:rsid w:val="77CD4B10"/>
    <w:rsid w:val="77DA3CB5"/>
    <w:rsid w:val="77DC6BAC"/>
    <w:rsid w:val="77E70097"/>
    <w:rsid w:val="77E95F58"/>
    <w:rsid w:val="77EC1C4C"/>
    <w:rsid w:val="77F52CFA"/>
    <w:rsid w:val="77FD0EA6"/>
    <w:rsid w:val="780627F5"/>
    <w:rsid w:val="780C4DCA"/>
    <w:rsid w:val="78153E6C"/>
    <w:rsid w:val="7816735F"/>
    <w:rsid w:val="78252301"/>
    <w:rsid w:val="782C62B8"/>
    <w:rsid w:val="783458C3"/>
    <w:rsid w:val="783B09E1"/>
    <w:rsid w:val="784D3606"/>
    <w:rsid w:val="78526E6F"/>
    <w:rsid w:val="7855167B"/>
    <w:rsid w:val="785604F8"/>
    <w:rsid w:val="785726D7"/>
    <w:rsid w:val="785E75C1"/>
    <w:rsid w:val="78604582"/>
    <w:rsid w:val="78620A1E"/>
    <w:rsid w:val="787050BC"/>
    <w:rsid w:val="78774B27"/>
    <w:rsid w:val="78801C2E"/>
    <w:rsid w:val="788159C2"/>
    <w:rsid w:val="78830EC5"/>
    <w:rsid w:val="78882890"/>
    <w:rsid w:val="788F3C1F"/>
    <w:rsid w:val="7892370F"/>
    <w:rsid w:val="78970D25"/>
    <w:rsid w:val="78990D1D"/>
    <w:rsid w:val="789D5E82"/>
    <w:rsid w:val="789F4DB6"/>
    <w:rsid w:val="78A1424A"/>
    <w:rsid w:val="78A21B08"/>
    <w:rsid w:val="78A771BA"/>
    <w:rsid w:val="78A84CE1"/>
    <w:rsid w:val="78AA13F3"/>
    <w:rsid w:val="78AB0D85"/>
    <w:rsid w:val="78AD4288"/>
    <w:rsid w:val="78AF42C1"/>
    <w:rsid w:val="78B16511"/>
    <w:rsid w:val="78B2790D"/>
    <w:rsid w:val="78B57116"/>
    <w:rsid w:val="78BB48A3"/>
    <w:rsid w:val="78C87131"/>
    <w:rsid w:val="78D000BF"/>
    <w:rsid w:val="78D112C6"/>
    <w:rsid w:val="78E112DA"/>
    <w:rsid w:val="78F636F2"/>
    <w:rsid w:val="78F821C0"/>
    <w:rsid w:val="79032A98"/>
    <w:rsid w:val="7905689B"/>
    <w:rsid w:val="79091C23"/>
    <w:rsid w:val="790A686A"/>
    <w:rsid w:val="791D165B"/>
    <w:rsid w:val="79217EF1"/>
    <w:rsid w:val="79246A5D"/>
    <w:rsid w:val="793230AC"/>
    <w:rsid w:val="793B4DF1"/>
    <w:rsid w:val="794E3E11"/>
    <w:rsid w:val="795B11E6"/>
    <w:rsid w:val="795D1D3D"/>
    <w:rsid w:val="79637338"/>
    <w:rsid w:val="796572BA"/>
    <w:rsid w:val="79694470"/>
    <w:rsid w:val="79695B14"/>
    <w:rsid w:val="7973709D"/>
    <w:rsid w:val="798E6DF9"/>
    <w:rsid w:val="799106DA"/>
    <w:rsid w:val="79942A21"/>
    <w:rsid w:val="79956784"/>
    <w:rsid w:val="799C1992"/>
    <w:rsid w:val="79B70571"/>
    <w:rsid w:val="79BF22E2"/>
    <w:rsid w:val="79C45B4A"/>
    <w:rsid w:val="79CA5C65"/>
    <w:rsid w:val="79CB453B"/>
    <w:rsid w:val="79DA1477"/>
    <w:rsid w:val="79DA711C"/>
    <w:rsid w:val="79EA7513"/>
    <w:rsid w:val="79EB757B"/>
    <w:rsid w:val="79EC41D8"/>
    <w:rsid w:val="79EF2DB5"/>
    <w:rsid w:val="79EF399B"/>
    <w:rsid w:val="79F045A7"/>
    <w:rsid w:val="79F77CCE"/>
    <w:rsid w:val="7A00297D"/>
    <w:rsid w:val="7A061B59"/>
    <w:rsid w:val="7A094544"/>
    <w:rsid w:val="7A0B3779"/>
    <w:rsid w:val="7A0C2CC5"/>
    <w:rsid w:val="7A0D09CC"/>
    <w:rsid w:val="7A277702"/>
    <w:rsid w:val="7A2A00A3"/>
    <w:rsid w:val="7A2B5A58"/>
    <w:rsid w:val="7A2F2206"/>
    <w:rsid w:val="7A41363F"/>
    <w:rsid w:val="7A452CD8"/>
    <w:rsid w:val="7A462A03"/>
    <w:rsid w:val="7A466F98"/>
    <w:rsid w:val="7A4E0436"/>
    <w:rsid w:val="7A596FBE"/>
    <w:rsid w:val="7A610456"/>
    <w:rsid w:val="7A6413DB"/>
    <w:rsid w:val="7A7B00AE"/>
    <w:rsid w:val="7A7C650E"/>
    <w:rsid w:val="7A801F5E"/>
    <w:rsid w:val="7A8102E0"/>
    <w:rsid w:val="7A861051"/>
    <w:rsid w:val="7A8D259F"/>
    <w:rsid w:val="7A8E221F"/>
    <w:rsid w:val="7A9034CB"/>
    <w:rsid w:val="7A950625"/>
    <w:rsid w:val="7A974B61"/>
    <w:rsid w:val="7A9A38BF"/>
    <w:rsid w:val="7A9F774F"/>
    <w:rsid w:val="7AA421C5"/>
    <w:rsid w:val="7AB03A59"/>
    <w:rsid w:val="7AB20021"/>
    <w:rsid w:val="7AB95172"/>
    <w:rsid w:val="7AC51B7A"/>
    <w:rsid w:val="7AC758F2"/>
    <w:rsid w:val="7AC84734"/>
    <w:rsid w:val="7AD1051F"/>
    <w:rsid w:val="7AD54B92"/>
    <w:rsid w:val="7AD61FD9"/>
    <w:rsid w:val="7ADC6EC3"/>
    <w:rsid w:val="7ADD5115"/>
    <w:rsid w:val="7ADF621E"/>
    <w:rsid w:val="7AE14228"/>
    <w:rsid w:val="7AE2272C"/>
    <w:rsid w:val="7AE27356"/>
    <w:rsid w:val="7AE310D7"/>
    <w:rsid w:val="7AEC00ED"/>
    <w:rsid w:val="7AFB0C03"/>
    <w:rsid w:val="7AFB1AD0"/>
    <w:rsid w:val="7AFD0CDF"/>
    <w:rsid w:val="7B005F75"/>
    <w:rsid w:val="7B052827"/>
    <w:rsid w:val="7B14578B"/>
    <w:rsid w:val="7B15597B"/>
    <w:rsid w:val="7B263697"/>
    <w:rsid w:val="7B2F4988"/>
    <w:rsid w:val="7B2F6525"/>
    <w:rsid w:val="7B3E2CF7"/>
    <w:rsid w:val="7B3F7B7E"/>
    <w:rsid w:val="7B412D14"/>
    <w:rsid w:val="7B5641E6"/>
    <w:rsid w:val="7B5B68D0"/>
    <w:rsid w:val="7B70785B"/>
    <w:rsid w:val="7B711D02"/>
    <w:rsid w:val="7B737828"/>
    <w:rsid w:val="7B7724D2"/>
    <w:rsid w:val="7B786BEC"/>
    <w:rsid w:val="7B7A0F23"/>
    <w:rsid w:val="7BA10DE3"/>
    <w:rsid w:val="7BA14E8D"/>
    <w:rsid w:val="7BA56A97"/>
    <w:rsid w:val="7BAD77BE"/>
    <w:rsid w:val="7BAE0860"/>
    <w:rsid w:val="7BAE2FAE"/>
    <w:rsid w:val="7BB42002"/>
    <w:rsid w:val="7BBB198C"/>
    <w:rsid w:val="7BBD51E1"/>
    <w:rsid w:val="7BBD6CF5"/>
    <w:rsid w:val="7BBE3015"/>
    <w:rsid w:val="7BC462E4"/>
    <w:rsid w:val="7BC91E69"/>
    <w:rsid w:val="7BCA404B"/>
    <w:rsid w:val="7BD05D0E"/>
    <w:rsid w:val="7BD1454E"/>
    <w:rsid w:val="7BD36518"/>
    <w:rsid w:val="7BD475D1"/>
    <w:rsid w:val="7BDD31C6"/>
    <w:rsid w:val="7BDF46BF"/>
    <w:rsid w:val="7BF73FB5"/>
    <w:rsid w:val="7BF87D2D"/>
    <w:rsid w:val="7BFA4CF4"/>
    <w:rsid w:val="7BFC01F8"/>
    <w:rsid w:val="7C000DFC"/>
    <w:rsid w:val="7C044E61"/>
    <w:rsid w:val="7C102591"/>
    <w:rsid w:val="7C12239B"/>
    <w:rsid w:val="7C136EEB"/>
    <w:rsid w:val="7C1B47CD"/>
    <w:rsid w:val="7C224DAA"/>
    <w:rsid w:val="7C2648D1"/>
    <w:rsid w:val="7C26738C"/>
    <w:rsid w:val="7C2E49D9"/>
    <w:rsid w:val="7C3206D2"/>
    <w:rsid w:val="7C3242E3"/>
    <w:rsid w:val="7C43544C"/>
    <w:rsid w:val="7C4E477F"/>
    <w:rsid w:val="7C541407"/>
    <w:rsid w:val="7C556F2D"/>
    <w:rsid w:val="7C6A4099"/>
    <w:rsid w:val="7C6B7A54"/>
    <w:rsid w:val="7C6F6241"/>
    <w:rsid w:val="7C7620C0"/>
    <w:rsid w:val="7C7B6856"/>
    <w:rsid w:val="7C86358B"/>
    <w:rsid w:val="7C8A307B"/>
    <w:rsid w:val="7C910C5B"/>
    <w:rsid w:val="7C923533"/>
    <w:rsid w:val="7C960395"/>
    <w:rsid w:val="7C997263"/>
    <w:rsid w:val="7CA3413D"/>
    <w:rsid w:val="7CA40BFC"/>
    <w:rsid w:val="7CA64316"/>
    <w:rsid w:val="7CA903AD"/>
    <w:rsid w:val="7CAA3813"/>
    <w:rsid w:val="7CAD001B"/>
    <w:rsid w:val="7CAE1D8E"/>
    <w:rsid w:val="7CAE5A9D"/>
    <w:rsid w:val="7CB73744"/>
    <w:rsid w:val="7CB77BE8"/>
    <w:rsid w:val="7CBD288E"/>
    <w:rsid w:val="7CC628F0"/>
    <w:rsid w:val="7CC678C0"/>
    <w:rsid w:val="7CC929B6"/>
    <w:rsid w:val="7CCD4D16"/>
    <w:rsid w:val="7CD41D28"/>
    <w:rsid w:val="7CE243B7"/>
    <w:rsid w:val="7CEF6537"/>
    <w:rsid w:val="7CF30790"/>
    <w:rsid w:val="7CF80023"/>
    <w:rsid w:val="7CFD5B1E"/>
    <w:rsid w:val="7D0A3391"/>
    <w:rsid w:val="7D177659"/>
    <w:rsid w:val="7D1C02CF"/>
    <w:rsid w:val="7D276660"/>
    <w:rsid w:val="7D2A660C"/>
    <w:rsid w:val="7D2E5FEB"/>
    <w:rsid w:val="7D3511F9"/>
    <w:rsid w:val="7D44519B"/>
    <w:rsid w:val="7D4A110E"/>
    <w:rsid w:val="7D52346D"/>
    <w:rsid w:val="7D5804B4"/>
    <w:rsid w:val="7D5C3FE1"/>
    <w:rsid w:val="7D5F76CD"/>
    <w:rsid w:val="7D636CB2"/>
    <w:rsid w:val="7D7F4AF0"/>
    <w:rsid w:val="7D853542"/>
    <w:rsid w:val="7D8A2C07"/>
    <w:rsid w:val="7D90280C"/>
    <w:rsid w:val="7D9E4FAF"/>
    <w:rsid w:val="7DA43B86"/>
    <w:rsid w:val="7DA95783"/>
    <w:rsid w:val="7DAE474B"/>
    <w:rsid w:val="7DB3377D"/>
    <w:rsid w:val="7DB639FC"/>
    <w:rsid w:val="7DC47C46"/>
    <w:rsid w:val="7DCC76C3"/>
    <w:rsid w:val="7DD24CD9"/>
    <w:rsid w:val="7DD53301"/>
    <w:rsid w:val="7DD73A60"/>
    <w:rsid w:val="7DD82326"/>
    <w:rsid w:val="7DD87E16"/>
    <w:rsid w:val="7DDD372B"/>
    <w:rsid w:val="7DE34815"/>
    <w:rsid w:val="7DE70CE3"/>
    <w:rsid w:val="7DF12C86"/>
    <w:rsid w:val="7DFA7CBD"/>
    <w:rsid w:val="7E027F72"/>
    <w:rsid w:val="7E0427CB"/>
    <w:rsid w:val="7E0A50FF"/>
    <w:rsid w:val="7E0B27DE"/>
    <w:rsid w:val="7E0D5EFC"/>
    <w:rsid w:val="7E132DE5"/>
    <w:rsid w:val="7E1672B0"/>
    <w:rsid w:val="7E207EFD"/>
    <w:rsid w:val="7E266DD3"/>
    <w:rsid w:val="7E292D8B"/>
    <w:rsid w:val="7E2D7A48"/>
    <w:rsid w:val="7E320B69"/>
    <w:rsid w:val="7E360B49"/>
    <w:rsid w:val="7E39606E"/>
    <w:rsid w:val="7E3E74AD"/>
    <w:rsid w:val="7E3F4F2E"/>
    <w:rsid w:val="7E464CC0"/>
    <w:rsid w:val="7E492AC2"/>
    <w:rsid w:val="7E4B67C3"/>
    <w:rsid w:val="7E5008E4"/>
    <w:rsid w:val="7E53034C"/>
    <w:rsid w:val="7E5D57E9"/>
    <w:rsid w:val="7E5E656D"/>
    <w:rsid w:val="7E6150E3"/>
    <w:rsid w:val="7E6D4A02"/>
    <w:rsid w:val="7E6F077A"/>
    <w:rsid w:val="7E70250C"/>
    <w:rsid w:val="7E702F91"/>
    <w:rsid w:val="7E796579"/>
    <w:rsid w:val="7E863E7B"/>
    <w:rsid w:val="7E8726B5"/>
    <w:rsid w:val="7E8B30DA"/>
    <w:rsid w:val="7E8B3E88"/>
    <w:rsid w:val="7E8D4CAE"/>
    <w:rsid w:val="7E9B7847"/>
    <w:rsid w:val="7E9F29C9"/>
    <w:rsid w:val="7EA34C53"/>
    <w:rsid w:val="7EA71DC7"/>
    <w:rsid w:val="7EBA5454"/>
    <w:rsid w:val="7EBE547D"/>
    <w:rsid w:val="7EBF2EFE"/>
    <w:rsid w:val="7EC14203"/>
    <w:rsid w:val="7EC4648A"/>
    <w:rsid w:val="7ECA128F"/>
    <w:rsid w:val="7ECE4FFB"/>
    <w:rsid w:val="7ED4682F"/>
    <w:rsid w:val="7ED65091"/>
    <w:rsid w:val="7EDA196C"/>
    <w:rsid w:val="7EDE015D"/>
    <w:rsid w:val="7EDF0370"/>
    <w:rsid w:val="7EE2719E"/>
    <w:rsid w:val="7EEB3B79"/>
    <w:rsid w:val="7EF24F07"/>
    <w:rsid w:val="7EF70770"/>
    <w:rsid w:val="7EF817D7"/>
    <w:rsid w:val="7F030EC3"/>
    <w:rsid w:val="7F0326EE"/>
    <w:rsid w:val="7F0C557C"/>
    <w:rsid w:val="7F194892"/>
    <w:rsid w:val="7F2A39C8"/>
    <w:rsid w:val="7F2E23E3"/>
    <w:rsid w:val="7F300CD6"/>
    <w:rsid w:val="7F3C3B4D"/>
    <w:rsid w:val="7F480FCB"/>
    <w:rsid w:val="7F4F4D6C"/>
    <w:rsid w:val="7F5038BE"/>
    <w:rsid w:val="7F5523EE"/>
    <w:rsid w:val="7F557D90"/>
    <w:rsid w:val="7F5A6980"/>
    <w:rsid w:val="7F625F8B"/>
    <w:rsid w:val="7F660214"/>
    <w:rsid w:val="7F6A3397"/>
    <w:rsid w:val="7F6A6C1A"/>
    <w:rsid w:val="7F7231F0"/>
    <w:rsid w:val="7F743B6E"/>
    <w:rsid w:val="7F795BB0"/>
    <w:rsid w:val="7F7F333C"/>
    <w:rsid w:val="7F862298"/>
    <w:rsid w:val="7F886D2E"/>
    <w:rsid w:val="7F89199C"/>
    <w:rsid w:val="7F8C369A"/>
    <w:rsid w:val="7F8D5D5C"/>
    <w:rsid w:val="7F9035D7"/>
    <w:rsid w:val="7F967F89"/>
    <w:rsid w:val="7F982BE1"/>
    <w:rsid w:val="7F9C15E8"/>
    <w:rsid w:val="7F9D1D6A"/>
    <w:rsid w:val="7F9E0C69"/>
    <w:rsid w:val="7FA36202"/>
    <w:rsid w:val="7FB120CC"/>
    <w:rsid w:val="7FB73496"/>
    <w:rsid w:val="7FC06DB4"/>
    <w:rsid w:val="7FCC7BB8"/>
    <w:rsid w:val="7FD302B9"/>
    <w:rsid w:val="7FD52A46"/>
    <w:rsid w:val="7FD67C25"/>
    <w:rsid w:val="7FDA60C7"/>
    <w:rsid w:val="7FDE07AB"/>
    <w:rsid w:val="7FE27B5E"/>
    <w:rsid w:val="7FEA4CE5"/>
    <w:rsid w:val="7FEC2721"/>
    <w:rsid w:val="7FF94405"/>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Lines="0" w:beforeAutospacing="0" w:afterLines="0" w:afterAutospacing="0" w:line="360" w:lineRule="auto"/>
      <w:jc w:val="left"/>
      <w:outlineLvl w:val="3"/>
    </w:pPr>
    <w:rPr>
      <w:rFonts w:eastAsia="黑体"/>
      <w:b/>
      <w:kern w:val="0"/>
      <w:szCs w:val="20"/>
    </w:rPr>
  </w:style>
  <w:style w:type="paragraph" w:styleId="9">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djustRightInd w:val="0"/>
    </w:pPr>
    <w:rPr>
      <w:rFonts w:ascii="宋体" w:cs="宋体"/>
      <w:color w:val="000000"/>
      <w:sz w:val="24"/>
      <w:lang w:val="en-US"/>
    </w:rPr>
  </w:style>
  <w:style w:type="paragraph" w:customStyle="1" w:styleId="3">
    <w:name w:val="文本"/>
    <w:basedOn w:val="1"/>
    <w:next w:val="1"/>
    <w:qFormat/>
    <w:uiPriority w:val="0"/>
    <w:pPr>
      <w:autoSpaceDE w:val="0"/>
      <w:autoSpaceDN w:val="0"/>
      <w:ind w:firstLine="480"/>
    </w:pPr>
    <w:rPr>
      <w:lang w:val="zh-CN"/>
    </w:rPr>
  </w:style>
  <w:style w:type="paragraph" w:customStyle="1" w:styleId="4">
    <w:name w:val="样式35"/>
    <w:basedOn w:val="1"/>
    <w:qFormat/>
    <w:uiPriority w:val="0"/>
    <w:pPr>
      <w:adjustRightInd w:val="0"/>
      <w:spacing w:line="312" w:lineRule="auto"/>
      <w:ind w:firstLine="567"/>
    </w:pPr>
    <w:rPr>
      <w:rFonts w:ascii="宋体"/>
      <w:kern w:val="0"/>
      <w:sz w:val="28"/>
      <w:szCs w:val="20"/>
    </w:rPr>
  </w:style>
  <w:style w:type="paragraph" w:styleId="10">
    <w:name w:val="Normal Indent"/>
    <w:basedOn w:val="1"/>
    <w:next w:val="11"/>
    <w:qFormat/>
    <w:uiPriority w:val="0"/>
    <w:pPr>
      <w:ind w:firstLine="420" w:firstLineChars="200"/>
    </w:pPr>
    <w:rPr>
      <w:szCs w:val="20"/>
    </w:rPr>
  </w:style>
  <w:style w:type="paragraph" w:styleId="11">
    <w:name w:val="Body Text First Indent 2"/>
    <w:basedOn w:val="1"/>
    <w:next w:val="1"/>
    <w:qFormat/>
    <w:uiPriority w:val="99"/>
    <w:pPr>
      <w:adjustRightInd w:val="0"/>
      <w:snapToGrid w:val="0"/>
      <w:ind w:firstLine="420" w:firstLineChars="200"/>
    </w:pPr>
    <w:rPr>
      <w:rFonts w:ascii="Tahoma" w:hAnsi="Tahoma"/>
    </w:rPr>
  </w:style>
  <w:style w:type="paragraph" w:styleId="12">
    <w:name w:val="annotation text"/>
    <w:basedOn w:val="1"/>
    <w:link w:val="70"/>
    <w:qFormat/>
    <w:uiPriority w:val="0"/>
    <w:pPr>
      <w:jc w:val="left"/>
    </w:pPr>
  </w:style>
  <w:style w:type="paragraph" w:styleId="13">
    <w:name w:val="Salutation"/>
    <w:basedOn w:val="1"/>
    <w:next w:val="1"/>
    <w:qFormat/>
    <w:uiPriority w:val="0"/>
    <w:rPr>
      <w:sz w:val="28"/>
      <w:szCs w:val="20"/>
    </w:rPr>
  </w:style>
  <w:style w:type="paragraph" w:styleId="14">
    <w:name w:val="Body Text"/>
    <w:basedOn w:val="1"/>
    <w:next w:val="15"/>
    <w:link w:val="80"/>
    <w:qFormat/>
    <w:uiPriority w:val="0"/>
    <w:pPr>
      <w:widowControl/>
      <w:snapToGrid w:val="0"/>
      <w:spacing w:before="60" w:after="160" w:line="259" w:lineRule="auto"/>
      <w:ind w:right="113"/>
    </w:pPr>
    <w:rPr>
      <w:kern w:val="0"/>
      <w:sz w:val="18"/>
      <w:szCs w:val="20"/>
    </w:rPr>
  </w:style>
  <w:style w:type="paragraph" w:customStyle="1" w:styleId="15">
    <w:name w:val="xl27"/>
    <w:basedOn w:val="1"/>
    <w:next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4"/>
      <w:szCs w:val="20"/>
    </w:rPr>
  </w:style>
  <w:style w:type="paragraph" w:styleId="16">
    <w:name w:val="Body Text Indent"/>
    <w:basedOn w:val="1"/>
    <w:next w:val="17"/>
    <w:qFormat/>
    <w:uiPriority w:val="0"/>
    <w:pPr>
      <w:spacing w:after="120"/>
      <w:ind w:left="420" w:leftChars="200"/>
    </w:pPr>
    <w:rPr>
      <w:kern w:val="0"/>
      <w:sz w:val="24"/>
      <w:szCs w:val="20"/>
    </w:rPr>
  </w:style>
  <w:style w:type="paragraph" w:styleId="17">
    <w:name w:val="Body Text Indent 2"/>
    <w:basedOn w:val="1"/>
    <w:next w:val="11"/>
    <w:qFormat/>
    <w:uiPriority w:val="0"/>
    <w:pPr>
      <w:spacing w:line="620" w:lineRule="exact"/>
      <w:ind w:firstLine="570"/>
    </w:pPr>
  </w:style>
  <w:style w:type="paragraph" w:styleId="18">
    <w:name w:val="Block Text"/>
    <w:basedOn w:val="1"/>
    <w:qFormat/>
    <w:uiPriority w:val="0"/>
    <w:pPr>
      <w:ind w:left="359" w:leftChars="171" w:right="571" w:rightChars="272" w:firstLine="199" w:firstLineChars="71"/>
    </w:pPr>
    <w:rPr>
      <w:rFonts w:ascii="楷体_GB2312" w:eastAsia="楷体_GB2312"/>
      <w:sz w:val="28"/>
      <w:szCs w:val="20"/>
    </w:rPr>
  </w:style>
  <w:style w:type="paragraph" w:styleId="19">
    <w:name w:val="Plain Text"/>
    <w:basedOn w:val="1"/>
    <w:next w:val="13"/>
    <w:qFormat/>
    <w:uiPriority w:val="0"/>
    <w:rPr>
      <w:rFonts w:ascii="宋体" w:hAnsi="Courier New"/>
      <w:szCs w:val="20"/>
    </w:rPr>
  </w:style>
  <w:style w:type="paragraph" w:styleId="20">
    <w:name w:val="List Bullet 5"/>
    <w:basedOn w:val="1"/>
    <w:qFormat/>
    <w:uiPriority w:val="0"/>
    <w:pPr>
      <w:numPr>
        <w:ilvl w:val="0"/>
        <w:numId w:val="1"/>
      </w:numPr>
    </w:pPr>
  </w:style>
  <w:style w:type="paragraph" w:styleId="21">
    <w:name w:val="Balloon Text"/>
    <w:basedOn w:val="1"/>
    <w:link w:val="69"/>
    <w:qFormat/>
    <w:uiPriority w:val="0"/>
    <w:rPr>
      <w:sz w:val="18"/>
      <w:szCs w:val="18"/>
    </w:rPr>
  </w:style>
  <w:style w:type="paragraph" w:styleId="22">
    <w:name w:val="footer"/>
    <w:basedOn w:val="1"/>
    <w:qFormat/>
    <w:uiPriority w:val="99"/>
    <w:pPr>
      <w:tabs>
        <w:tab w:val="center" w:pos="4153"/>
        <w:tab w:val="right" w:pos="8306"/>
      </w:tabs>
      <w:snapToGrid w:val="0"/>
      <w:jc w:val="left"/>
    </w:pPr>
    <w:rPr>
      <w:kern w:val="0"/>
      <w:sz w:val="18"/>
      <w:szCs w:val="20"/>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toc 1"/>
    <w:basedOn w:val="2"/>
    <w:next w:val="2"/>
    <w:qFormat/>
    <w:uiPriority w:val="0"/>
    <w:pPr>
      <w:jc w:val="left"/>
    </w:pPr>
    <w:rPr>
      <w:rFonts w:ascii="微软雅黑" w:cs="微软雅黑"/>
      <w:kern w:val="0"/>
    </w:rPr>
  </w:style>
  <w:style w:type="paragraph" w:styleId="25">
    <w:name w:val="index heading"/>
    <w:basedOn w:val="1"/>
    <w:next w:val="26"/>
    <w:semiHidden/>
    <w:qFormat/>
    <w:uiPriority w:val="0"/>
    <w:rPr>
      <w:rFonts w:ascii="Arial" w:hAnsi="Arial" w:cs="Arial"/>
      <w:b/>
      <w:bCs/>
    </w:rPr>
  </w:style>
  <w:style w:type="paragraph" w:styleId="26">
    <w:name w:val="index 1"/>
    <w:basedOn w:val="1"/>
    <w:next w:val="1"/>
    <w:qFormat/>
    <w:uiPriority w:val="0"/>
    <w:rPr>
      <w:rFonts w:hint="eastAsia" w:ascii="宋体"/>
      <w:sz w:val="24"/>
      <w:szCs w:val="20"/>
      <w:vertAlign w:val="superscript"/>
    </w:rPr>
  </w:style>
  <w:style w:type="paragraph" w:styleId="27">
    <w:name w:val="Subtitle"/>
    <w:basedOn w:val="1"/>
    <w:next w:val="1"/>
    <w:qFormat/>
    <w:uiPriority w:val="0"/>
    <w:pPr>
      <w:adjustRightInd w:val="0"/>
      <w:snapToGrid w:val="0"/>
      <w:spacing w:line="360" w:lineRule="auto"/>
      <w:jc w:val="center"/>
    </w:pPr>
    <w:rPr>
      <w:rFonts w:ascii="仿宋" w:eastAsia="仿宋"/>
      <w:szCs w:val="22"/>
    </w:rPr>
  </w:style>
  <w:style w:type="paragraph" w:styleId="28">
    <w:name w:val="List"/>
    <w:basedOn w:val="1"/>
    <w:qFormat/>
    <w:uiPriority w:val="0"/>
    <w:pPr>
      <w:ind w:left="200" w:hanging="200" w:hangingChars="200"/>
      <w:jc w:val="left"/>
    </w:pPr>
    <w:rPr>
      <w:rFonts w:cs="宋体"/>
    </w:rPr>
  </w:style>
  <w:style w:type="paragraph" w:styleId="29">
    <w:name w:val="toc 2"/>
    <w:basedOn w:val="1"/>
    <w:next w:val="1"/>
    <w:semiHidden/>
    <w:qFormat/>
    <w:uiPriority w:val="0"/>
    <w:pPr>
      <w:ind w:left="420" w:leftChars="200"/>
    </w:pPr>
  </w:style>
  <w:style w:type="paragraph" w:styleId="30">
    <w:name w:val="Body Text 2"/>
    <w:basedOn w:val="1"/>
    <w:next w:val="1"/>
    <w:link w:val="79"/>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2">
    <w:name w:val="annotation subject"/>
    <w:basedOn w:val="12"/>
    <w:next w:val="12"/>
    <w:link w:val="71"/>
    <w:qFormat/>
    <w:uiPriority w:val="0"/>
    <w:rPr>
      <w:b/>
      <w:bCs/>
    </w:rPr>
  </w:style>
  <w:style w:type="paragraph" w:styleId="33">
    <w:name w:val="Body Text First Indent"/>
    <w:basedOn w:val="14"/>
    <w:unhideWhenUsed/>
    <w:qFormat/>
    <w:uiPriority w:val="0"/>
    <w:pPr>
      <w:ind w:firstLine="420" w:firstLineChars="10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qFormat/>
    <w:uiPriority w:val="0"/>
  </w:style>
  <w:style w:type="character" w:styleId="39">
    <w:name w:val="Emphasis"/>
    <w:basedOn w:val="36"/>
    <w:qFormat/>
    <w:uiPriority w:val="0"/>
    <w:rPr>
      <w:i/>
    </w:rPr>
  </w:style>
  <w:style w:type="character" w:styleId="40">
    <w:name w:val="Hyperlink"/>
    <w:basedOn w:val="36"/>
    <w:qFormat/>
    <w:uiPriority w:val="0"/>
    <w:rPr>
      <w:rFonts w:ascii="Times New Roman" w:hAnsi="Times New Roman" w:eastAsia="宋体" w:cs="宋体"/>
      <w:color w:val="444444"/>
      <w:kern w:val="0"/>
      <w:sz w:val="24"/>
      <w:szCs w:val="28"/>
      <w:u w:val="none"/>
    </w:rPr>
  </w:style>
  <w:style w:type="character" w:styleId="41">
    <w:name w:val="annotation reference"/>
    <w:basedOn w:val="36"/>
    <w:qFormat/>
    <w:uiPriority w:val="0"/>
    <w:rPr>
      <w:sz w:val="21"/>
      <w:szCs w:val="21"/>
    </w:rPr>
  </w:style>
  <w:style w:type="paragraph" w:customStyle="1" w:styleId="42">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43">
    <w:name w:val="纯文本1"/>
    <w:basedOn w:val="1"/>
    <w:qFormat/>
    <w:uiPriority w:val="0"/>
    <w:pPr>
      <w:adjustRightInd w:val="0"/>
    </w:pPr>
    <w:rPr>
      <w:rFonts w:ascii="宋体" w:hAnsi="Courier New"/>
      <w:szCs w:val="20"/>
    </w:rPr>
  </w:style>
  <w:style w:type="paragraph" w:customStyle="1" w:styleId="44">
    <w:name w:val="样式1"/>
    <w:basedOn w:val="25"/>
    <w:next w:val="18"/>
    <w:qFormat/>
    <w:uiPriority w:val="0"/>
    <w:rPr>
      <w:color w:val="000000"/>
      <w:sz w:val="24"/>
    </w:rPr>
  </w:style>
  <w:style w:type="paragraph" w:customStyle="1" w:styleId="45">
    <w:name w:val="样式 正文文本缩进 + 行距: 1.5 倍行距"/>
    <w:basedOn w:val="16"/>
    <w:qFormat/>
    <w:uiPriority w:val="0"/>
    <w:pPr>
      <w:ind w:left="90" w:leftChars="32" w:firstLine="560"/>
    </w:pPr>
  </w:style>
  <w:style w:type="paragraph" w:customStyle="1" w:styleId="46">
    <w:name w:val="标题三三"/>
    <w:basedOn w:val="47"/>
    <w:next w:val="1"/>
    <w:qFormat/>
    <w:uiPriority w:val="0"/>
    <w:pPr>
      <w:spacing w:before="240" w:after="120"/>
      <w:outlineLvl w:val="2"/>
    </w:pPr>
    <w:rPr>
      <w:sz w:val="28"/>
    </w:rPr>
  </w:style>
  <w:style w:type="paragraph" w:customStyle="1" w:styleId="47">
    <w:name w:val="标题二二"/>
    <w:basedOn w:val="48"/>
    <w:next w:val="1"/>
    <w:qFormat/>
    <w:uiPriority w:val="0"/>
    <w:pPr>
      <w:spacing w:before="360" w:after="360"/>
      <w:outlineLvl w:val="1"/>
    </w:pPr>
    <w:rPr>
      <w:sz w:val="32"/>
    </w:rPr>
  </w:style>
  <w:style w:type="paragraph" w:customStyle="1" w:styleId="48">
    <w:name w:val="标题一一"/>
    <w:basedOn w:val="1"/>
    <w:next w:val="1"/>
    <w:qFormat/>
    <w:uiPriority w:val="0"/>
    <w:pPr>
      <w:spacing w:before="960" w:after="480"/>
      <w:jc w:val="left"/>
      <w:outlineLvl w:val="0"/>
    </w:pPr>
    <w:rPr>
      <w:rFonts w:eastAsia="黑体"/>
      <w:sz w:val="44"/>
    </w:rPr>
  </w:style>
  <w:style w:type="paragraph" w:customStyle="1" w:styleId="49">
    <w:name w:val="表格内容"/>
    <w:basedOn w:val="50"/>
    <w:next w:val="1"/>
    <w:qFormat/>
    <w:uiPriority w:val="0"/>
    <w:pPr>
      <w:spacing w:line="240" w:lineRule="atLeast"/>
    </w:pPr>
    <w:rPr>
      <w:rFonts w:eastAsia="宋体"/>
      <w:sz w:val="21"/>
    </w:rPr>
  </w:style>
  <w:style w:type="paragraph" w:customStyle="1" w:styleId="50">
    <w:name w:val="表格标题"/>
    <w:basedOn w:val="1"/>
    <w:next w:val="49"/>
    <w:qFormat/>
    <w:uiPriority w:val="0"/>
    <w:pPr>
      <w:spacing w:line="360" w:lineRule="auto"/>
      <w:jc w:val="center"/>
    </w:pPr>
    <w:rPr>
      <w:rFonts w:eastAsia="黑体"/>
      <w:sz w:val="24"/>
      <w:szCs w:val="20"/>
    </w:rPr>
  </w:style>
  <w:style w:type="paragraph" w:customStyle="1" w:styleId="51">
    <w:name w:val="0正文"/>
    <w:basedOn w:val="31"/>
    <w:qFormat/>
    <w:uiPriority w:val="0"/>
    <w:pPr>
      <w:spacing w:before="0" w:beforeAutospacing="0" w:after="0" w:afterAutospacing="0" w:line="360" w:lineRule="auto"/>
      <w:ind w:firstLine="482"/>
      <w:jc w:val="both"/>
    </w:pPr>
    <w:rPr>
      <w:rFonts w:ascii="Calibri" w:hAnsi="Calibri" w:eastAsia="Arial Unicode MS"/>
      <w:kern w:val="2"/>
      <w:szCs w:val="24"/>
    </w:rPr>
  </w:style>
  <w:style w:type="paragraph" w:customStyle="1" w:styleId="52">
    <w:name w:val="图、表标题"/>
    <w:basedOn w:val="1"/>
    <w:qFormat/>
    <w:uiPriority w:val="0"/>
    <w:pPr>
      <w:adjustRightInd w:val="0"/>
      <w:snapToGrid w:val="0"/>
      <w:spacing w:line="360" w:lineRule="auto"/>
      <w:ind w:firstLine="1032" w:firstLineChars="200"/>
      <w:jc w:val="center"/>
    </w:pPr>
    <w:rPr>
      <w:b/>
      <w:kern w:val="0"/>
      <w:sz w:val="20"/>
    </w:rPr>
  </w:style>
  <w:style w:type="paragraph" w:customStyle="1" w:styleId="53">
    <w:name w:val="表内容"/>
    <w:basedOn w:val="54"/>
    <w:next w:val="1"/>
    <w:qFormat/>
    <w:uiPriority w:val="0"/>
    <w:pPr>
      <w:spacing w:line="360" w:lineRule="exact"/>
      <w:ind w:firstLine="0" w:firstLineChars="0"/>
      <w:jc w:val="center"/>
    </w:pPr>
    <w:rPr>
      <w:szCs w:val="21"/>
    </w:rPr>
  </w:style>
  <w:style w:type="paragraph" w:customStyle="1" w:styleId="54">
    <w:name w:val="24磅正文"/>
    <w:basedOn w:val="1"/>
    <w:qFormat/>
    <w:uiPriority w:val="0"/>
    <w:pPr>
      <w:spacing w:line="480" w:lineRule="exact"/>
      <w:ind w:firstLine="480" w:firstLineChars="200"/>
    </w:pPr>
  </w:style>
  <w:style w:type="paragraph" w:customStyle="1" w:styleId="55">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6">
    <w:name w:val="胡正文"/>
    <w:basedOn w:val="1"/>
    <w:qFormat/>
    <w:uiPriority w:val="0"/>
    <w:pPr>
      <w:spacing w:line="360" w:lineRule="auto"/>
      <w:ind w:firstLine="200" w:firstLineChars="200"/>
      <w:jc w:val="left"/>
    </w:pPr>
    <w:rPr>
      <w:rFonts w:ascii="宋体" w:hAnsi="宋体"/>
      <w:sz w:val="24"/>
      <w:szCs w:val="28"/>
    </w:rPr>
  </w:style>
  <w:style w:type="paragraph" w:customStyle="1" w:styleId="57">
    <w:name w:val="表格"/>
    <w:basedOn w:val="58"/>
    <w:next w:val="1"/>
    <w:qFormat/>
    <w:uiPriority w:val="0"/>
    <w:pPr>
      <w:adjustRightInd w:val="0"/>
      <w:snapToGrid w:val="0"/>
      <w:spacing w:beforeLines="10" w:afterLines="10" w:line="259" w:lineRule="auto"/>
    </w:pPr>
    <w:rPr>
      <w:kern w:val="0"/>
    </w:rPr>
  </w:style>
  <w:style w:type="paragraph" w:customStyle="1" w:styleId="58">
    <w:name w:val="表格式"/>
    <w:basedOn w:val="28"/>
    <w:qFormat/>
    <w:uiPriority w:val="0"/>
    <w:pPr>
      <w:spacing w:before="60" w:after="100" w:line="320" w:lineRule="exact"/>
      <w:ind w:left="0" w:firstLine="0" w:firstLineChars="0"/>
      <w:jc w:val="center"/>
    </w:pPr>
    <w:rPr>
      <w:rFonts w:ascii="宋体" w:hAnsi="Brush Script MT"/>
      <w:szCs w:val="20"/>
    </w:rPr>
  </w:style>
  <w:style w:type="paragraph" w:customStyle="1" w:styleId="59">
    <w:name w:val="正文 + 仿宋_GB2312"/>
    <w:basedOn w:val="1"/>
    <w:qFormat/>
    <w:uiPriority w:val="0"/>
    <w:pPr>
      <w:ind w:firstLine="480" w:firstLineChars="200"/>
    </w:pPr>
    <w:rPr>
      <w:rFonts w:ascii="仿宋_GB2312" w:eastAsia="仿宋_GB2312"/>
      <w:sz w:val="24"/>
    </w:rPr>
  </w:style>
  <w:style w:type="paragraph" w:customStyle="1" w:styleId="60">
    <w:name w:val="D正文"/>
    <w:basedOn w:val="1"/>
    <w:qFormat/>
    <w:uiPriority w:val="0"/>
    <w:pPr>
      <w:ind w:firstLine="200" w:firstLineChars="200"/>
    </w:pPr>
    <w:rPr>
      <w:rFonts w:ascii="宋体" w:hAnsi="宋体"/>
      <w:sz w:val="24"/>
    </w:rPr>
  </w:style>
  <w:style w:type="paragraph" w:customStyle="1" w:styleId="61">
    <w:name w:val="图表标注"/>
    <w:basedOn w:val="1"/>
    <w:qFormat/>
    <w:uiPriority w:val="0"/>
    <w:pPr>
      <w:spacing w:line="480" w:lineRule="exact"/>
      <w:jc w:val="center"/>
    </w:pPr>
    <w:rPr>
      <w:rFonts w:eastAsia="黑体"/>
      <w:kern w:val="0"/>
      <w:sz w:val="20"/>
      <w:szCs w:val="20"/>
    </w:rPr>
  </w:style>
  <w:style w:type="paragraph" w:customStyle="1" w:styleId="62">
    <w:name w:val="环评正文"/>
    <w:basedOn w:val="1"/>
    <w:qFormat/>
    <w:uiPriority w:val="0"/>
    <w:pPr>
      <w:spacing w:beforeLines="30"/>
      <w:ind w:firstLine="480" w:firstLineChars="200"/>
    </w:pPr>
    <w:rPr>
      <w:rFonts w:ascii="Tahoma" w:hAnsi="Tahoma" w:cs="Tahoma"/>
      <w:kern w:val="0"/>
      <w:sz w:val="24"/>
    </w:rPr>
  </w:style>
  <w:style w:type="paragraph" w:customStyle="1" w:styleId="63">
    <w:name w:val="正文（用）"/>
    <w:basedOn w:val="1"/>
    <w:qFormat/>
    <w:uiPriority w:val="0"/>
    <w:pPr>
      <w:spacing w:line="360" w:lineRule="auto"/>
      <w:ind w:firstLine="480" w:firstLineChars="200"/>
      <w:jc w:val="left"/>
    </w:pPr>
    <w:rPr>
      <w:rFonts w:ascii="宋体" w:hAnsi="宋体" w:cs="宋体"/>
      <w:sz w:val="24"/>
    </w:rPr>
  </w:style>
  <w:style w:type="paragraph" w:customStyle="1" w:styleId="64">
    <w:name w:val="正文何黎"/>
    <w:basedOn w:val="1"/>
    <w:qFormat/>
    <w:uiPriority w:val="0"/>
    <w:pPr>
      <w:spacing w:line="360" w:lineRule="auto"/>
      <w:ind w:firstLine="480" w:firstLineChars="200"/>
    </w:pPr>
    <w:rPr>
      <w:rFonts w:hAnsi="宋体"/>
      <w:sz w:val="24"/>
    </w:rPr>
  </w:style>
  <w:style w:type="paragraph" w:customStyle="1" w:styleId="65">
    <w:name w:val="图表"/>
    <w:basedOn w:val="1"/>
    <w:qFormat/>
    <w:uiPriority w:val="0"/>
    <w:pPr>
      <w:adjustRightInd w:val="0"/>
      <w:snapToGrid w:val="0"/>
      <w:jc w:val="center"/>
    </w:pPr>
    <w:rPr>
      <w:color w:val="000000"/>
    </w:rPr>
  </w:style>
  <w:style w:type="paragraph" w:customStyle="1" w:styleId="66">
    <w:name w:val="正文思密达"/>
    <w:basedOn w:val="1"/>
    <w:qFormat/>
    <w:uiPriority w:val="0"/>
    <w:pPr>
      <w:spacing w:line="360" w:lineRule="auto"/>
      <w:ind w:right="105" w:rightChars="50" w:firstLine="480" w:firstLineChars="200"/>
    </w:pPr>
    <w:rPr>
      <w:rFonts w:ascii="Calibri" w:hAnsi="Calibri"/>
      <w:sz w:val="24"/>
    </w:rPr>
  </w:style>
  <w:style w:type="character" w:customStyle="1" w:styleId="67">
    <w:name w:val="fontstyle01"/>
    <w:qFormat/>
    <w:uiPriority w:val="0"/>
    <w:rPr>
      <w:rFonts w:hint="eastAsia" w:ascii="宋体" w:hAnsi="宋体" w:eastAsia="宋体"/>
      <w:color w:val="000000"/>
      <w:sz w:val="24"/>
      <w:szCs w:val="24"/>
    </w:rPr>
  </w:style>
  <w:style w:type="character" w:customStyle="1" w:styleId="68">
    <w:name w:val="fontstyle21"/>
    <w:qFormat/>
    <w:uiPriority w:val="0"/>
    <w:rPr>
      <w:rFonts w:hint="default" w:ascii="TimesNewRomanPSMT" w:hAnsi="TimesNewRomanPSMT"/>
      <w:color w:val="000000"/>
      <w:sz w:val="24"/>
      <w:szCs w:val="24"/>
    </w:rPr>
  </w:style>
  <w:style w:type="character" w:customStyle="1" w:styleId="69">
    <w:name w:val="批注框文本 Char"/>
    <w:basedOn w:val="36"/>
    <w:link w:val="21"/>
    <w:qFormat/>
    <w:uiPriority w:val="0"/>
    <w:rPr>
      <w:kern w:val="2"/>
      <w:sz w:val="18"/>
      <w:szCs w:val="18"/>
    </w:rPr>
  </w:style>
  <w:style w:type="character" w:customStyle="1" w:styleId="70">
    <w:name w:val="批注文字 Char"/>
    <w:basedOn w:val="36"/>
    <w:link w:val="12"/>
    <w:qFormat/>
    <w:uiPriority w:val="0"/>
    <w:rPr>
      <w:kern w:val="2"/>
      <w:sz w:val="21"/>
      <w:szCs w:val="24"/>
    </w:rPr>
  </w:style>
  <w:style w:type="character" w:customStyle="1" w:styleId="71">
    <w:name w:val="批注主题 Char"/>
    <w:basedOn w:val="70"/>
    <w:link w:val="32"/>
    <w:qFormat/>
    <w:uiPriority w:val="0"/>
    <w:rPr>
      <w:kern w:val="2"/>
      <w:sz w:val="21"/>
      <w:szCs w:val="24"/>
    </w:rPr>
  </w:style>
  <w:style w:type="paragraph" w:customStyle="1" w:styleId="72">
    <w:name w:val="A正文"/>
    <w:basedOn w:val="1"/>
    <w:next w:val="14"/>
    <w:qFormat/>
    <w:uiPriority w:val="0"/>
    <w:pPr>
      <w:spacing w:line="360" w:lineRule="auto"/>
      <w:ind w:firstLine="200" w:firstLineChars="200"/>
    </w:pPr>
    <w:rPr>
      <w:sz w:val="24"/>
    </w:rPr>
  </w:style>
  <w:style w:type="paragraph" w:customStyle="1" w:styleId="73">
    <w:name w:val="正文修改"/>
    <w:basedOn w:val="1"/>
    <w:qFormat/>
    <w:uiPriority w:val="0"/>
    <w:pPr>
      <w:spacing w:line="360" w:lineRule="auto"/>
      <w:ind w:firstLine="480" w:firstLineChars="200"/>
    </w:pPr>
    <w:rPr>
      <w:rFonts w:cs="宋体"/>
      <w:kern w:val="0"/>
      <w:sz w:val="24"/>
    </w:rPr>
  </w:style>
  <w:style w:type="paragraph" w:customStyle="1" w:styleId="74">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75">
    <w:name w:val="正文(首行缩进)"/>
    <w:basedOn w:val="1"/>
    <w:qFormat/>
    <w:uiPriority w:val="0"/>
    <w:pPr>
      <w:adjustRightInd w:val="0"/>
      <w:snapToGrid w:val="0"/>
      <w:spacing w:line="360" w:lineRule="auto"/>
      <w:ind w:firstLine="200" w:firstLineChars="200"/>
    </w:pPr>
    <w:rPr>
      <w:snapToGrid w:val="0"/>
      <w:sz w:val="24"/>
    </w:rPr>
  </w:style>
  <w:style w:type="paragraph" w:customStyle="1" w:styleId="76">
    <w:name w:val="Char"/>
    <w:basedOn w:val="1"/>
    <w:next w:val="11"/>
    <w:qFormat/>
    <w:uiPriority w:val="0"/>
    <w:pPr>
      <w:jc w:val="center"/>
    </w:pPr>
    <w:rPr>
      <w:rFonts w:ascii="宋体" w:hAnsi="宋体"/>
    </w:rPr>
  </w:style>
  <w:style w:type="paragraph" w:customStyle="1" w:styleId="77">
    <w:name w:val="4表头、图头格式"/>
    <w:basedOn w:val="1"/>
    <w:qFormat/>
    <w:uiPriority w:val="0"/>
    <w:pPr>
      <w:jc w:val="center"/>
    </w:pPr>
    <w:rPr>
      <w:rFonts w:cs="Calibri"/>
      <w:b/>
      <w:kern w:val="0"/>
      <w:szCs w:val="21"/>
    </w:rPr>
  </w:style>
  <w:style w:type="paragraph" w:customStyle="1" w:styleId="78">
    <w:name w:val="样式 12.5 磅 行距: 固定值 22 磅 首行缩进:  2 字符"/>
    <w:basedOn w:val="1"/>
    <w:qFormat/>
    <w:uiPriority w:val="0"/>
    <w:pPr>
      <w:spacing w:line="440" w:lineRule="exact"/>
      <w:ind w:firstLine="200" w:firstLineChars="200"/>
    </w:pPr>
    <w:rPr>
      <w:sz w:val="25"/>
    </w:rPr>
  </w:style>
  <w:style w:type="character" w:customStyle="1" w:styleId="79">
    <w:name w:val="正文文本 2 Char"/>
    <w:link w:val="30"/>
    <w:qFormat/>
    <w:uiPriority w:val="0"/>
    <w:rPr>
      <w:kern w:val="2"/>
      <w:sz w:val="21"/>
      <w:szCs w:val="24"/>
    </w:rPr>
  </w:style>
  <w:style w:type="character" w:customStyle="1" w:styleId="80">
    <w:name w:val="正文文本 Char"/>
    <w:link w:val="14"/>
    <w:qFormat/>
    <w:locked/>
    <w:uiPriority w:val="0"/>
    <w:rPr>
      <w:sz w:val="18"/>
    </w:rPr>
  </w:style>
  <w:style w:type="paragraph" w:customStyle="1" w:styleId="81">
    <w:name w:val="报告正文"/>
    <w:basedOn w:val="1"/>
    <w:qFormat/>
    <w:uiPriority w:val="0"/>
    <w:pPr>
      <w:adjustRightInd w:val="0"/>
      <w:snapToGrid w:val="0"/>
      <w:spacing w:line="560" w:lineRule="exact"/>
      <w:ind w:firstLine="200" w:firstLineChars="200"/>
    </w:pPr>
    <w:rPr>
      <w:sz w:val="24"/>
      <w:szCs w:val="20"/>
    </w:rPr>
  </w:style>
  <w:style w:type="paragraph" w:customStyle="1" w:styleId="82">
    <w:name w:val="表头。图尾"/>
    <w:basedOn w:val="1"/>
    <w:next w:val="1"/>
    <w:qFormat/>
    <w:uiPriority w:val="0"/>
    <w:pPr>
      <w:keepNext/>
      <w:jc w:val="center"/>
    </w:pPr>
    <w:rPr>
      <w:b/>
      <w:spacing w:val="10"/>
      <w:kern w:val="21"/>
    </w:rPr>
  </w:style>
  <w:style w:type="paragraph" w:customStyle="1" w:styleId="83">
    <w:name w:val="表格内格式"/>
    <w:basedOn w:val="84"/>
    <w:qFormat/>
    <w:uiPriority w:val="0"/>
    <w:pPr>
      <w:spacing w:line="240" w:lineRule="auto"/>
      <w:ind w:firstLine="0" w:firstLineChars="0"/>
      <w:jc w:val="center"/>
    </w:pPr>
    <w:rPr>
      <w:rFonts w:cs="宋体"/>
      <w:sz w:val="18"/>
    </w:rPr>
  </w:style>
  <w:style w:type="paragraph" w:customStyle="1" w:styleId="84">
    <w:name w:val="正文01 Char Char"/>
    <w:basedOn w:val="1"/>
    <w:qFormat/>
    <w:uiPriority w:val="0"/>
    <w:pPr>
      <w:adjustRightInd w:val="0"/>
      <w:snapToGrid w:val="0"/>
      <w:spacing w:before="60" w:line="460" w:lineRule="exact"/>
      <w:ind w:firstLine="200" w:firstLineChars="200"/>
    </w:pPr>
    <w:rPr>
      <w:snapToGrid w:val="0"/>
      <w:kern w:val="0"/>
    </w:rPr>
  </w:style>
  <w:style w:type="paragraph" w:customStyle="1" w:styleId="85">
    <w:name w:val="Table Paragraph"/>
    <w:basedOn w:val="1"/>
    <w:qFormat/>
    <w:uiPriority w:val="1"/>
    <w:pPr>
      <w:spacing w:before="175"/>
    </w:pPr>
    <w:rPr>
      <w:rFonts w:ascii="新宋体" w:hAnsi="新宋体" w:eastAsia="新宋体" w:cs="新宋体"/>
      <w:lang w:val="zh-CN" w:eastAsia="zh-CN" w:bidi="zh-CN"/>
    </w:rPr>
  </w:style>
  <w:style w:type="character" w:customStyle="1" w:styleId="86">
    <w:name w:val="font01"/>
    <w:basedOn w:val="36"/>
    <w:qFormat/>
    <w:uiPriority w:val="0"/>
    <w:rPr>
      <w:rFonts w:hint="eastAsia" w:ascii="宋体" w:hAnsi="宋体" w:eastAsia="宋体" w:cs="宋体"/>
      <w:color w:val="000000"/>
      <w:sz w:val="22"/>
      <w:szCs w:val="22"/>
      <w:u w:val="none"/>
    </w:rPr>
  </w:style>
  <w:style w:type="character" w:customStyle="1" w:styleId="87">
    <w:name w:val="font21"/>
    <w:basedOn w:val="36"/>
    <w:qFormat/>
    <w:uiPriority w:val="0"/>
    <w:rPr>
      <w:rFonts w:hint="default" w:ascii="Times New Roman" w:hAnsi="Times New Roman" w:cs="Times New Roman"/>
      <w:color w:val="000000"/>
      <w:sz w:val="22"/>
      <w:szCs w:val="22"/>
      <w:u w:val="none"/>
    </w:rPr>
  </w:style>
  <w:style w:type="character" w:customStyle="1" w:styleId="88">
    <w:name w:val="font11"/>
    <w:basedOn w:val="36"/>
    <w:qFormat/>
    <w:uiPriority w:val="0"/>
    <w:rPr>
      <w:rFonts w:hint="eastAsia" w:ascii="宋体" w:hAnsi="宋体" w:eastAsia="宋体" w:cs="宋体"/>
      <w:color w:val="000000"/>
      <w:sz w:val="24"/>
      <w:szCs w:val="24"/>
      <w:u w:val="none"/>
    </w:rPr>
  </w:style>
  <w:style w:type="character" w:customStyle="1" w:styleId="89">
    <w:name w:val="font51"/>
    <w:basedOn w:val="3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70BF6-6A53-40B5-A3A2-23BF8543B9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48294</Words>
  <Characters>55132</Characters>
  <Lines>103</Lines>
  <Paragraphs>110</Paragraphs>
  <TotalTime>1</TotalTime>
  <ScaleCrop>false</ScaleCrop>
  <LinksUpToDate>false</LinksUpToDate>
  <CharactersWithSpaces>55677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2022-05-19T03:24:00Z</dcterms:created>
  <dc:creator>柳杨</dc:creator>
  <cp:lastModifiedBy>zz</cp:lastModifiedBy>
  <cp:lastPrinted>2022-03-10T13:07:00Z</cp:lastPrinted>
  <dcterms:modified xsi:type="dcterms:W3CDTF">2023-01-13T02:54:28Z</dcterms:modified>
  <dc:title>建设项目环境影响报告表</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3F34C51EB8534EA18CB6CB0D467C03AB</vt:lpwstr>
  </property>
</Properties>
</file>