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4D99A7">
      <w:pPr>
        <w:rPr>
          <w:rFonts w:ascii="Times New Roman" w:hAnsi="Times New Roman" w:cs="Times New Roman"/>
        </w:rPr>
      </w:pPr>
      <w:bookmarkStart w:id="0" w:name="_Toc2320"/>
      <w:bookmarkStart w:id="1" w:name="_Toc5194"/>
      <w:bookmarkStart w:id="2" w:name="_Toc9697"/>
      <w:bookmarkStart w:id="3" w:name="_Toc18952"/>
    </w:p>
    <w:p w14:paraId="0A17FD11">
      <w:pPr>
        <w:rPr>
          <w:rFonts w:ascii="Times New Roman" w:hAnsi="Times New Roman" w:cs="Times New Roman"/>
        </w:rPr>
      </w:pPr>
    </w:p>
    <w:p w14:paraId="1B20C3E4">
      <w:pPr>
        <w:rPr>
          <w:rFonts w:hint="eastAsia" w:ascii="Times New Roman" w:hAnsi="Times New Roman" w:cs="Times New Roman"/>
        </w:rPr>
      </w:pPr>
    </w:p>
    <w:p w14:paraId="3E0C84DE">
      <w:pPr>
        <w:rPr>
          <w:rFonts w:ascii="Times New Roman" w:hAnsi="Times New Roman" w:cs="Times New Roman"/>
        </w:rPr>
      </w:pPr>
    </w:p>
    <w:bookmarkEnd w:id="0"/>
    <w:bookmarkEnd w:id="1"/>
    <w:bookmarkEnd w:id="2"/>
    <w:bookmarkEnd w:id="3"/>
    <w:p w14:paraId="01521364">
      <w:pPr>
        <w:spacing w:line="240" w:lineRule="auto"/>
        <w:jc w:val="center"/>
        <w:rPr>
          <w:rFonts w:ascii="Times New Roman" w:hAnsi="Times New Roman" w:eastAsia="方正小标宋简体" w:cs="Times New Roman"/>
          <w:sz w:val="48"/>
          <w:szCs w:val="48"/>
        </w:rPr>
      </w:pPr>
      <w:r>
        <w:rPr>
          <w:rFonts w:hint="eastAsia" w:ascii="Times New Roman" w:hAnsi="Times New Roman" w:eastAsia="方正小标宋简体" w:cs="Times New Roman"/>
          <w:sz w:val="48"/>
          <w:szCs w:val="48"/>
        </w:rPr>
        <w:t>杜集区石台镇乡村地区</w:t>
      </w:r>
      <w:r>
        <w:rPr>
          <w:rFonts w:ascii="Times New Roman" w:hAnsi="Times New Roman" w:eastAsia="方正小标宋简体" w:cs="Times New Roman"/>
          <w:sz w:val="48"/>
          <w:szCs w:val="48"/>
        </w:rPr>
        <w:t>“通则式”</w:t>
      </w:r>
    </w:p>
    <w:p w14:paraId="51279664">
      <w:pPr>
        <w:spacing w:line="240" w:lineRule="auto"/>
        <w:jc w:val="center"/>
        <w:rPr>
          <w:rFonts w:ascii="Times New Roman" w:hAnsi="Times New Roman" w:cs="Times New Roman"/>
        </w:rPr>
      </w:pPr>
      <w:r>
        <w:rPr>
          <w:rFonts w:ascii="Times New Roman" w:hAnsi="Times New Roman" w:eastAsia="方正小标宋简体" w:cs="Times New Roman"/>
          <w:sz w:val="48"/>
          <w:szCs w:val="48"/>
        </w:rPr>
        <w:t>规划技术管理规定</w:t>
      </w:r>
    </w:p>
    <w:p w14:paraId="76C14ADF">
      <w:pPr>
        <w:jc w:val="center"/>
        <w:rPr>
          <w:rFonts w:ascii="Times New Roman" w:hAnsi="Times New Roman" w:cs="Times New Roman" w:eastAsiaTheme="majorEastAsia"/>
          <w:sz w:val="44"/>
          <w:szCs w:val="44"/>
        </w:rPr>
      </w:pPr>
    </w:p>
    <w:p w14:paraId="70625754">
      <w:pPr>
        <w:jc w:val="center"/>
        <w:rPr>
          <w:rFonts w:ascii="Times New Roman" w:hAnsi="Times New Roman" w:cs="Times New Roman" w:eastAsiaTheme="majorEastAsia"/>
          <w:sz w:val="44"/>
          <w:szCs w:val="44"/>
        </w:rPr>
      </w:pPr>
    </w:p>
    <w:p w14:paraId="07BD1759">
      <w:pPr>
        <w:jc w:val="center"/>
        <w:rPr>
          <w:rFonts w:ascii="Times New Roman" w:hAnsi="Times New Roman" w:cs="Times New Roman" w:eastAsiaTheme="majorEastAsia"/>
          <w:sz w:val="44"/>
          <w:szCs w:val="44"/>
        </w:rPr>
      </w:pPr>
    </w:p>
    <w:p w14:paraId="7C355F1C">
      <w:pPr>
        <w:jc w:val="center"/>
        <w:rPr>
          <w:rFonts w:ascii="Times New Roman" w:hAnsi="Times New Roman" w:cs="Times New Roman" w:eastAsiaTheme="majorEastAsia"/>
          <w:sz w:val="44"/>
          <w:szCs w:val="44"/>
        </w:rPr>
      </w:pPr>
    </w:p>
    <w:p w14:paraId="268EB4B4">
      <w:pPr>
        <w:jc w:val="center"/>
        <w:rPr>
          <w:rFonts w:ascii="Times New Roman" w:hAnsi="Times New Roman" w:cs="Times New Roman" w:eastAsiaTheme="majorEastAsia"/>
          <w:sz w:val="44"/>
          <w:szCs w:val="44"/>
        </w:rPr>
      </w:pPr>
    </w:p>
    <w:p w14:paraId="4BB716DC">
      <w:pPr>
        <w:jc w:val="center"/>
        <w:rPr>
          <w:rFonts w:ascii="Times New Roman" w:hAnsi="Times New Roman" w:cs="Times New Roman" w:eastAsiaTheme="majorEastAsia"/>
          <w:sz w:val="44"/>
          <w:szCs w:val="44"/>
        </w:rPr>
      </w:pPr>
    </w:p>
    <w:p w14:paraId="49F4DBF9">
      <w:pPr>
        <w:jc w:val="center"/>
        <w:rPr>
          <w:rFonts w:ascii="Times New Roman" w:hAnsi="Times New Roman" w:cs="Times New Roman" w:eastAsiaTheme="majorEastAsia"/>
          <w:sz w:val="44"/>
          <w:szCs w:val="44"/>
        </w:rPr>
      </w:pPr>
    </w:p>
    <w:p w14:paraId="51A7C86E">
      <w:pPr>
        <w:jc w:val="center"/>
        <w:rPr>
          <w:rFonts w:ascii="Times New Roman" w:hAnsi="Times New Roman" w:cs="Times New Roman" w:eastAsiaTheme="majorEastAsia"/>
          <w:sz w:val="44"/>
          <w:szCs w:val="44"/>
        </w:rPr>
      </w:pPr>
    </w:p>
    <w:p w14:paraId="2CC11029">
      <w:pPr>
        <w:jc w:val="center"/>
        <w:rPr>
          <w:rFonts w:ascii="Times New Roman" w:hAnsi="Times New Roman" w:cs="Times New Roman" w:eastAsiaTheme="majorEastAsia"/>
          <w:sz w:val="44"/>
          <w:szCs w:val="44"/>
        </w:rPr>
      </w:pPr>
    </w:p>
    <w:p w14:paraId="0595B377">
      <w:pPr>
        <w:jc w:val="center"/>
        <w:rPr>
          <w:rFonts w:ascii="Times New Roman" w:hAnsi="Times New Roman" w:cs="Times New Roman" w:eastAsiaTheme="majorEastAsia"/>
          <w:sz w:val="44"/>
          <w:szCs w:val="44"/>
        </w:rPr>
      </w:pPr>
    </w:p>
    <w:p w14:paraId="5B12830B">
      <w:pPr>
        <w:jc w:val="center"/>
        <w:rPr>
          <w:rFonts w:ascii="Times New Roman" w:hAnsi="Times New Roman" w:cs="Times New Roman" w:eastAsiaTheme="majorEastAsia"/>
          <w:sz w:val="44"/>
          <w:szCs w:val="44"/>
        </w:rPr>
      </w:pPr>
    </w:p>
    <w:p w14:paraId="703A1A47">
      <w:pPr>
        <w:jc w:val="center"/>
        <w:rPr>
          <w:rFonts w:ascii="Times New Roman" w:hAnsi="Times New Roman" w:cs="Times New Roman" w:eastAsiaTheme="majorEastAsia"/>
          <w:sz w:val="44"/>
          <w:szCs w:val="44"/>
        </w:rPr>
      </w:pPr>
    </w:p>
    <w:p w14:paraId="000F1B78">
      <w:pPr>
        <w:jc w:val="center"/>
        <w:rPr>
          <w:rFonts w:ascii="Times New Roman" w:hAnsi="Times New Roman" w:cs="Times New Roman" w:eastAsiaTheme="majorEastAsia"/>
          <w:sz w:val="44"/>
          <w:szCs w:val="44"/>
        </w:rPr>
      </w:pPr>
    </w:p>
    <w:p w14:paraId="5D68ED56">
      <w:pPr>
        <w:jc w:val="center"/>
        <w:rPr>
          <w:rFonts w:ascii="Times New Roman" w:hAnsi="Times New Roman" w:cs="Times New Roman" w:eastAsiaTheme="majorEastAsia"/>
          <w:sz w:val="44"/>
          <w:szCs w:val="44"/>
        </w:rPr>
      </w:pPr>
    </w:p>
    <w:p w14:paraId="69F4B137">
      <w:pPr>
        <w:jc w:val="center"/>
        <w:rPr>
          <w:rFonts w:ascii="Times New Roman" w:hAnsi="Times New Roman" w:cs="Times New Roman" w:eastAsiaTheme="majorEastAsia"/>
          <w:sz w:val="44"/>
          <w:szCs w:val="44"/>
        </w:rPr>
      </w:pPr>
    </w:p>
    <w:p w14:paraId="4F85B527">
      <w:pPr>
        <w:jc w:val="center"/>
        <w:rPr>
          <w:rFonts w:ascii="Times New Roman" w:hAnsi="Times New Roman" w:cs="Times New Roman" w:eastAsiaTheme="majorEastAsia"/>
          <w:sz w:val="44"/>
          <w:szCs w:val="44"/>
        </w:rPr>
      </w:pPr>
    </w:p>
    <w:p w14:paraId="6876092D">
      <w:pPr>
        <w:jc w:val="center"/>
        <w:rPr>
          <w:rFonts w:hint="eastAsia" w:ascii="Times New Roman" w:hAnsi="Times New Roman" w:cs="Times New Roman" w:eastAsiaTheme="majorEastAsia"/>
          <w:sz w:val="44"/>
          <w:szCs w:val="44"/>
        </w:rPr>
      </w:pPr>
    </w:p>
    <w:p w14:paraId="5B3F471B">
      <w:pPr>
        <w:widowControl/>
        <w:spacing w:line="400" w:lineRule="exact"/>
        <w:jc w:val="center"/>
        <w:rPr>
          <w:rFonts w:ascii="Times New Roman" w:hAnsi="Times New Roman" w:eastAsia="黑体" w:cs="Times New Roman"/>
          <w:kern w:val="0"/>
          <w:shd w:val="clear" w:color="auto" w:fill="FFFFFF"/>
        </w:rPr>
      </w:pPr>
      <w:r>
        <w:rPr>
          <w:rFonts w:hint="eastAsia" w:ascii="Times New Roman" w:hAnsi="Times New Roman" w:eastAsia="黑体" w:cs="Times New Roman"/>
          <w:kern w:val="0"/>
          <w:shd w:val="clear" w:color="auto" w:fill="FFFFFF"/>
        </w:rPr>
        <w:t>淮北市石台镇人民政府</w:t>
      </w:r>
    </w:p>
    <w:p w14:paraId="4BC76F48">
      <w:pPr>
        <w:widowControl/>
        <w:spacing w:line="400" w:lineRule="exact"/>
        <w:jc w:val="center"/>
        <w:rPr>
          <w:rFonts w:ascii="Times New Roman" w:hAnsi="Times New Roman" w:eastAsia="楷体_GB2312" w:cs="Times New Roman"/>
          <w:kern w:val="0"/>
          <w:shd w:val="clear" w:color="auto" w:fill="FFFFFF"/>
        </w:rPr>
      </w:pPr>
      <w:r>
        <w:rPr>
          <w:rFonts w:ascii="Times New Roman" w:hAnsi="Times New Roman" w:eastAsia="黑体" w:cs="Times New Roman"/>
          <w:kern w:val="0"/>
          <w:shd w:val="clear" w:color="auto" w:fill="FFFFFF"/>
        </w:rPr>
        <w:t>2026年</w:t>
      </w:r>
      <w:r>
        <w:rPr>
          <w:rFonts w:hint="eastAsia" w:ascii="Times New Roman" w:hAnsi="Times New Roman" w:eastAsia="黑体" w:cs="Times New Roman"/>
          <w:kern w:val="0"/>
          <w:shd w:val="clear" w:color="auto" w:fill="FFFFFF"/>
        </w:rPr>
        <w:t>8</w:t>
      </w:r>
      <w:r>
        <w:rPr>
          <w:rFonts w:ascii="Times New Roman" w:hAnsi="Times New Roman" w:eastAsia="黑体" w:cs="Times New Roman"/>
          <w:kern w:val="0"/>
          <w:shd w:val="clear" w:color="auto" w:fill="FFFFFF"/>
        </w:rPr>
        <w:t>月</w:t>
      </w:r>
    </w:p>
    <w:p w14:paraId="3D04F25A">
      <w:pPr>
        <w:widowControl/>
        <w:spacing w:line="600" w:lineRule="exact"/>
        <w:jc w:val="center"/>
        <w:rPr>
          <w:rFonts w:ascii="Times New Roman" w:hAnsi="Times New Roman" w:eastAsia="楷体_GB2312" w:cs="Times New Roman"/>
          <w:kern w:val="0"/>
          <w:shd w:val="clear" w:color="auto" w:fill="FFFFFF"/>
        </w:rPr>
        <w:sectPr>
          <w:pgSz w:w="11906" w:h="16838"/>
          <w:pgMar w:top="1440" w:right="1800" w:bottom="1440" w:left="1800" w:header="851" w:footer="992" w:gutter="0"/>
          <w:cols w:space="425" w:num="1"/>
          <w:docGrid w:type="lines" w:linePitch="312" w:charSpace="0"/>
        </w:sectPr>
      </w:pPr>
    </w:p>
    <w:p w14:paraId="01D22E55">
      <w:pPr>
        <w:spacing w:line="384" w:lineRule="auto"/>
        <w:ind w:firstLine="76"/>
        <w:jc w:val="center"/>
        <w:rPr>
          <w:rFonts w:ascii="Times New Roman" w:hAnsi="Times New Roman" w:cs="Times New Roman"/>
        </w:rPr>
      </w:pPr>
    </w:p>
    <w:p w14:paraId="774818DD">
      <w:pPr>
        <w:spacing w:line="384" w:lineRule="auto"/>
        <w:ind w:firstLine="76"/>
        <w:jc w:val="center"/>
        <w:rPr>
          <w:rFonts w:ascii="Times New Roman" w:hAnsi="Times New Roman" w:eastAsia="仿宋" w:cs="Times New Roman"/>
          <w:bCs/>
          <w:sz w:val="28"/>
          <w:szCs w:val="28"/>
        </w:rPr>
      </w:pPr>
      <w:r>
        <w:rPr>
          <w:rFonts w:ascii="Times New Roman" w:hAnsi="Times New Roman" w:cs="Times New Roman"/>
        </w:rPr>
        <w:drawing>
          <wp:inline distT="0" distB="0" distL="0" distR="0">
            <wp:extent cx="5175250" cy="3702685"/>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198111" cy="3719284"/>
                    </a:xfrm>
                    <a:prstGeom prst="rect">
                      <a:avLst/>
                    </a:prstGeom>
                  </pic:spPr>
                </pic:pic>
              </a:graphicData>
            </a:graphic>
          </wp:inline>
        </w:drawing>
      </w:r>
    </w:p>
    <w:p w14:paraId="23EEDA03">
      <w:pPr>
        <w:spacing w:line="384" w:lineRule="auto"/>
        <w:ind w:firstLine="76"/>
        <w:jc w:val="center"/>
        <w:rPr>
          <w:rFonts w:ascii="Times New Roman" w:hAnsi="Times New Roman" w:eastAsia="仿宋" w:cs="Times New Roman"/>
          <w:bCs/>
          <w:sz w:val="28"/>
          <w:szCs w:val="28"/>
        </w:rPr>
      </w:pPr>
      <w:r>
        <w:rPr>
          <w:rFonts w:ascii="Times New Roman" w:hAnsi="Times New Roman" w:cs="Times New Roman"/>
        </w:rPr>
        <w:drawing>
          <wp:inline distT="0" distB="0" distL="0" distR="0">
            <wp:extent cx="5274310" cy="3762375"/>
            <wp:effectExtent l="0" t="0" r="2540"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5274310" cy="3762375"/>
                    </a:xfrm>
                    <a:prstGeom prst="rect">
                      <a:avLst/>
                    </a:prstGeom>
                  </pic:spPr>
                </pic:pic>
              </a:graphicData>
            </a:graphic>
          </wp:inline>
        </w:drawing>
      </w:r>
    </w:p>
    <w:p w14:paraId="1D2E7C16">
      <w:pPr>
        <w:spacing w:line="384" w:lineRule="auto"/>
        <w:ind w:firstLine="76"/>
        <w:jc w:val="center"/>
        <w:rPr>
          <w:rFonts w:ascii="Times New Roman" w:hAnsi="Times New Roman" w:eastAsia="等线" w:cs="Times New Roman"/>
          <w:b/>
          <w:bCs/>
          <w:sz w:val="28"/>
          <w:szCs w:val="28"/>
        </w:rPr>
      </w:pPr>
    </w:p>
    <w:p w14:paraId="1B5B070D">
      <w:pPr>
        <w:spacing w:line="384" w:lineRule="auto"/>
        <w:ind w:firstLine="76"/>
        <w:rPr>
          <w:rFonts w:ascii="Times New Roman" w:hAnsi="Times New Roman" w:eastAsia="等线" w:cs="Times New Roman"/>
          <w:b/>
          <w:bCs/>
          <w:sz w:val="28"/>
          <w:szCs w:val="28"/>
        </w:rPr>
        <w:sectPr>
          <w:headerReference r:id="rId5" w:type="default"/>
          <w:footerReference r:id="rId6" w:type="default"/>
          <w:pgSz w:w="11906" w:h="16838"/>
          <w:pgMar w:top="1440" w:right="1800" w:bottom="1440" w:left="1800" w:header="851" w:footer="992" w:gutter="0"/>
          <w:pgNumType w:fmt="upperRoman" w:start="1"/>
          <w:cols w:space="425" w:num="1"/>
          <w:docGrid w:type="lines" w:linePitch="312" w:charSpace="0"/>
        </w:sectPr>
      </w:pPr>
    </w:p>
    <w:p w14:paraId="0E2A33E6">
      <w:pPr>
        <w:spacing w:line="384" w:lineRule="auto"/>
        <w:rPr>
          <w:rFonts w:ascii="Times New Roman" w:hAnsi="Times New Roman" w:eastAsia="仿宋_GB2312" w:cs="Times New Roman"/>
          <w:b/>
          <w:bCs/>
          <w:sz w:val="28"/>
          <w:szCs w:val="28"/>
        </w:rPr>
      </w:pPr>
    </w:p>
    <w:p w14:paraId="0415BE8C">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项目名称：</w:t>
      </w:r>
      <w:r>
        <w:rPr>
          <w:rFonts w:hint="eastAsia" w:ascii="Times New Roman" w:hAnsi="Times New Roman" w:eastAsia="仿宋_GB2312" w:cs="Times New Roman"/>
          <w:b/>
          <w:bCs/>
          <w:sz w:val="28"/>
          <w:szCs w:val="28"/>
        </w:rPr>
        <w:t>杜集区石台镇乡村地区</w:t>
      </w:r>
      <w:r>
        <w:rPr>
          <w:rFonts w:ascii="Times New Roman" w:hAnsi="Times New Roman" w:eastAsia="仿宋_GB2312" w:cs="Times New Roman"/>
          <w:b/>
          <w:bCs/>
          <w:sz w:val="28"/>
          <w:szCs w:val="28"/>
        </w:rPr>
        <w:t>“通则式”规划技术管理规定</w:t>
      </w:r>
    </w:p>
    <w:p w14:paraId="513BB8FB">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编制主体：淮北市</w:t>
      </w:r>
      <w:r>
        <w:rPr>
          <w:rFonts w:hint="eastAsia" w:ascii="Times New Roman" w:hAnsi="Times New Roman" w:eastAsia="仿宋_GB2312" w:cs="Times New Roman"/>
          <w:b/>
          <w:bCs/>
          <w:sz w:val="28"/>
          <w:szCs w:val="28"/>
        </w:rPr>
        <w:t>石台镇</w:t>
      </w:r>
      <w:r>
        <w:rPr>
          <w:rFonts w:ascii="Times New Roman" w:hAnsi="Times New Roman" w:eastAsia="仿宋_GB2312" w:cs="Times New Roman"/>
          <w:b/>
          <w:bCs/>
          <w:sz w:val="28"/>
          <w:szCs w:val="28"/>
        </w:rPr>
        <w:t>人民政府</w:t>
      </w:r>
    </w:p>
    <w:p w14:paraId="7B3450E4">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编制单位：安徽尚原空间科技有限公司</w:t>
      </w:r>
    </w:p>
    <w:p w14:paraId="2110479F">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城乡规划资质证书等级：甲  级</w:t>
      </w:r>
    </w:p>
    <w:p w14:paraId="08985DEE">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城乡规划资质证书编号：自资规甲字21340435</w:t>
      </w:r>
    </w:p>
    <w:p w14:paraId="58582BA8">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土地规划资质证书等级：乙  级</w:t>
      </w:r>
    </w:p>
    <w:p w14:paraId="498FAEB6">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土地规划资质证书编号：皖土规资字第065号</w:t>
      </w:r>
    </w:p>
    <w:p w14:paraId="282E5E6D">
      <w:pPr>
        <w:spacing w:line="384" w:lineRule="auto"/>
        <w:rPr>
          <w:rFonts w:ascii="Times New Roman" w:hAnsi="Times New Roman" w:eastAsia="仿宋_GB2312" w:cs="Times New Roman"/>
          <w:bCs/>
          <w:sz w:val="28"/>
          <w:szCs w:val="28"/>
        </w:rPr>
      </w:pPr>
    </w:p>
    <w:p w14:paraId="15E93B11">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项目负责人：</w:t>
      </w:r>
      <w:r>
        <w:rPr>
          <w:rFonts w:hint="eastAsia" w:ascii="Times New Roman" w:hAnsi="Times New Roman" w:eastAsia="仿宋_GB2312" w:cs="Times New Roman"/>
          <w:b/>
          <w:bCs/>
          <w:sz w:val="28"/>
          <w:szCs w:val="28"/>
        </w:rPr>
        <w:t>陈大伟  高级工程师</w:t>
      </w:r>
    </w:p>
    <w:p w14:paraId="2F8BA8E2">
      <w:pPr>
        <w:spacing w:line="384" w:lineRule="auto"/>
        <w:rPr>
          <w:rFonts w:ascii="Times New Roman" w:hAnsi="Times New Roman" w:eastAsia="仿宋_GB2312" w:cs="Times New Roman"/>
          <w:b/>
          <w:bCs/>
          <w:sz w:val="28"/>
          <w:szCs w:val="28"/>
        </w:rPr>
      </w:pPr>
      <w:r>
        <w:rPr>
          <w:rFonts w:ascii="Times New Roman" w:hAnsi="Times New Roman" w:eastAsia="仿宋_GB2312" w:cs="Times New Roman"/>
          <w:b/>
          <w:bCs/>
          <w:sz w:val="28"/>
          <w:szCs w:val="28"/>
        </w:rPr>
        <w:t>项目组成员：</w:t>
      </w:r>
      <w:r>
        <w:rPr>
          <w:rFonts w:hint="eastAsia" w:ascii="Times New Roman" w:hAnsi="Times New Roman" w:eastAsia="仿宋_GB2312" w:cs="Times New Roman"/>
          <w:b/>
          <w:bCs/>
          <w:sz w:val="28"/>
          <w:szCs w:val="28"/>
        </w:rPr>
        <w:t>黄</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维</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工</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程</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师</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注册城乡规划师</w:t>
      </w:r>
    </w:p>
    <w:p w14:paraId="1BDAB84D">
      <w:pPr>
        <w:spacing w:line="384" w:lineRule="auto"/>
        <w:ind w:firstLine="1687" w:firstLineChars="600"/>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陆</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勇</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工</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程</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师</w:t>
      </w:r>
    </w:p>
    <w:p w14:paraId="30DD1F6A">
      <w:pPr>
        <w:spacing w:line="384" w:lineRule="auto"/>
        <w:ind w:firstLine="1687" w:firstLineChars="600"/>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朱国兵</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工</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程</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师</w:t>
      </w:r>
    </w:p>
    <w:p w14:paraId="2E0AFD40">
      <w:pPr>
        <w:spacing w:line="384" w:lineRule="auto"/>
        <w:ind w:firstLine="1687" w:firstLineChars="600"/>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葛天翔</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工</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程</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师</w:t>
      </w:r>
    </w:p>
    <w:p w14:paraId="76A24E9F">
      <w:pPr>
        <w:spacing w:line="384" w:lineRule="auto"/>
        <w:ind w:firstLine="1687" w:firstLineChars="600"/>
        <w:rPr>
          <w:rFonts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王金远</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工</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程</w:t>
      </w:r>
      <w:r>
        <w:rPr>
          <w:rFonts w:ascii="Times New Roman" w:hAnsi="Times New Roman" w:eastAsia="仿宋_GB2312" w:cs="Times New Roman"/>
          <w:b/>
          <w:bCs/>
          <w:sz w:val="28"/>
          <w:szCs w:val="28"/>
        </w:rPr>
        <w:t xml:space="preserve">  </w:t>
      </w:r>
      <w:r>
        <w:rPr>
          <w:rFonts w:hint="eastAsia" w:ascii="Times New Roman" w:hAnsi="Times New Roman" w:eastAsia="仿宋_GB2312" w:cs="Times New Roman"/>
          <w:b/>
          <w:bCs/>
          <w:sz w:val="28"/>
          <w:szCs w:val="28"/>
        </w:rPr>
        <w:t>师</w:t>
      </w:r>
      <w:r>
        <w:rPr>
          <w:rFonts w:ascii="Times New Roman" w:hAnsi="Times New Roman" w:eastAsia="仿宋_GB2312" w:cs="Times New Roman"/>
          <w:b/>
          <w:bCs/>
          <w:sz w:val="28"/>
          <w:szCs w:val="28"/>
        </w:rPr>
        <w:t xml:space="preserve"> </w:t>
      </w:r>
    </w:p>
    <w:p w14:paraId="2346FD84">
      <w:pPr>
        <w:spacing w:line="384" w:lineRule="auto"/>
        <w:ind w:firstLine="1687" w:firstLineChars="600"/>
        <w:rPr>
          <w:rFonts w:hint="eastAsia" w:ascii="Times New Roman" w:hAnsi="Times New Roman" w:eastAsia="仿宋_GB2312" w:cs="Times New Roman"/>
          <w:b/>
          <w:bCs/>
          <w:sz w:val="28"/>
          <w:szCs w:val="28"/>
        </w:rPr>
      </w:pPr>
      <w:r>
        <w:rPr>
          <w:rFonts w:hint="eastAsia" w:ascii="Times New Roman" w:hAnsi="Times New Roman" w:eastAsia="仿宋_GB2312" w:cs="Times New Roman"/>
          <w:b/>
          <w:bCs/>
          <w:sz w:val="28"/>
          <w:szCs w:val="28"/>
        </w:rPr>
        <w:t>童  亮  工  程  师</w:t>
      </w:r>
    </w:p>
    <w:p w14:paraId="4BAF29D0">
      <w:pPr>
        <w:autoSpaceDE w:val="0"/>
        <w:autoSpaceDN w:val="0"/>
        <w:adjustRightInd w:val="0"/>
        <w:spacing w:line="240" w:lineRule="auto"/>
        <w:jc w:val="center"/>
        <w:rPr>
          <w:rFonts w:ascii="Times New Roman" w:hAnsi="Times New Roman" w:eastAsia="楷体" w:cs="Times New Roman"/>
          <w:kern w:val="0"/>
          <w:sz w:val="40"/>
          <w:szCs w:val="40"/>
        </w:rPr>
        <w:sectPr>
          <w:footerReference r:id="rId7" w:type="default"/>
          <w:pgSz w:w="11906" w:h="16838"/>
          <w:pgMar w:top="1440" w:right="1800" w:bottom="1440" w:left="1800" w:header="851" w:footer="992" w:gutter="0"/>
          <w:pgNumType w:fmt="upperRoman"/>
          <w:cols w:space="425" w:num="1"/>
          <w:docGrid w:type="lines" w:linePitch="312" w:charSpace="0"/>
        </w:sectPr>
      </w:pPr>
    </w:p>
    <w:p w14:paraId="19E3FABD">
      <w:pPr>
        <w:tabs>
          <w:tab w:val="left" w:pos="720"/>
          <w:tab w:val="left" w:pos="5618"/>
        </w:tabs>
        <w:spacing w:line="360" w:lineRule="auto"/>
        <w:ind w:firstLine="640" w:firstLineChars="200"/>
        <w:jc w:val="center"/>
        <w:rPr>
          <w:rFonts w:ascii="Times New Roman" w:hAnsi="Times New Roman" w:cs="Times New Roman"/>
          <w:lang w:val="zh-CN"/>
        </w:rPr>
      </w:pPr>
      <w:r>
        <w:rPr>
          <w:rFonts w:hint="eastAsia" w:ascii="Times New Roman" w:hAnsi="Times New Roman" w:cs="Times New Roman"/>
          <w:lang w:val="zh-CN"/>
        </w:rPr>
        <w:tab/>
      </w:r>
    </w:p>
    <w:p w14:paraId="5A16E6E5">
      <w:pPr>
        <w:tabs>
          <w:tab w:val="left" w:pos="720"/>
          <w:tab w:val="center" w:pos="4533"/>
          <w:tab w:val="left" w:pos="5618"/>
        </w:tabs>
        <w:spacing w:line="360" w:lineRule="auto"/>
        <w:ind w:firstLine="640" w:firstLineChars="200"/>
        <w:jc w:val="center"/>
        <w:rPr>
          <w:rFonts w:ascii="Times New Roman" w:hAnsi="Times New Roman" w:cs="Times New Roman"/>
          <w:lang w:val="zh-CN"/>
        </w:rPr>
      </w:pPr>
      <w:r>
        <w:rPr>
          <w:rFonts w:hint="eastAsia" w:ascii="Times New Roman" w:hAnsi="Times New Roman" w:cs="Times New Roman"/>
          <w:lang w:val="zh-CN"/>
        </w:rPr>
        <w:tab/>
      </w:r>
    </w:p>
    <w:sdt>
      <w:sdtPr>
        <w:rPr>
          <w:rFonts w:ascii="Times New Roman" w:hAnsi="Times New Roman" w:cs="Times New Roman"/>
          <w:lang w:val="zh-CN"/>
        </w:rPr>
        <w:id w:val="621743290"/>
        <w:docPartObj>
          <w:docPartGallery w:val="Table of Contents"/>
          <w:docPartUnique/>
        </w:docPartObj>
      </w:sdtPr>
      <w:sdtEndPr>
        <w:rPr>
          <w:rFonts w:ascii="Times New Roman" w:hAnsi="Times New Roman" w:cs="Times New Roman"/>
          <w:lang w:val="zh-CN"/>
        </w:rPr>
      </w:sdtEndPr>
      <w:sdtContent>
        <w:p w14:paraId="3BA4CEE9">
          <w:pPr>
            <w:tabs>
              <w:tab w:val="left" w:pos="720"/>
              <w:tab w:val="center" w:pos="4533"/>
              <w:tab w:val="left" w:pos="5618"/>
            </w:tabs>
            <w:spacing w:line="360" w:lineRule="auto"/>
            <w:ind w:firstLine="640" w:firstLineChars="200"/>
            <w:jc w:val="center"/>
            <w:rPr>
              <w:rFonts w:ascii="Times New Roman" w:hAnsi="Times New Roman" w:eastAsia="黑体" w:cs="Times New Roman"/>
              <w:sz w:val="36"/>
              <w:szCs w:val="36"/>
              <w:lang w:val="zh-CN"/>
            </w:rPr>
          </w:pPr>
          <w:r>
            <w:rPr>
              <w:rFonts w:ascii="Times New Roman" w:hAnsi="Times New Roman" w:eastAsia="黑体" w:cs="Times New Roman"/>
              <w:sz w:val="36"/>
              <w:szCs w:val="36"/>
              <w:lang w:val="zh-CN"/>
            </w:rPr>
            <w:t>目 录</w:t>
          </w:r>
        </w:p>
        <w:p w14:paraId="06CAD5A9">
          <w:pPr>
            <w:pStyle w:val="15"/>
            <w:tabs>
              <w:tab w:val="right" w:leader="dot" w:pos="8296"/>
            </w:tabs>
            <w:rPr>
              <w:rFonts w:hint="eastAsia" w:cstheme="minorBidi"/>
              <w:sz w:val="22"/>
              <w:szCs w:val="24"/>
              <w14:ligatures w14:val="standardContextual"/>
            </w:rPr>
          </w:pPr>
          <w:r>
            <w:rPr>
              <w:rFonts w:ascii="Times New Roman" w:hAnsi="Times New Roman" w:eastAsia="仿宋_GB2312" w:cs="Times New Roman"/>
              <w:lang w:val="zh-CN"/>
            </w:rPr>
            <w:fldChar w:fldCharType="begin"/>
          </w:r>
          <w:r>
            <w:rPr>
              <w:rFonts w:ascii="Times New Roman" w:hAnsi="Times New Roman" w:eastAsia="仿宋_GB2312" w:cs="Times New Roman"/>
              <w:lang w:val="zh-CN"/>
            </w:rPr>
            <w:instrText xml:space="preserve"> TOC \o "1-1" \h \z \u </w:instrText>
          </w:r>
          <w:r>
            <w:rPr>
              <w:rFonts w:ascii="Times New Roman" w:hAnsi="Times New Roman" w:eastAsia="仿宋_GB2312" w:cs="Times New Roman"/>
              <w:lang w:val="zh-CN"/>
            </w:rPr>
            <w:fldChar w:fldCharType="separate"/>
          </w:r>
          <w:r>
            <w:fldChar w:fldCharType="begin"/>
          </w:r>
          <w:r>
            <w:instrText xml:space="preserve"> HYPERLINK \l "_Toc240384044" </w:instrText>
          </w:r>
          <w:r>
            <w:fldChar w:fldCharType="separate"/>
          </w:r>
          <w:r>
            <w:rPr>
              <w:rStyle w:val="24"/>
              <w:rFonts w:hint="eastAsia" w:ascii="Times New Roman" w:hAnsi="Times New Roman" w:eastAsia="黑体" w:cs="Times New Roman"/>
            </w:rPr>
            <w:t>第一章 总则</w:t>
          </w:r>
          <w:r>
            <w:rPr>
              <w:rFonts w:hint="eastAsia"/>
            </w:rPr>
            <w:tab/>
          </w:r>
          <w:r>
            <w:rPr>
              <w:rFonts w:hint="eastAsia"/>
            </w:rPr>
            <w:fldChar w:fldCharType="begin"/>
          </w:r>
          <w:r>
            <w:rPr>
              <w:rFonts w:hint="eastAsia"/>
            </w:rPr>
            <w:instrText xml:space="preserve"> </w:instrText>
          </w:r>
          <w:r>
            <w:instrText xml:space="preserve">PAGEREF _Toc240384044 \h</w:instrText>
          </w:r>
          <w:r>
            <w:rPr>
              <w:rFonts w:hint="eastAsia"/>
            </w:rPr>
            <w:instrText xml:space="preserve"> </w:instrText>
          </w:r>
          <w:r>
            <w:fldChar w:fldCharType="separate"/>
          </w:r>
          <w:r>
            <w:t>1</w:t>
          </w:r>
          <w:r>
            <w:rPr>
              <w:rFonts w:hint="eastAsia"/>
            </w:rPr>
            <w:fldChar w:fldCharType="end"/>
          </w:r>
          <w:r>
            <w:rPr>
              <w:rFonts w:hint="eastAsia"/>
            </w:rPr>
            <w:fldChar w:fldCharType="end"/>
          </w:r>
        </w:p>
        <w:p w14:paraId="2E736C71">
          <w:pPr>
            <w:pStyle w:val="15"/>
            <w:tabs>
              <w:tab w:val="right" w:leader="dot" w:pos="8296"/>
            </w:tabs>
            <w:rPr>
              <w:rFonts w:hint="eastAsia" w:cstheme="minorBidi"/>
              <w:sz w:val="22"/>
              <w:szCs w:val="24"/>
              <w14:ligatures w14:val="standardContextual"/>
            </w:rPr>
          </w:pPr>
          <w:r>
            <w:fldChar w:fldCharType="begin"/>
          </w:r>
          <w:r>
            <w:instrText xml:space="preserve"> HYPERLINK \l "_Toc240384045" </w:instrText>
          </w:r>
          <w:r>
            <w:fldChar w:fldCharType="separate"/>
          </w:r>
          <w:r>
            <w:rPr>
              <w:rStyle w:val="24"/>
              <w:rFonts w:hint="eastAsia" w:ascii="Times New Roman" w:hAnsi="Times New Roman" w:eastAsia="黑体" w:cs="Times New Roman"/>
            </w:rPr>
            <w:t>第二章 底线管控要求</w:t>
          </w:r>
          <w:r>
            <w:rPr>
              <w:rFonts w:hint="eastAsia"/>
            </w:rPr>
            <w:tab/>
          </w:r>
          <w:r>
            <w:rPr>
              <w:rFonts w:hint="eastAsia"/>
            </w:rPr>
            <w:fldChar w:fldCharType="begin"/>
          </w:r>
          <w:r>
            <w:rPr>
              <w:rFonts w:hint="eastAsia"/>
            </w:rPr>
            <w:instrText xml:space="preserve"> </w:instrText>
          </w:r>
          <w:r>
            <w:instrText xml:space="preserve">PAGEREF _Toc240384045 \h</w:instrText>
          </w:r>
          <w:r>
            <w:rPr>
              <w:rFonts w:hint="eastAsia"/>
            </w:rPr>
            <w:instrText xml:space="preserve"> </w:instrText>
          </w:r>
          <w:r>
            <w:fldChar w:fldCharType="separate"/>
          </w:r>
          <w:r>
            <w:t>3</w:t>
          </w:r>
          <w:r>
            <w:rPr>
              <w:rFonts w:hint="eastAsia"/>
            </w:rPr>
            <w:fldChar w:fldCharType="end"/>
          </w:r>
          <w:r>
            <w:rPr>
              <w:rFonts w:hint="eastAsia"/>
            </w:rPr>
            <w:fldChar w:fldCharType="end"/>
          </w:r>
        </w:p>
        <w:p w14:paraId="1D13FFCC">
          <w:pPr>
            <w:pStyle w:val="15"/>
            <w:tabs>
              <w:tab w:val="right" w:leader="dot" w:pos="8296"/>
            </w:tabs>
            <w:rPr>
              <w:rFonts w:hint="eastAsia" w:cstheme="minorBidi"/>
              <w:sz w:val="22"/>
              <w:szCs w:val="24"/>
              <w14:ligatures w14:val="standardContextual"/>
            </w:rPr>
          </w:pPr>
          <w:r>
            <w:fldChar w:fldCharType="begin"/>
          </w:r>
          <w:r>
            <w:instrText xml:space="preserve"> HYPERLINK \l "_Toc240384046" </w:instrText>
          </w:r>
          <w:r>
            <w:fldChar w:fldCharType="separate"/>
          </w:r>
          <w:r>
            <w:rPr>
              <w:rStyle w:val="24"/>
              <w:rFonts w:hint="eastAsia" w:ascii="Times New Roman" w:hAnsi="Times New Roman" w:eastAsia="黑体" w:cs="Times New Roman"/>
            </w:rPr>
            <w:t>第三章 规划管理要求</w:t>
          </w:r>
          <w:r>
            <w:rPr>
              <w:rFonts w:hint="eastAsia"/>
            </w:rPr>
            <w:tab/>
          </w:r>
          <w:r>
            <w:rPr>
              <w:rFonts w:hint="eastAsia"/>
            </w:rPr>
            <w:fldChar w:fldCharType="begin"/>
          </w:r>
          <w:r>
            <w:rPr>
              <w:rFonts w:hint="eastAsia"/>
            </w:rPr>
            <w:instrText xml:space="preserve"> </w:instrText>
          </w:r>
          <w:r>
            <w:instrText xml:space="preserve">PAGEREF _Toc240384046 \h</w:instrText>
          </w:r>
          <w:r>
            <w:rPr>
              <w:rFonts w:hint="eastAsia"/>
            </w:rPr>
            <w:instrText xml:space="preserve"> </w:instrText>
          </w:r>
          <w:r>
            <w:fldChar w:fldCharType="separate"/>
          </w:r>
          <w:r>
            <w:t>5</w:t>
          </w:r>
          <w:r>
            <w:rPr>
              <w:rFonts w:hint="eastAsia"/>
            </w:rPr>
            <w:fldChar w:fldCharType="end"/>
          </w:r>
          <w:r>
            <w:rPr>
              <w:rFonts w:hint="eastAsia"/>
            </w:rPr>
            <w:fldChar w:fldCharType="end"/>
          </w:r>
        </w:p>
        <w:p w14:paraId="2348F94C">
          <w:pPr>
            <w:pStyle w:val="15"/>
            <w:tabs>
              <w:tab w:val="right" w:leader="dot" w:pos="8296"/>
            </w:tabs>
            <w:rPr>
              <w:rFonts w:hint="eastAsia" w:cstheme="minorBidi"/>
              <w:sz w:val="22"/>
              <w:szCs w:val="24"/>
              <w14:ligatures w14:val="standardContextual"/>
            </w:rPr>
          </w:pPr>
          <w:r>
            <w:fldChar w:fldCharType="begin"/>
          </w:r>
          <w:r>
            <w:instrText xml:space="preserve"> HYPERLINK \l "_Toc240384047" </w:instrText>
          </w:r>
          <w:r>
            <w:fldChar w:fldCharType="separate"/>
          </w:r>
          <w:r>
            <w:rPr>
              <w:rStyle w:val="24"/>
              <w:rFonts w:hint="eastAsia" w:ascii="Times New Roman" w:hAnsi="Times New Roman" w:eastAsia="黑体" w:cs="Times New Roman"/>
            </w:rPr>
            <w:t>第四章 用地兼容管控</w:t>
          </w:r>
          <w:r>
            <w:rPr>
              <w:rFonts w:hint="eastAsia"/>
            </w:rPr>
            <w:tab/>
          </w:r>
          <w:r>
            <w:rPr>
              <w:rFonts w:hint="eastAsia"/>
            </w:rPr>
            <w:fldChar w:fldCharType="begin"/>
          </w:r>
          <w:r>
            <w:rPr>
              <w:rFonts w:hint="eastAsia"/>
            </w:rPr>
            <w:instrText xml:space="preserve"> </w:instrText>
          </w:r>
          <w:r>
            <w:instrText xml:space="preserve">PAGEREF _Toc240384047 \h</w:instrText>
          </w:r>
          <w:r>
            <w:rPr>
              <w:rFonts w:hint="eastAsia"/>
            </w:rPr>
            <w:instrText xml:space="preserve"> </w:instrText>
          </w:r>
          <w:r>
            <w:fldChar w:fldCharType="separate"/>
          </w:r>
          <w:r>
            <w:t>13</w:t>
          </w:r>
          <w:r>
            <w:rPr>
              <w:rFonts w:hint="eastAsia"/>
            </w:rPr>
            <w:fldChar w:fldCharType="end"/>
          </w:r>
          <w:r>
            <w:rPr>
              <w:rFonts w:hint="eastAsia"/>
            </w:rPr>
            <w:fldChar w:fldCharType="end"/>
          </w:r>
        </w:p>
        <w:p w14:paraId="41909753">
          <w:pPr>
            <w:pStyle w:val="15"/>
            <w:tabs>
              <w:tab w:val="right" w:leader="dot" w:pos="8296"/>
            </w:tabs>
            <w:rPr>
              <w:rFonts w:hint="eastAsia" w:cstheme="minorBidi"/>
              <w:sz w:val="22"/>
              <w:szCs w:val="24"/>
              <w14:ligatures w14:val="standardContextual"/>
            </w:rPr>
          </w:pPr>
          <w:r>
            <w:fldChar w:fldCharType="begin"/>
          </w:r>
          <w:r>
            <w:instrText xml:space="preserve"> HYPERLINK \l "_Toc240384048" </w:instrText>
          </w:r>
          <w:r>
            <w:fldChar w:fldCharType="separate"/>
          </w:r>
          <w:r>
            <w:rPr>
              <w:rStyle w:val="24"/>
              <w:rFonts w:hint="eastAsia" w:ascii="Times New Roman" w:hAnsi="Times New Roman" w:eastAsia="黑体" w:cs="Times New Roman"/>
            </w:rPr>
            <w:t>第五章 实施保障</w:t>
          </w:r>
          <w:r>
            <w:rPr>
              <w:rFonts w:hint="eastAsia"/>
            </w:rPr>
            <w:tab/>
          </w:r>
          <w:r>
            <w:rPr>
              <w:rFonts w:hint="eastAsia"/>
            </w:rPr>
            <w:fldChar w:fldCharType="begin"/>
          </w:r>
          <w:r>
            <w:rPr>
              <w:rFonts w:hint="eastAsia"/>
            </w:rPr>
            <w:instrText xml:space="preserve"> </w:instrText>
          </w:r>
          <w:r>
            <w:instrText xml:space="preserve">PAGEREF _Toc240384048 \h</w:instrText>
          </w:r>
          <w:r>
            <w:rPr>
              <w:rFonts w:hint="eastAsia"/>
            </w:rPr>
            <w:instrText xml:space="preserve"> </w:instrText>
          </w:r>
          <w:r>
            <w:fldChar w:fldCharType="separate"/>
          </w:r>
          <w:r>
            <w:t>14</w:t>
          </w:r>
          <w:r>
            <w:rPr>
              <w:rFonts w:hint="eastAsia"/>
            </w:rPr>
            <w:fldChar w:fldCharType="end"/>
          </w:r>
          <w:r>
            <w:rPr>
              <w:rFonts w:hint="eastAsia"/>
            </w:rPr>
            <w:fldChar w:fldCharType="end"/>
          </w:r>
        </w:p>
        <w:p w14:paraId="630A2643">
          <w:pPr>
            <w:pStyle w:val="15"/>
            <w:tabs>
              <w:tab w:val="right" w:leader="dot" w:pos="8296"/>
            </w:tabs>
            <w:rPr>
              <w:rFonts w:hint="eastAsia" w:cstheme="minorBidi"/>
              <w:sz w:val="22"/>
              <w:szCs w:val="24"/>
              <w14:ligatures w14:val="standardContextual"/>
            </w:rPr>
          </w:pPr>
          <w:r>
            <w:fldChar w:fldCharType="begin"/>
          </w:r>
          <w:r>
            <w:instrText xml:space="preserve"> HYPERLINK \l "_Toc240384049" </w:instrText>
          </w:r>
          <w:r>
            <w:fldChar w:fldCharType="separate"/>
          </w:r>
          <w:r>
            <w:rPr>
              <w:rStyle w:val="24"/>
              <w:rFonts w:hint="eastAsia" w:ascii="Times New Roman" w:hAnsi="Times New Roman" w:eastAsia="黑体" w:cs="Times New Roman"/>
            </w:rPr>
            <w:t>第六章 附则</w:t>
          </w:r>
          <w:r>
            <w:rPr>
              <w:rFonts w:hint="eastAsia"/>
            </w:rPr>
            <w:tab/>
          </w:r>
          <w:r>
            <w:rPr>
              <w:rFonts w:hint="eastAsia"/>
            </w:rPr>
            <w:fldChar w:fldCharType="begin"/>
          </w:r>
          <w:r>
            <w:rPr>
              <w:rFonts w:hint="eastAsia"/>
            </w:rPr>
            <w:instrText xml:space="preserve"> </w:instrText>
          </w:r>
          <w:r>
            <w:instrText xml:space="preserve">PAGEREF _Toc240384049 \h</w:instrText>
          </w:r>
          <w:r>
            <w:rPr>
              <w:rFonts w:hint="eastAsia"/>
            </w:rPr>
            <w:instrText xml:space="preserve"> </w:instrText>
          </w:r>
          <w:r>
            <w:fldChar w:fldCharType="separate"/>
          </w:r>
          <w:r>
            <w:t>15</w:t>
          </w:r>
          <w:r>
            <w:rPr>
              <w:rFonts w:hint="eastAsia"/>
            </w:rPr>
            <w:fldChar w:fldCharType="end"/>
          </w:r>
          <w:r>
            <w:rPr>
              <w:rFonts w:hint="eastAsia"/>
            </w:rPr>
            <w:fldChar w:fldCharType="end"/>
          </w:r>
        </w:p>
        <w:p w14:paraId="176AD3C0">
          <w:pPr>
            <w:pStyle w:val="15"/>
            <w:tabs>
              <w:tab w:val="right" w:leader="dot" w:pos="8296"/>
            </w:tabs>
            <w:rPr>
              <w:rFonts w:hint="eastAsia" w:cstheme="minorBidi"/>
              <w:sz w:val="22"/>
              <w:szCs w:val="24"/>
              <w14:ligatures w14:val="standardContextual"/>
            </w:rPr>
          </w:pPr>
          <w:r>
            <w:fldChar w:fldCharType="begin"/>
          </w:r>
          <w:r>
            <w:instrText xml:space="preserve"> HYPERLINK \l "_Toc240384050" </w:instrText>
          </w:r>
          <w:r>
            <w:fldChar w:fldCharType="separate"/>
          </w:r>
          <w:r>
            <w:rPr>
              <w:rStyle w:val="24"/>
              <w:rFonts w:hint="eastAsia" w:ascii="Times New Roman" w:hAnsi="Times New Roman" w:eastAsia="黑体" w:cs="Times New Roman"/>
            </w:rPr>
            <w:t>附件</w:t>
          </w:r>
          <w:r>
            <w:rPr>
              <w:rFonts w:hint="eastAsia"/>
            </w:rPr>
            <w:tab/>
          </w:r>
          <w:r>
            <w:rPr>
              <w:rFonts w:hint="eastAsia"/>
            </w:rPr>
            <w:fldChar w:fldCharType="begin"/>
          </w:r>
          <w:r>
            <w:rPr>
              <w:rFonts w:hint="eastAsia"/>
            </w:rPr>
            <w:instrText xml:space="preserve"> </w:instrText>
          </w:r>
          <w:r>
            <w:instrText xml:space="preserve">PAGEREF _Toc240384050 \h</w:instrText>
          </w:r>
          <w:r>
            <w:rPr>
              <w:rFonts w:hint="eastAsia"/>
            </w:rPr>
            <w:instrText xml:space="preserve"> </w:instrText>
          </w:r>
          <w:r>
            <w:fldChar w:fldCharType="separate"/>
          </w:r>
          <w:r>
            <w:t>16</w:t>
          </w:r>
          <w:r>
            <w:rPr>
              <w:rFonts w:hint="eastAsia"/>
            </w:rPr>
            <w:fldChar w:fldCharType="end"/>
          </w:r>
          <w:r>
            <w:rPr>
              <w:rFonts w:hint="eastAsia"/>
            </w:rPr>
            <w:fldChar w:fldCharType="end"/>
          </w:r>
        </w:p>
        <w:p w14:paraId="784A2671">
          <w:pPr>
            <w:pStyle w:val="15"/>
            <w:tabs>
              <w:tab w:val="right" w:leader="dot" w:pos="8296"/>
            </w:tabs>
            <w:rPr>
              <w:rFonts w:hint="eastAsia" w:cstheme="minorBidi"/>
              <w:sz w:val="22"/>
              <w:szCs w:val="24"/>
              <w14:ligatures w14:val="standardContextual"/>
            </w:rPr>
          </w:pPr>
          <w:r>
            <w:fldChar w:fldCharType="begin"/>
          </w:r>
          <w:r>
            <w:instrText xml:space="preserve"> HYPERLINK \l "_Toc240384051" </w:instrText>
          </w:r>
          <w:r>
            <w:fldChar w:fldCharType="separate"/>
          </w:r>
          <w:r>
            <w:rPr>
              <w:rStyle w:val="24"/>
              <w:rFonts w:hint="eastAsia" w:ascii="黑体" w:hAnsi="黑体" w:eastAsia="黑体" w:cs="黑体"/>
              <w:spacing w:val="-4"/>
              <w:shd w:val="clear" w:color="auto" w:fill="FFFFFF"/>
            </w:rPr>
            <w:t>乡村地区国土空间用途管制负面清单</w:t>
          </w:r>
          <w:r>
            <w:rPr>
              <w:rFonts w:hint="eastAsia"/>
            </w:rPr>
            <w:tab/>
          </w:r>
          <w:r>
            <w:rPr>
              <w:rFonts w:hint="eastAsia"/>
            </w:rPr>
            <w:fldChar w:fldCharType="begin"/>
          </w:r>
          <w:r>
            <w:rPr>
              <w:rFonts w:hint="eastAsia"/>
            </w:rPr>
            <w:instrText xml:space="preserve"> </w:instrText>
          </w:r>
          <w:r>
            <w:instrText xml:space="preserve">PAGEREF _Toc240384051 \h</w:instrText>
          </w:r>
          <w:r>
            <w:rPr>
              <w:rFonts w:hint="eastAsia"/>
            </w:rPr>
            <w:instrText xml:space="preserve"> </w:instrText>
          </w:r>
          <w:r>
            <w:fldChar w:fldCharType="separate"/>
          </w:r>
          <w:r>
            <w:t>16</w:t>
          </w:r>
          <w:r>
            <w:rPr>
              <w:rFonts w:hint="eastAsia"/>
            </w:rPr>
            <w:fldChar w:fldCharType="end"/>
          </w:r>
          <w:r>
            <w:rPr>
              <w:rFonts w:hint="eastAsia"/>
            </w:rPr>
            <w:fldChar w:fldCharType="end"/>
          </w:r>
        </w:p>
        <w:p w14:paraId="148209F7">
          <w:pPr>
            <w:pStyle w:val="11"/>
            <w:spacing w:line="360" w:lineRule="auto"/>
            <w:ind w:left="1280"/>
            <w:rPr>
              <w:rFonts w:ascii="Times New Roman" w:hAnsi="Times New Roman" w:cs="Times New Roman"/>
            </w:rPr>
          </w:pPr>
          <w:r>
            <w:rPr>
              <w:rFonts w:ascii="Times New Roman" w:hAnsi="Times New Roman" w:eastAsia="仿宋_GB2312" w:cs="Times New Roman"/>
              <w:lang w:val="zh-CN"/>
            </w:rPr>
            <w:fldChar w:fldCharType="end"/>
          </w:r>
        </w:p>
      </w:sdtContent>
    </w:sdt>
    <w:p w14:paraId="5BC50173">
      <w:pPr>
        <w:pStyle w:val="2"/>
        <w:numPr>
          <w:ilvl w:val="0"/>
          <w:numId w:val="1"/>
        </w:numPr>
        <w:spacing w:before="156" w:beforeLines="50" w:after="156" w:afterLines="50" w:line="360" w:lineRule="auto"/>
        <w:jc w:val="center"/>
        <w:rPr>
          <w:rFonts w:ascii="Times New Roman" w:hAnsi="Times New Roman" w:eastAsia="黑体" w:cs="Times New Roman"/>
          <w:b w:val="0"/>
          <w:bCs w:val="0"/>
          <w:sz w:val="36"/>
          <w:szCs w:val="36"/>
        </w:rPr>
        <w:sectPr>
          <w:footerReference r:id="rId8" w:type="default"/>
          <w:pgSz w:w="11906" w:h="16838"/>
          <w:pgMar w:top="1440" w:right="1800" w:bottom="1440" w:left="1800" w:header="851" w:footer="992" w:gutter="0"/>
          <w:pgNumType w:fmt="upperRoman"/>
          <w:cols w:space="425" w:num="1"/>
          <w:docGrid w:type="lines" w:linePitch="312" w:charSpace="0"/>
        </w:sectPr>
      </w:pPr>
    </w:p>
    <w:p w14:paraId="1C8DEF9B">
      <w:pPr>
        <w:pStyle w:val="2"/>
        <w:spacing w:before="217" w:beforeLines="50" w:after="217" w:afterLines="50" w:line="360" w:lineRule="auto"/>
        <w:jc w:val="center"/>
        <w:rPr>
          <w:rFonts w:ascii="Times New Roman" w:hAnsi="Times New Roman" w:eastAsia="黑体" w:cs="Times New Roman"/>
          <w:b w:val="0"/>
          <w:sz w:val="36"/>
          <w:szCs w:val="36"/>
        </w:rPr>
      </w:pPr>
      <w:bookmarkStart w:id="4" w:name="_Toc3416"/>
      <w:bookmarkStart w:id="5" w:name="_Toc240384044"/>
      <w:bookmarkStart w:id="6" w:name="_Toc365"/>
      <w:bookmarkStart w:id="7" w:name="_Toc5622"/>
      <w:r>
        <w:rPr>
          <w:rFonts w:ascii="Times New Roman" w:hAnsi="Times New Roman" w:eastAsia="黑体" w:cs="Times New Roman"/>
          <w:b w:val="0"/>
          <w:sz w:val="36"/>
          <w:szCs w:val="36"/>
        </w:rPr>
        <w:t>第一章 总则</w:t>
      </w:r>
      <w:bookmarkEnd w:id="4"/>
      <w:bookmarkEnd w:id="5"/>
      <w:bookmarkEnd w:id="6"/>
      <w:bookmarkEnd w:id="7"/>
    </w:p>
    <w:p w14:paraId="0C2DDBD6">
      <w:pPr>
        <w:pStyle w:val="25"/>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 xml:space="preserve"> 制定目的</w:t>
      </w:r>
    </w:p>
    <w:p w14:paraId="49F720B9">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为贯彻</w:t>
      </w:r>
      <w:bookmarkStart w:id="8" w:name="OLE_LINK5"/>
      <w:bookmarkStart w:id="9" w:name="OLE_LINK4"/>
      <w:r>
        <w:rPr>
          <w:rFonts w:hint="eastAsia" w:ascii="Times New Roman" w:hAnsi="Times New Roman" w:eastAsia="仿宋_GB2312" w:cs="Times New Roman"/>
        </w:rPr>
        <w:t>《中共中央 国务院关于进一步深化农村改革扎实推进乡村全面振兴的意见》</w:t>
      </w:r>
      <w:bookmarkEnd w:id="8"/>
      <w:bookmarkEnd w:id="9"/>
      <w:r>
        <w:rPr>
          <w:rFonts w:hint="eastAsia" w:ascii="Times New Roman" w:hAnsi="Times New Roman" w:eastAsia="仿宋_GB2312" w:cs="Times New Roman"/>
        </w:rPr>
        <w:t>精神，落实《自然资源部办公厅关于乡村地区“通则式”规划技术管理规定编制要求的通知》（自然资办发〔2025〕13号）、《安徽省自然资源厅关于乡村地区“通则式”规划技术管理规定编制要求的通知》</w:t>
      </w:r>
      <w:bookmarkStart w:id="10" w:name="OLE_LINK15"/>
      <w:bookmarkStart w:id="11" w:name="OLE_LINK16"/>
      <w:r>
        <w:rPr>
          <w:rFonts w:hint="eastAsia" w:ascii="Times New Roman" w:hAnsi="Times New Roman" w:eastAsia="仿宋_GB2312" w:cs="Times New Roman"/>
        </w:rPr>
        <w:t>（皖自然资规划〔2025〕1号）</w:t>
      </w:r>
      <w:bookmarkEnd w:id="10"/>
      <w:bookmarkEnd w:id="11"/>
      <w:r>
        <w:rPr>
          <w:rFonts w:hint="eastAsia" w:ascii="Times New Roman" w:hAnsi="Times New Roman" w:eastAsia="仿宋_GB2312" w:cs="Times New Roman"/>
        </w:rPr>
        <w:t>要求，以“实用管用好用”为目的，推动石台镇逐步实现乡村地区规划管理全覆盖，结合石台镇实际，制定《杜集区石台镇乡村地区“通则式”规划技术管理规定》（以下简称“本规定”）。</w:t>
      </w:r>
    </w:p>
    <w:p w14:paraId="6720442E">
      <w:pPr>
        <w:pStyle w:val="25"/>
        <w:numPr>
          <w:ilvl w:val="0"/>
          <w:numId w:val="2"/>
        </w:numPr>
        <w:spacing w:line="360" w:lineRule="auto"/>
        <w:ind w:left="0"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 xml:space="preserve"> 适用范围</w:t>
      </w:r>
    </w:p>
    <w:p w14:paraId="5BE48D86">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（一）本通则适用于石台镇城镇开发边界外乡村地区国土空间用途管制、详细规划实施及乡村建设项目规划管理依据，涉及开发边界内农民建房村集体用地管理可按本规定执行。</w:t>
      </w:r>
    </w:p>
    <w:p w14:paraId="6A162E56">
      <w:pPr>
        <w:tabs>
          <w:tab w:val="left" w:pos="720"/>
        </w:tabs>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 xml:space="preserve">（二）已批准村庄规划区域，按批准村庄规划执行。在相关村庄规划中未明确具体地块管控要求的，可按照本通则执行。 </w:t>
      </w:r>
    </w:p>
    <w:p w14:paraId="323B6BA7">
      <w:pPr>
        <w:pStyle w:val="25"/>
        <w:spacing w:line="360" w:lineRule="auto"/>
        <w:ind w:left="480" w:firstLine="480"/>
        <w:outlineLvl w:val="1"/>
      </w:pPr>
      <w:r>
        <w:rPr>
          <w:rFonts w:hint="eastAsia" w:ascii="Times New Roman" w:hAnsi="Times New Roman" w:eastAsia="仿宋_GB2312" w:cs="Times New Roman"/>
          <w:b/>
          <w:bCs/>
          <w:sz w:val="32"/>
          <w:szCs w:val="32"/>
        </w:rPr>
        <w:t>第</w:t>
      </w:r>
      <w:r>
        <w:rPr>
          <w:rFonts w:ascii="Times New Roman" w:hAnsi="Times New Roman" w:eastAsia="仿宋_GB2312" w:cs="Times New Roman"/>
          <w:b/>
          <w:bCs/>
          <w:sz w:val="32"/>
          <w:szCs w:val="32"/>
        </w:rPr>
        <w:t>3</w:t>
      </w:r>
      <w:r>
        <w:rPr>
          <w:rFonts w:hint="eastAsia"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eastAsia" w:ascii="Times New Roman" w:hAnsi="Times New Roman" w:eastAsia="仿宋_GB2312" w:cs="Times New Roman"/>
          <w:b/>
          <w:bCs/>
          <w:sz w:val="32"/>
          <w:szCs w:val="32"/>
        </w:rPr>
        <w:t>管理规定体系</w:t>
      </w:r>
      <w:r>
        <w:rPr>
          <w:rFonts w:ascii="Times New Roman" w:hAnsi="Times New Roman" w:eastAsia="仿宋_GB2312" w:cs="Times New Roman"/>
          <w:b/>
          <w:bCs/>
          <w:sz w:val="32"/>
          <w:szCs w:val="32"/>
        </w:rPr>
        <w:t xml:space="preserve"> </w:t>
      </w:r>
    </w:p>
    <w:p w14:paraId="2C9DA3DC">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石台镇乡村地区</w:t>
      </w:r>
      <w:r>
        <w:rPr>
          <w:rFonts w:ascii="Times New Roman" w:hAnsi="Times New Roman" w:eastAsia="仿宋_GB2312" w:cs="Times New Roman"/>
        </w:rPr>
        <w:t>“通则式”规划技术管理体系由“管理规定+重点地块图则”两部分组成。管理规定是</w:t>
      </w:r>
      <w:r>
        <w:rPr>
          <w:rFonts w:hint="eastAsia" w:ascii="Times New Roman" w:hAnsi="Times New Roman" w:eastAsia="仿宋_GB2312" w:cs="Times New Roman"/>
        </w:rPr>
        <w:t>乡村地区</w:t>
      </w:r>
      <w:r>
        <w:rPr>
          <w:rFonts w:ascii="Times New Roman" w:hAnsi="Times New Roman" w:eastAsia="仿宋_GB2312" w:cs="Times New Roman"/>
        </w:rPr>
        <w:t>通用性规划管理规定；重点地块图则是以本规定为基础，对</w:t>
      </w:r>
      <w:r>
        <w:rPr>
          <w:rFonts w:hint="eastAsia" w:ascii="Times New Roman" w:hAnsi="Times New Roman" w:eastAsia="仿宋_GB2312" w:cs="Times New Roman"/>
        </w:rPr>
        <w:t>农民自建房</w:t>
      </w:r>
      <w:r>
        <w:rPr>
          <w:rFonts w:ascii="Times New Roman" w:hAnsi="Times New Roman" w:eastAsia="仿宋_GB2312" w:cs="Times New Roman"/>
        </w:rPr>
        <w:t>以外的乡村建设项目</w:t>
      </w:r>
      <w:r>
        <w:rPr>
          <w:rFonts w:hint="eastAsia" w:ascii="Times New Roman" w:hAnsi="Times New Roman" w:eastAsia="仿宋_GB2312" w:cs="Times New Roman"/>
        </w:rPr>
        <w:t>制定的</w:t>
      </w:r>
      <w:r>
        <w:rPr>
          <w:rFonts w:ascii="Times New Roman" w:hAnsi="Times New Roman" w:eastAsia="仿宋_GB2312" w:cs="Times New Roman"/>
        </w:rPr>
        <w:t>规划管理规定。</w:t>
      </w:r>
    </w:p>
    <w:p w14:paraId="36A3FF9F">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为适应乡村地区发展变化，提高规划实施效能，地块图则可适时动态增补。</w:t>
      </w:r>
    </w:p>
    <w:p w14:paraId="54FF47E1">
      <w:pPr>
        <w:pStyle w:val="25"/>
        <w:spacing w:line="360" w:lineRule="auto"/>
        <w:ind w:left="643"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 xml:space="preserve">第4条 </w:t>
      </w:r>
      <w:r>
        <w:rPr>
          <w:rFonts w:ascii="Times New Roman" w:hAnsi="Times New Roman" w:eastAsia="仿宋_GB2312" w:cs="Times New Roman"/>
          <w:b/>
          <w:bCs/>
          <w:sz w:val="32"/>
          <w:szCs w:val="32"/>
        </w:rPr>
        <w:t>遵循原则</w:t>
      </w:r>
    </w:p>
    <w:p w14:paraId="4B20A9C8">
      <w:pPr>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遵循生态优先、节约集约、因地制宜、村民参与的原则，统筹乡村生产、生活、生态空间，保护乡村特色风貌和历史文化资源，促进乡村振兴。</w:t>
      </w:r>
      <w:r>
        <w:rPr>
          <w:rFonts w:ascii="Times New Roman" w:hAnsi="Times New Roman" w:eastAsia="仿宋_GB2312" w:cs="Times New Roman"/>
        </w:rPr>
        <w:br w:type="page"/>
      </w:r>
    </w:p>
    <w:p w14:paraId="3F1E4BBA">
      <w:pPr>
        <w:pStyle w:val="2"/>
        <w:spacing w:before="217" w:beforeLines="50" w:after="217" w:afterLines="50" w:line="360" w:lineRule="auto"/>
        <w:jc w:val="center"/>
        <w:rPr>
          <w:rFonts w:ascii="Times New Roman" w:hAnsi="Times New Roman" w:eastAsia="黑体" w:cs="Times New Roman"/>
          <w:b w:val="0"/>
          <w:sz w:val="36"/>
          <w:szCs w:val="36"/>
        </w:rPr>
      </w:pPr>
      <w:bookmarkStart w:id="12" w:name="_Toc240384045"/>
      <w:bookmarkStart w:id="13" w:name="_Toc10774"/>
      <w:bookmarkStart w:id="14" w:name="_Toc25280"/>
      <w:bookmarkStart w:id="15" w:name="_Toc5040"/>
      <w:r>
        <w:rPr>
          <w:rFonts w:ascii="Times New Roman" w:hAnsi="Times New Roman" w:eastAsia="黑体" w:cs="Times New Roman"/>
          <w:b w:val="0"/>
          <w:sz w:val="36"/>
          <w:szCs w:val="36"/>
        </w:rPr>
        <w:t>第二章 底线管控要求</w:t>
      </w:r>
      <w:bookmarkEnd w:id="12"/>
      <w:bookmarkEnd w:id="13"/>
      <w:bookmarkEnd w:id="14"/>
      <w:bookmarkEnd w:id="15"/>
    </w:p>
    <w:p w14:paraId="648B9111">
      <w:pPr>
        <w:pStyle w:val="25"/>
        <w:spacing w:line="360" w:lineRule="auto"/>
        <w:ind w:left="426"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第5条 耕地和永久基本农田</w:t>
      </w:r>
    </w:p>
    <w:p w14:paraId="59491FD4">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严格落实《淮北市杜集区石台镇国土空间总体规划（2021—2035年）》明确的耕地保护目标和永久基本农田控制线，乡村建设不得擅自占用或者改变永久基本农田，严格落实耕地用途管制，全面落实耕地占补平衡。</w:t>
      </w:r>
    </w:p>
    <w:p w14:paraId="6556DC02">
      <w:pPr>
        <w:pStyle w:val="25"/>
        <w:spacing w:line="360" w:lineRule="auto"/>
        <w:ind w:left="426"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第6条 生态保护红线</w:t>
      </w:r>
    </w:p>
    <w:p w14:paraId="50432A51">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适用范围内不涉及生态保护红线。</w:t>
      </w:r>
    </w:p>
    <w:p w14:paraId="3BBB4D5A">
      <w:pPr>
        <w:pStyle w:val="25"/>
        <w:spacing w:line="360" w:lineRule="auto"/>
        <w:ind w:left="426" w:firstLine="0"/>
        <w:outlineLvl w:val="1"/>
        <w:rPr>
          <w:rFonts w:ascii="Times New Roman" w:hAnsi="Times New Roman" w:eastAsia="仿宋_GB2312" w:cs="Times New Roman"/>
          <w:b/>
          <w:bCs/>
          <w:sz w:val="32"/>
          <w:szCs w:val="32"/>
        </w:rPr>
      </w:pPr>
      <w:bookmarkStart w:id="16" w:name="OLE_LINK35"/>
      <w:bookmarkStart w:id="17" w:name="OLE_LINK34"/>
      <w:r>
        <w:rPr>
          <w:rFonts w:hint="eastAsia" w:ascii="Times New Roman" w:hAnsi="Times New Roman" w:eastAsia="仿宋_GB2312" w:cs="Times New Roman"/>
          <w:b/>
          <w:bCs/>
          <w:sz w:val="32"/>
          <w:szCs w:val="32"/>
        </w:rPr>
        <w:t>第7条 村庄建设边界</w:t>
      </w:r>
    </w:p>
    <w:bookmarkEnd w:id="16"/>
    <w:bookmarkEnd w:id="17"/>
    <w:p w14:paraId="1B934D10">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村庄建设边界应位于村庄建设区，并适时根据石台镇总体规划年度体检委会成果动态更新，村庄建设边界内用地实施按通则式管理，控制村庄建设用地规模不超过</w:t>
      </w:r>
      <w:r>
        <w:rPr>
          <w:rFonts w:ascii="Times New Roman" w:hAnsi="Times New Roman" w:eastAsia="仿宋_GB2312" w:cs="Times New Roman"/>
        </w:rPr>
        <w:t>2020</w:t>
      </w:r>
      <w:r>
        <w:rPr>
          <w:rFonts w:hint="eastAsia" w:ascii="Times New Roman" w:hAnsi="Times New Roman" w:eastAsia="仿宋_GB2312" w:cs="Times New Roman"/>
        </w:rPr>
        <w:t>年度国土变更调查村庄建设用地（</w:t>
      </w:r>
      <w:r>
        <w:rPr>
          <w:rFonts w:ascii="Times New Roman" w:hAnsi="Times New Roman" w:eastAsia="仿宋_GB2312" w:cs="Times New Roman"/>
        </w:rPr>
        <w:t>203</w:t>
      </w:r>
      <w:r>
        <w:rPr>
          <w:rFonts w:hint="eastAsia" w:ascii="Times New Roman" w:hAnsi="Times New Roman" w:eastAsia="仿宋_GB2312" w:cs="Times New Roman"/>
        </w:rPr>
        <w:t>）规模，含建设用地总规模5%的留白用地指标。</w:t>
      </w:r>
    </w:p>
    <w:p w14:paraId="0B597E0D">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村庄建设边界内应优先保障符合条件的农村村民建房、乡村公共服务设施和公用设施建设、乡村产业项目建设等项目用地需求。</w:t>
      </w:r>
    </w:p>
    <w:p w14:paraId="1B7C995F">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农村村民住房可使用的用地类型为农村宅基地（地类代码0703）；农村公共服务设施及基础设施可使用的用地类型包括农村社区服务设施用地（地类代码0704）、公共管理与公共服务用地（地类代码08）、公用设施用地（地类代码13）、交通运输用地（地类代码1207、1208、1209）、绿地与开敞空间</w:t>
      </w:r>
      <w:bookmarkStart w:id="18" w:name="OLE_LINK1"/>
      <w:r>
        <w:rPr>
          <w:rFonts w:hint="eastAsia" w:ascii="Times New Roman" w:hAnsi="Times New Roman" w:eastAsia="仿宋_GB2312" w:cs="Times New Roman"/>
        </w:rPr>
        <w:t>（地类代码14）</w:t>
      </w:r>
      <w:bookmarkEnd w:id="18"/>
      <w:r>
        <w:rPr>
          <w:rFonts w:hint="eastAsia" w:ascii="Times New Roman" w:hAnsi="Times New Roman" w:eastAsia="仿宋_GB2312" w:cs="Times New Roman"/>
        </w:rPr>
        <w:t>、特殊用地（地类代码1503、1504、1506、1507）及留白用地（地类代码16）等。乡村产业项目指符合农村一二三产业融合发展项目或乡村旅游项目，可使用的用地类型包括商业服务业用地（地类代码09）、工业用地（地类代码1001）、仓储用地（</w:t>
      </w:r>
      <w:bookmarkStart w:id="19" w:name="OLE_LINK7"/>
      <w:bookmarkStart w:id="20" w:name="OLE_LINK6"/>
      <w:r>
        <w:rPr>
          <w:rFonts w:hint="eastAsia" w:ascii="Times New Roman" w:hAnsi="Times New Roman" w:eastAsia="仿宋_GB2312" w:cs="Times New Roman"/>
        </w:rPr>
        <w:t>地类代码11</w:t>
      </w:r>
      <w:bookmarkEnd w:id="19"/>
      <w:bookmarkEnd w:id="20"/>
      <w:r>
        <w:rPr>
          <w:rFonts w:hint="eastAsia" w:ascii="Times New Roman" w:hAnsi="Times New Roman" w:eastAsia="仿宋_GB2312" w:cs="Times New Roman"/>
        </w:rPr>
        <w:t>）、农业设施建设用地（地类代码06）等。</w:t>
      </w:r>
    </w:p>
    <w:p w14:paraId="161492EE">
      <w:pPr>
        <w:pStyle w:val="25"/>
        <w:spacing w:line="360" w:lineRule="auto"/>
        <w:ind w:left="426" w:firstLine="0"/>
        <w:outlineLvl w:val="1"/>
        <w:rPr>
          <w:rFonts w:ascii="Times New Roman" w:hAnsi="Times New Roman" w:eastAsia="仿宋_GB2312" w:cs="Times New Roman"/>
          <w:b/>
          <w:bCs/>
          <w:sz w:val="32"/>
          <w:szCs w:val="32"/>
        </w:rPr>
      </w:pPr>
      <w:bookmarkStart w:id="21" w:name="OLE_LINK37"/>
      <w:bookmarkStart w:id="22" w:name="OLE_LINK36"/>
      <w:r>
        <w:rPr>
          <w:rFonts w:hint="eastAsia" w:ascii="Times New Roman" w:hAnsi="Times New Roman" w:eastAsia="仿宋_GB2312" w:cs="Times New Roman"/>
          <w:b/>
          <w:bCs/>
          <w:sz w:val="32"/>
          <w:szCs w:val="32"/>
        </w:rPr>
        <w:t>第8条 规划留白指标</w:t>
      </w:r>
    </w:p>
    <w:bookmarkEnd w:id="21"/>
    <w:bookmarkEnd w:id="22"/>
    <w:p w14:paraId="1E7E287B">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对暂未明确且确需布局在村庄建设边界外的新增建设用地，符合负面管控清单和用地审批要求，供有特殊选址要求的乡村公共服务设施（如农村公益性公墓等）、基础设施（如垃圾转运处理设施、厕所粪污集中处理相关设施等）及确需零星分散的村民居住等建设项目可申请使用规划建设用地留白指标。留白指标使用需编制地块图则，明确用地面积、用地性质等相关规划管控要求。</w:t>
      </w:r>
    </w:p>
    <w:p w14:paraId="68E3BEB0">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对村庄建设边界外的存量建设用地，鼓励通过土地整治、宅基地置换等方式逐渐向村庄建设边界内集中，原土地可根据实际需要调整为非建设用地。</w:t>
      </w:r>
    </w:p>
    <w:p w14:paraId="66793853">
      <w:pPr>
        <w:pStyle w:val="25"/>
        <w:spacing w:line="360" w:lineRule="auto"/>
        <w:ind w:left="426" w:firstLine="0"/>
        <w:outlineLvl w:val="1"/>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第</w:t>
      </w:r>
      <w:r>
        <w:rPr>
          <w:rFonts w:ascii="Times New Roman" w:hAnsi="Times New Roman" w:eastAsia="仿宋_GB2312" w:cs="Times New Roman"/>
          <w:b/>
          <w:bCs/>
        </w:rPr>
        <w:t>9</w:t>
      </w:r>
      <w:r>
        <w:rPr>
          <w:rFonts w:hint="eastAsia" w:ascii="Times New Roman" w:hAnsi="Times New Roman" w:eastAsia="仿宋_GB2312" w:cs="Times New Roman"/>
          <w:b/>
          <w:bCs/>
          <w:sz w:val="32"/>
          <w:szCs w:val="32"/>
        </w:rPr>
        <w:t>条</w:t>
      </w:r>
      <w:r>
        <w:rPr>
          <w:rFonts w:ascii="Times New Roman" w:hAnsi="Times New Roman" w:eastAsia="仿宋_GB2312" w:cs="Times New Roman"/>
          <w:b/>
          <w:bCs/>
          <w:sz w:val="32"/>
          <w:szCs w:val="32"/>
        </w:rPr>
        <w:t xml:space="preserve"> </w:t>
      </w:r>
      <w:r>
        <w:rPr>
          <w:rFonts w:hint="eastAsia" w:ascii="Times New Roman" w:hAnsi="Times New Roman" w:eastAsia="仿宋_GB2312" w:cs="Times New Roman"/>
          <w:b/>
          <w:bCs/>
          <w:sz w:val="32"/>
          <w:szCs w:val="32"/>
        </w:rPr>
        <w:t>负面管控清单</w:t>
      </w:r>
    </w:p>
    <w:p w14:paraId="11E53583">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依据土地管理法等法律法规、农村乱占耕地建房“八不准”等相关政策规定和已批准实施的国土空间规划，明确限制和禁止行为的负面管控清单，详见附件：乡村地区国土空间用途管制负面清单</w:t>
      </w:r>
      <w:r>
        <w:rPr>
          <w:rFonts w:ascii="Times New Roman" w:hAnsi="Times New Roman" w:eastAsia="仿宋_GB2312" w:cs="Times New Roman"/>
        </w:rPr>
        <w:t>。</w:t>
      </w:r>
      <w:r>
        <w:rPr>
          <w:rFonts w:ascii="Times New Roman" w:hAnsi="Times New Roman" w:eastAsia="仿宋_GB2312" w:cs="Times New Roman"/>
          <w:color w:val="EE0000"/>
        </w:rPr>
        <w:br w:type="page"/>
      </w:r>
    </w:p>
    <w:p w14:paraId="21428C7A">
      <w:pPr>
        <w:pStyle w:val="2"/>
        <w:spacing w:before="217" w:beforeLines="50" w:after="217" w:afterLines="50" w:line="360" w:lineRule="auto"/>
        <w:jc w:val="center"/>
        <w:rPr>
          <w:rFonts w:ascii="Times New Roman" w:hAnsi="Times New Roman" w:eastAsia="黑体" w:cs="Times New Roman"/>
          <w:b w:val="0"/>
          <w:sz w:val="36"/>
          <w:szCs w:val="36"/>
        </w:rPr>
      </w:pPr>
      <w:bookmarkStart w:id="23" w:name="_Toc8720"/>
      <w:bookmarkStart w:id="24" w:name="_Toc240384046"/>
      <w:bookmarkStart w:id="25" w:name="_Toc22287"/>
      <w:bookmarkStart w:id="26" w:name="_Toc1548"/>
      <w:r>
        <w:rPr>
          <w:rFonts w:ascii="Times New Roman" w:hAnsi="Times New Roman" w:eastAsia="黑体" w:cs="Times New Roman"/>
          <w:b w:val="0"/>
          <w:sz w:val="36"/>
          <w:szCs w:val="36"/>
        </w:rPr>
        <w:t>第三章 规划管理要求</w:t>
      </w:r>
      <w:bookmarkEnd w:id="23"/>
      <w:bookmarkEnd w:id="24"/>
      <w:bookmarkEnd w:id="25"/>
      <w:bookmarkEnd w:id="26"/>
    </w:p>
    <w:p w14:paraId="1113EC68">
      <w:pPr>
        <w:spacing w:line="360" w:lineRule="auto"/>
        <w:ind w:left="426"/>
        <w:outlineLvl w:val="1"/>
        <w:rPr>
          <w:rFonts w:ascii="Times New Roman" w:hAnsi="Times New Roman" w:eastAsia="仿宋_GB2312" w:cs="Times New Roman"/>
          <w:b/>
          <w:bCs/>
        </w:rPr>
      </w:pPr>
      <w:r>
        <w:rPr>
          <w:rFonts w:hint="eastAsia" w:ascii="Times New Roman" w:hAnsi="Times New Roman" w:eastAsia="仿宋_GB2312" w:cs="Times New Roman"/>
          <w:b/>
          <w:bCs/>
        </w:rPr>
        <w:t>第10条</w:t>
      </w:r>
      <w:r>
        <w:rPr>
          <w:rFonts w:ascii="Times New Roman" w:hAnsi="Times New Roman" w:eastAsia="仿宋_GB2312" w:cs="Times New Roman"/>
          <w:b/>
          <w:bCs/>
        </w:rPr>
        <w:t xml:space="preserve"> </w:t>
      </w:r>
      <w:r>
        <w:rPr>
          <w:rFonts w:hint="eastAsia" w:ascii="Times New Roman" w:hAnsi="Times New Roman" w:eastAsia="仿宋_GB2312" w:cs="Times New Roman"/>
          <w:b/>
          <w:bCs/>
        </w:rPr>
        <w:t>总体要求</w:t>
      </w:r>
    </w:p>
    <w:p w14:paraId="4460FB37">
      <w:pPr>
        <w:widowControl/>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通则式”所指村庄建设活动，原则上应位于村庄建设边界范围内。按照合理布局、集约利用、因地制宜、整体实施的原则，合理确定建设用地更新规模和范围，明确用地选址、用地标准、建设控制等方面管控要求。</w:t>
      </w:r>
    </w:p>
    <w:p w14:paraId="579257FA">
      <w:pPr>
        <w:pStyle w:val="25"/>
        <w:numPr>
          <w:ilvl w:val="0"/>
          <w:numId w:val="3"/>
        </w:numPr>
        <w:spacing w:line="360" w:lineRule="auto"/>
        <w:ind w:left="108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 xml:space="preserve"> 用地布局</w:t>
      </w:r>
    </w:p>
    <w:p w14:paraId="2445FA59">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综合考虑石台镇生产生活、生态保护、灾害防治、历史文化传承以及和美乡村建设等因素，分类指引石台7个行政村分类发展。童台社居委、石台村位于石台镇镇区周边，村庄发展应就地改造农村人居环境，重点考虑城乡产业融合发展、基础设施互联互通、公共服务共建共享等，并保障农民住房需求。白顶山村、学田村、窦庄村、刘庄村，在原有规模基础上有序推进改造提升，激活产业、优化环境、提振人气、增加活力，保护保留乡村风貌，建设宜居宜业和美乡村。鼓励发挥自身比较优势，强化主导产业支撑。梧桐村，统筹保护、利用和发展的关系，注重保持村庄赖以生存发展的整体空间形态，保护历史文化资源和传统建筑，传承民风民俗和传统生产生活方式，保持村庄的完整性、真实性和延续性。</w:t>
      </w:r>
    </w:p>
    <w:p w14:paraId="11AB55CE">
      <w:pPr>
        <w:adjustRightInd w:val="0"/>
        <w:snapToGrid w:val="0"/>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1.</w:t>
      </w:r>
      <w:r>
        <w:rPr>
          <w:rFonts w:hint="eastAsia" w:ascii="Times New Roman" w:hAnsi="Times New Roman" w:eastAsia="仿宋_GB2312" w:cs="Times New Roman"/>
        </w:rPr>
        <w:t>石台镇乡村地区建设项目选址通用要求</w:t>
      </w:r>
    </w:p>
    <w:p w14:paraId="706ADC48">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1</w:t>
      </w:r>
      <w:r>
        <w:rPr>
          <w:rFonts w:hint="eastAsia" w:ascii="Times New Roman" w:hAnsi="Times New Roman" w:eastAsia="仿宋_GB2312" w:cs="Times New Roman"/>
        </w:rPr>
        <w:t>）应当选址在地质条件较好、环境适宜、交通方便的地段。</w:t>
      </w:r>
    </w:p>
    <w:p w14:paraId="4F507620">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2</w:t>
      </w:r>
      <w:r>
        <w:rPr>
          <w:rFonts w:hint="eastAsia" w:ascii="Times New Roman" w:hAnsi="Times New Roman" w:eastAsia="仿宋_GB2312" w:cs="Times New Roman"/>
        </w:rPr>
        <w:t>）合理用地，节约用地，新建村庄住宅、公用公服设施、基础设施、村庄产业用地宜与旧宅改造、土地整理、宅基地复垦相结合，充分利用原有闲置宅基地、村内空闲地或其他未利用地，少占或不占耕地。</w:t>
      </w:r>
    </w:p>
    <w:p w14:paraId="44E60E33">
      <w:pPr>
        <w:pStyle w:val="25"/>
        <w:adjustRightInd w:val="0"/>
        <w:snapToGrid w:val="0"/>
        <w:spacing w:line="360" w:lineRule="auto"/>
        <w:ind w:left="0" w:firstLine="566" w:firstLineChars="177"/>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（3）项目选址原则上不得占用下列区域，确需占用的，应当符合相关准入管理要求，并按照法律法规要求办理相关手续。</w:t>
      </w:r>
    </w:p>
    <w:p w14:paraId="43296CA6">
      <w:pPr>
        <w:pStyle w:val="25"/>
        <w:adjustRightInd w:val="0"/>
        <w:snapToGrid w:val="0"/>
        <w:spacing w:line="360" w:lineRule="auto"/>
        <w:ind w:left="0" w:firstLine="697" w:firstLineChars="218"/>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）永久基本农田保护红线、生态保护红线、饮用水源一级保护区、风景名胜区核心保护区等区域；</w:t>
      </w:r>
    </w:p>
    <w:p w14:paraId="2DECA0E6">
      <w:pPr>
        <w:pStyle w:val="25"/>
        <w:adjustRightInd w:val="0"/>
        <w:snapToGrid w:val="0"/>
        <w:spacing w:line="360" w:lineRule="auto"/>
        <w:ind w:left="0" w:firstLine="697" w:firstLineChars="218"/>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）相关专项规划确定或已公布的各级各类历史文化保护线；</w:t>
      </w:r>
    </w:p>
    <w:p w14:paraId="7B252ADB">
      <w:pPr>
        <w:pStyle w:val="25"/>
        <w:adjustRightInd w:val="0"/>
        <w:snapToGrid w:val="0"/>
        <w:spacing w:line="360" w:lineRule="auto"/>
        <w:ind w:left="0" w:firstLine="697" w:firstLineChars="218"/>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）龙河、闸河等河湖保护范围；</w:t>
      </w:r>
    </w:p>
    <w:p w14:paraId="4F5BCA5C">
      <w:pPr>
        <w:pStyle w:val="25"/>
        <w:adjustRightInd w:val="0"/>
        <w:snapToGrid w:val="0"/>
        <w:spacing w:line="360" w:lineRule="auto"/>
        <w:ind w:left="0" w:firstLine="697" w:firstLineChars="218"/>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4）危险化学品生产企业、危险化学品储存仓库或危房周边；</w:t>
      </w:r>
    </w:p>
    <w:p w14:paraId="3C092C65">
      <w:pPr>
        <w:pStyle w:val="25"/>
        <w:adjustRightInd w:val="0"/>
        <w:snapToGrid w:val="0"/>
        <w:spacing w:line="360" w:lineRule="auto"/>
        <w:ind w:left="0" w:firstLine="697" w:firstLineChars="218"/>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5）涉及洪涝风险、地质灾害、矿产资源勘查开采的安全控制范围以及高电压等级电力线路、油气长输管道、高压</w:t>
      </w:r>
      <w:r>
        <w:rPr>
          <w:rFonts w:hint="eastAsia" w:ascii="Times New Roman" w:hAnsi="Times New Roman" w:eastAsia="仿宋_GB2312" w:cs="Times New Roman"/>
          <w:sz w:val="32"/>
          <w:szCs w:val="32"/>
          <w:lang w:val="en-US" w:eastAsia="zh-CN"/>
        </w:rPr>
        <w:t>天然气</w:t>
      </w:r>
      <w:bookmarkStart w:id="63" w:name="_GoBack"/>
      <w:bookmarkEnd w:id="63"/>
      <w:r>
        <w:rPr>
          <w:rFonts w:hint="eastAsia" w:ascii="Times New Roman" w:hAnsi="Times New Roman" w:eastAsia="仿宋_GB2312" w:cs="Times New Roman"/>
          <w:sz w:val="32"/>
          <w:szCs w:val="32"/>
        </w:rPr>
        <w:t>管道、高速公路、省道等重大基础设施廊道控制范围；</w:t>
      </w:r>
    </w:p>
    <w:p w14:paraId="5BBFBFBD">
      <w:pPr>
        <w:pStyle w:val="25"/>
        <w:adjustRightInd w:val="0"/>
        <w:snapToGrid w:val="0"/>
        <w:spacing w:line="360" w:lineRule="auto"/>
        <w:ind w:left="0" w:firstLine="697" w:firstLineChars="218"/>
        <w:rPr>
          <w:rFonts w:ascii="Times New Roman" w:hAnsi="Times New Roman" w:eastAsia="仿宋_GB2312" w:cs="Times New Roman"/>
          <w:color w:val="FF0000"/>
          <w:sz w:val="32"/>
          <w:szCs w:val="32"/>
        </w:rPr>
      </w:pPr>
      <w:r>
        <w:rPr>
          <w:rFonts w:hint="eastAsia" w:ascii="Times New Roman" w:hAnsi="Times New Roman" w:eastAsia="仿宋_GB2312" w:cs="Times New Roman"/>
          <w:sz w:val="32"/>
          <w:szCs w:val="32"/>
        </w:rPr>
        <w:t>6）法律法规规定的其他禁止建设区域。</w:t>
      </w:r>
    </w:p>
    <w:p w14:paraId="662B89E1">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2.农村村民住房布局要求</w:t>
      </w:r>
    </w:p>
    <w:p w14:paraId="78D8B292">
      <w:pPr>
        <w:adjustRightInd w:val="0"/>
        <w:snapToGrid w:val="0"/>
        <w:spacing w:line="360" w:lineRule="auto"/>
        <w:ind w:firstLine="640" w:firstLineChars="200"/>
        <w:rPr>
          <w:rFonts w:ascii="Times New Roman" w:hAnsi="Times New Roman" w:eastAsia="仿宋_GB2312" w:cs="Times New Roman"/>
        </w:rPr>
      </w:pPr>
      <w:bookmarkStart w:id="27" w:name="OLE_LINK3"/>
      <w:bookmarkStart w:id="28" w:name="OLE_LINK2"/>
      <w:r>
        <w:rPr>
          <w:rFonts w:ascii="Times New Roman" w:hAnsi="Times New Roman" w:eastAsia="仿宋_GB2312" w:cs="Times New Roman"/>
        </w:rPr>
        <w:t>（1）</w:t>
      </w:r>
      <w:bookmarkEnd w:id="27"/>
      <w:bookmarkEnd w:id="28"/>
      <w:r>
        <w:rPr>
          <w:rFonts w:ascii="Times New Roman" w:hAnsi="Times New Roman" w:eastAsia="仿宋_GB2312" w:cs="Times New Roman"/>
        </w:rPr>
        <w:t>新建农村村民住房原则上应优先利用存量建设用地。确需新增的应</w:t>
      </w:r>
      <w:r>
        <w:rPr>
          <w:rFonts w:hint="eastAsia" w:ascii="Times New Roman" w:hAnsi="Times New Roman" w:eastAsia="仿宋_GB2312" w:cs="Times New Roman"/>
        </w:rPr>
        <w:t>结合</w:t>
      </w:r>
      <w:r>
        <w:rPr>
          <w:rFonts w:ascii="Times New Roman" w:hAnsi="Times New Roman" w:eastAsia="仿宋_GB2312" w:cs="Times New Roman"/>
        </w:rPr>
        <w:t>现状居民点布局，</w:t>
      </w:r>
      <w:r>
        <w:rPr>
          <w:rFonts w:hint="eastAsia" w:ascii="Times New Roman" w:hAnsi="Times New Roman" w:eastAsia="仿宋_GB2312" w:cs="Times New Roman"/>
        </w:rPr>
        <w:t>优先选址交通出行方便、地形条件优越区域，</w:t>
      </w:r>
      <w:r>
        <w:rPr>
          <w:rFonts w:ascii="Times New Roman" w:hAnsi="Times New Roman" w:eastAsia="仿宋_GB2312" w:cs="Times New Roman"/>
        </w:rPr>
        <w:t>鼓励新建区域</w:t>
      </w:r>
      <w:r>
        <w:rPr>
          <w:rFonts w:hint="eastAsia" w:ascii="Times New Roman" w:hAnsi="Times New Roman" w:eastAsia="仿宋_GB2312" w:cs="Times New Roman"/>
        </w:rPr>
        <w:t>沿城镇村</w:t>
      </w:r>
      <w:r>
        <w:rPr>
          <w:rFonts w:ascii="Times New Roman" w:hAnsi="Times New Roman" w:eastAsia="仿宋_GB2312" w:cs="Times New Roman"/>
        </w:rPr>
        <w:t>道路</w:t>
      </w:r>
      <w:r>
        <w:rPr>
          <w:rFonts w:hint="eastAsia" w:ascii="Times New Roman" w:hAnsi="Times New Roman" w:eastAsia="仿宋_GB2312" w:cs="Times New Roman"/>
        </w:rPr>
        <w:t>两侧</w:t>
      </w:r>
      <w:r>
        <w:rPr>
          <w:rFonts w:ascii="Times New Roman" w:hAnsi="Times New Roman" w:eastAsia="仿宋_GB2312" w:cs="Times New Roman"/>
        </w:rPr>
        <w:t>集中布局。</w:t>
      </w:r>
      <w:r>
        <w:rPr>
          <w:rFonts w:hint="eastAsia" w:ascii="Times New Roman" w:hAnsi="Times New Roman" w:eastAsia="仿宋_GB2312" w:cs="Times New Roman"/>
        </w:rPr>
        <w:t>确因农业生产需要、在现状农村居民点外零星建设的农民住宅，应符合“一户一宅”，且具备基本市政基础设施服务条件。</w:t>
      </w:r>
    </w:p>
    <w:p w14:paraId="775E2A0D">
      <w:pPr>
        <w:adjustRightInd w:val="0"/>
        <w:snapToGrid w:val="0"/>
        <w:spacing w:line="360" w:lineRule="auto"/>
        <w:ind w:firstLine="200"/>
        <w:rPr>
          <w:rFonts w:ascii="Times New Roman" w:hAnsi="Times New Roman" w:eastAsia="仿宋_GB2312" w:cs="Times New Roman"/>
        </w:rPr>
      </w:pPr>
      <w:r>
        <w:rPr>
          <w:rFonts w:hint="eastAsia" w:ascii="Times New Roman" w:hAnsi="Times New Roman" w:eastAsia="仿宋_GB2312" w:cs="Times New Roman"/>
        </w:rPr>
        <w:t xml:space="preserve">   </w:t>
      </w:r>
      <w:r>
        <w:rPr>
          <w:rFonts w:ascii="Times New Roman" w:hAnsi="Times New Roman" w:eastAsia="仿宋_GB2312" w:cs="Times New Roman"/>
        </w:rPr>
        <w:t>（</w:t>
      </w:r>
      <w:r>
        <w:rPr>
          <w:rFonts w:hint="eastAsia" w:ascii="Times New Roman" w:hAnsi="Times New Roman" w:eastAsia="仿宋_GB2312" w:cs="Times New Roman"/>
        </w:rPr>
        <w:t>2</w:t>
      </w:r>
      <w:r>
        <w:rPr>
          <w:rFonts w:ascii="Times New Roman" w:hAnsi="Times New Roman" w:eastAsia="仿宋_GB2312" w:cs="Times New Roman"/>
        </w:rPr>
        <w:t>）新建住宅选址应</w:t>
      </w:r>
      <w:r>
        <w:rPr>
          <w:rFonts w:hint="eastAsia" w:ascii="Times New Roman" w:hAnsi="Times New Roman" w:eastAsia="仿宋_GB2312" w:cs="Times New Roman"/>
        </w:rPr>
        <w:t>经</w:t>
      </w:r>
      <w:r>
        <w:rPr>
          <w:rFonts w:ascii="Times New Roman" w:hAnsi="Times New Roman" w:eastAsia="仿宋_GB2312" w:cs="Times New Roman"/>
        </w:rPr>
        <w:t>村委会或村民小组三分之二以上成员或者三分之二以上村民代表同意。</w:t>
      </w:r>
    </w:p>
    <w:p w14:paraId="728019E0">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3.</w:t>
      </w:r>
      <w:r>
        <w:rPr>
          <w:rFonts w:hint="eastAsia" w:ascii="Times New Roman" w:hAnsi="Times New Roman" w:eastAsia="仿宋_GB2312" w:cs="Times New Roman"/>
        </w:rPr>
        <w:tab/>
      </w:r>
      <w:r>
        <w:rPr>
          <w:rFonts w:hint="eastAsia" w:ascii="Times New Roman" w:hAnsi="Times New Roman" w:eastAsia="仿宋_GB2312" w:cs="Times New Roman"/>
        </w:rPr>
        <w:t>乡村公共服务和基础服务设施选址要求</w:t>
      </w:r>
    </w:p>
    <w:p w14:paraId="376D889B">
      <w:pPr>
        <w:adjustRightInd w:val="0"/>
        <w:snapToGrid w:val="0"/>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 xml:space="preserve">农村公共服务设施及基础设施配置与选址要求除了应符合国家、地方相关行业标准和本规定通用选址要求外，还应符合以下规定： </w:t>
      </w:r>
    </w:p>
    <w:p w14:paraId="74EAA719">
      <w:pPr>
        <w:pStyle w:val="5"/>
        <w:adjustRightInd w:val="0"/>
        <w:snapToGrid w:val="0"/>
        <w:spacing w:line="360" w:lineRule="auto"/>
        <w:ind w:firstLine="640"/>
        <w:rPr>
          <w:rFonts w:ascii="Times New Roman" w:hAnsi="Times New Roman" w:eastAsia="仿宋_GB2312" w:cs="Times New Roman"/>
          <w:szCs w:val="32"/>
        </w:rPr>
      </w:pPr>
      <w:bookmarkStart w:id="29" w:name="OLE_LINK9"/>
      <w:bookmarkStart w:id="30" w:name="OLE_LINK8"/>
      <w:bookmarkStart w:id="31" w:name="OLE_LINK10"/>
      <w:r>
        <w:rPr>
          <w:rFonts w:ascii="Times New Roman" w:hAnsi="Times New Roman" w:eastAsia="仿宋_GB2312" w:cs="Times New Roman"/>
          <w:szCs w:val="32"/>
        </w:rPr>
        <w:t>（1）</w:t>
      </w:r>
      <w:bookmarkEnd w:id="29"/>
      <w:bookmarkEnd w:id="30"/>
      <w:bookmarkEnd w:id="31"/>
      <w:r>
        <w:rPr>
          <w:rFonts w:ascii="Times New Roman" w:hAnsi="Times New Roman" w:eastAsia="仿宋_GB2312" w:cs="Times New Roman"/>
          <w:szCs w:val="32"/>
        </w:rPr>
        <w:t>应集约用地</w:t>
      </w:r>
      <w:r>
        <w:rPr>
          <w:rFonts w:hint="eastAsia" w:ascii="Times New Roman" w:hAnsi="Times New Roman" w:eastAsia="仿宋_GB2312" w:cs="Times New Roman"/>
          <w:szCs w:val="32"/>
        </w:rPr>
        <w:t>，</w:t>
      </w:r>
      <w:r>
        <w:rPr>
          <w:rFonts w:ascii="Times New Roman" w:hAnsi="Times New Roman" w:eastAsia="仿宋_GB2312" w:cs="Times New Roman"/>
          <w:szCs w:val="32"/>
        </w:rPr>
        <w:t>尽量不拆迁、少占地，尽可能利用荒地和存量建设用地建设，不得占用永久基本农田、饮用水源保护区</w:t>
      </w:r>
      <w:r>
        <w:rPr>
          <w:rFonts w:hint="eastAsia" w:ascii="Times New Roman" w:hAnsi="Times New Roman" w:eastAsia="仿宋_GB2312" w:cs="Times New Roman"/>
          <w:szCs w:val="32"/>
        </w:rPr>
        <w:t>；</w:t>
      </w:r>
    </w:p>
    <w:p w14:paraId="7B11B40A">
      <w:pPr>
        <w:pStyle w:val="5"/>
        <w:adjustRightInd w:val="0"/>
        <w:snapToGrid w:val="0"/>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（2）宜选择交通、运输、供水、供电等较方便地段</w:t>
      </w:r>
      <w:r>
        <w:rPr>
          <w:rFonts w:hint="eastAsia" w:ascii="Times New Roman" w:hAnsi="Times New Roman" w:eastAsia="仿宋_GB2312" w:cs="Times New Roman"/>
          <w:szCs w:val="32"/>
        </w:rPr>
        <w:t>；</w:t>
      </w:r>
    </w:p>
    <w:p w14:paraId="5DF1A22F">
      <w:pPr>
        <w:pStyle w:val="5"/>
        <w:adjustRightInd w:val="0"/>
        <w:snapToGrid w:val="0"/>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（3）不宜设置在低洼易涝区。</w:t>
      </w:r>
    </w:p>
    <w:p w14:paraId="69CC0FFB">
      <w:pPr>
        <w:pStyle w:val="5"/>
        <w:adjustRightInd w:val="0"/>
        <w:snapToGrid w:val="0"/>
        <w:spacing w:line="360" w:lineRule="auto"/>
        <w:ind w:firstLine="640"/>
        <w:rPr>
          <w:rFonts w:ascii="Times New Roman" w:hAnsi="Times New Roman" w:eastAsia="仿宋_GB2312" w:cs="Times New Roman"/>
        </w:rPr>
      </w:pPr>
      <w:r>
        <w:rPr>
          <w:rFonts w:ascii="Times New Roman" w:hAnsi="Times New Roman" w:eastAsia="仿宋_GB2312" w:cs="Times New Roman"/>
        </w:rPr>
        <w:t>（</w:t>
      </w:r>
      <w:r>
        <w:rPr>
          <w:rFonts w:hint="eastAsia" w:ascii="Times New Roman" w:hAnsi="Times New Roman" w:eastAsia="仿宋_GB2312" w:cs="Times New Roman"/>
        </w:rPr>
        <w:t>4</w:t>
      </w:r>
      <w:r>
        <w:rPr>
          <w:rFonts w:ascii="Times New Roman" w:hAnsi="Times New Roman" w:eastAsia="仿宋_GB2312" w:cs="Times New Roman"/>
        </w:rPr>
        <w:t>）村庄公共厕所用地</w:t>
      </w:r>
      <w:r>
        <w:rPr>
          <w:rFonts w:hint="eastAsia" w:ascii="Times New Roman" w:hAnsi="Times New Roman" w:eastAsia="仿宋_GB2312" w:cs="Times New Roman"/>
        </w:rPr>
        <w:t>宜</w:t>
      </w:r>
      <w:r>
        <w:rPr>
          <w:rFonts w:ascii="Times New Roman" w:hAnsi="Times New Roman" w:eastAsia="仿宋_GB2312" w:cs="Times New Roman"/>
        </w:rPr>
        <w:t>选址</w:t>
      </w:r>
      <w:r>
        <w:rPr>
          <w:rFonts w:hint="eastAsia" w:ascii="Times New Roman" w:hAnsi="Times New Roman" w:eastAsia="仿宋_GB2312" w:cs="Times New Roman"/>
        </w:rPr>
        <w:t>在</w:t>
      </w:r>
      <w:r>
        <w:rPr>
          <w:rFonts w:ascii="Times New Roman" w:hAnsi="Times New Roman" w:eastAsia="仿宋_GB2312" w:cs="Times New Roman"/>
        </w:rPr>
        <w:t>人口较集中</w:t>
      </w:r>
      <w:r>
        <w:rPr>
          <w:rFonts w:hint="eastAsia" w:ascii="Times New Roman" w:hAnsi="Times New Roman" w:eastAsia="仿宋_GB2312" w:cs="Times New Roman"/>
        </w:rPr>
        <w:t>的</w:t>
      </w:r>
      <w:r>
        <w:rPr>
          <w:rFonts w:ascii="Times New Roman" w:hAnsi="Times New Roman" w:eastAsia="仿宋_GB2312" w:cs="Times New Roman"/>
        </w:rPr>
        <w:t>公共场所附近，村庄附式公厕可优先考虑与村委会、村民活动中心、老人活动站、卫生站等设施结合建设</w:t>
      </w:r>
      <w:r>
        <w:rPr>
          <w:rFonts w:hint="eastAsia" w:ascii="Times New Roman" w:hAnsi="Times New Roman" w:eastAsia="仿宋_GB2312" w:cs="Times New Roman"/>
        </w:rPr>
        <w:t>。</w:t>
      </w:r>
    </w:p>
    <w:p w14:paraId="66293964">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4.乡村产业项目布局要求</w:t>
      </w:r>
    </w:p>
    <w:p w14:paraId="6BCE109E">
      <w:pPr>
        <w:adjustRightInd w:val="0"/>
        <w:snapToGrid w:val="0"/>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除通用要求外，村庄产业用地选址布局还应当符合以下要求</w:t>
      </w:r>
      <w:r>
        <w:rPr>
          <w:rFonts w:hint="eastAsia" w:ascii="Times New Roman" w:hAnsi="Times New Roman" w:eastAsia="仿宋_GB2312" w:cs="Times New Roman"/>
        </w:rPr>
        <w:t>：</w:t>
      </w:r>
    </w:p>
    <w:p w14:paraId="52E9E3AA">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（1）</w:t>
      </w:r>
      <w:r>
        <w:rPr>
          <w:rFonts w:ascii="Times New Roman" w:hAnsi="Times New Roman" w:eastAsia="仿宋_GB2312" w:cs="Times New Roman"/>
        </w:rPr>
        <w:t>乡村产业项目选址应综合考虑现状交通基础、基础设施接入条件、形态管控等要求，按照国家、省、市有关文件精神，因地制宜、统筹布局。</w:t>
      </w:r>
    </w:p>
    <w:p w14:paraId="360C6595">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（2）符合农村一二三产业融合发展</w:t>
      </w:r>
      <w:r>
        <w:rPr>
          <w:rFonts w:ascii="Times New Roman" w:hAnsi="Times New Roman" w:eastAsia="仿宋_GB2312" w:cs="Times New Roman"/>
        </w:rPr>
        <w:t>的农产品加工、电子商务、仓储保鲜冷链、产地低温直销配送等产业</w:t>
      </w:r>
      <w:r>
        <w:rPr>
          <w:rFonts w:hint="eastAsia" w:ascii="Times New Roman" w:hAnsi="Times New Roman" w:eastAsia="仿宋_GB2312" w:cs="Times New Roman"/>
        </w:rPr>
        <w:t>项目或乡村旅游项目，</w:t>
      </w:r>
      <w:r>
        <w:rPr>
          <w:rFonts w:ascii="Times New Roman" w:hAnsi="Times New Roman" w:eastAsia="仿宋_GB2312" w:cs="Times New Roman"/>
        </w:rPr>
        <w:t>原则上应集中在村庄建设边界内；</w:t>
      </w:r>
      <w:r>
        <w:rPr>
          <w:rFonts w:hint="eastAsia" w:ascii="Times New Roman" w:hAnsi="Times New Roman" w:eastAsia="仿宋_GB2312" w:cs="Times New Roman"/>
        </w:rPr>
        <w:t>对因利用本村农业资源确实需要零星分布的生产</w:t>
      </w:r>
      <w:r>
        <w:rPr>
          <w:rFonts w:ascii="Times New Roman" w:hAnsi="Times New Roman" w:eastAsia="仿宋_GB2312" w:cs="Times New Roman"/>
        </w:rPr>
        <w:t>配套设施建设，可在不占用永久基本农田、不突破国土空间规划建设用地指标等约束条件、不破坏生态环境和乡村风貌的前提下，在村庄建设边界外安排少量建设用地，并依法办理农用地转用审批和供地手续。</w:t>
      </w:r>
    </w:p>
    <w:p w14:paraId="5609EB75">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（3）</w:t>
      </w:r>
      <w:r>
        <w:rPr>
          <w:rFonts w:ascii="Times New Roman" w:hAnsi="Times New Roman" w:eastAsia="仿宋_GB2312" w:cs="Times New Roman"/>
        </w:rPr>
        <w:t>村庄综合能源站（加油、加气、充电等）宜靠近公路布局</w:t>
      </w:r>
      <w:r>
        <w:rPr>
          <w:rFonts w:hint="eastAsia" w:ascii="Times New Roman" w:hAnsi="Times New Roman" w:eastAsia="仿宋_GB2312" w:cs="Times New Roman"/>
        </w:rPr>
        <w:t>，</w:t>
      </w:r>
      <w:r>
        <w:rPr>
          <w:rFonts w:ascii="Times New Roman" w:hAnsi="Times New Roman" w:eastAsia="仿宋_GB2312" w:cs="Times New Roman"/>
        </w:rPr>
        <w:t>但不宜选在公路交叉路口附近。村庄综合能源站的选址还应符合有关规划、环境保护和防火安全等要求，并应选在交通便利、用户使用方便的地点。</w:t>
      </w:r>
    </w:p>
    <w:p w14:paraId="097C5C53">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5.乡村设施农用地布局要求</w:t>
      </w:r>
    </w:p>
    <w:p w14:paraId="27CD543A">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设施农用地按农用地管理，不属于建设用地，仅限直接服务农业生产的生产设施、附属设施；严禁借以设施农用地名义搞非农建设、废品堆场、经营性加工、永久住宅。</w:t>
      </w:r>
      <w:bookmarkStart w:id="32" w:name="OLE_LINK11"/>
      <w:bookmarkStart w:id="33" w:name="OLE_LINK12"/>
    </w:p>
    <w:p w14:paraId="2868AD86">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w:t>
      </w:r>
      <w:r>
        <w:rPr>
          <w:rFonts w:ascii="Times New Roman" w:hAnsi="Times New Roman" w:eastAsia="仿宋_GB2312" w:cs="Times New Roman"/>
        </w:rPr>
        <w:t>1</w:t>
      </w:r>
      <w:r>
        <w:rPr>
          <w:rFonts w:hint="eastAsia" w:ascii="Times New Roman" w:hAnsi="Times New Roman" w:eastAsia="仿宋_GB2312" w:cs="Times New Roman"/>
        </w:rPr>
        <w:t>）</w:t>
      </w:r>
      <w:bookmarkEnd w:id="32"/>
      <w:bookmarkEnd w:id="33"/>
      <w:r>
        <w:rPr>
          <w:rFonts w:hint="eastAsia" w:ascii="Times New Roman" w:hAnsi="Times New Roman" w:eastAsia="仿宋_GB2312" w:cs="Times New Roman"/>
        </w:rPr>
        <w:t>选址应当符合农业产业发展规划，优先配套规模化农业生产片区，就近服务农业生产。优先选用荒山、荒坡、荒滩、低效闲置农用地、村内闲置边角地；确需占用一般耕地的，需落实耕地进出平衡。</w:t>
      </w:r>
      <w:bookmarkStart w:id="34" w:name="OLE_LINK14"/>
      <w:bookmarkStart w:id="35" w:name="OLE_LINK13"/>
    </w:p>
    <w:p w14:paraId="592AEFDD">
      <w:pPr>
        <w:adjustRightInd w:val="0"/>
        <w:snapToGrid w:val="0"/>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w:t>
      </w:r>
      <w:r>
        <w:rPr>
          <w:rFonts w:hint="eastAsia" w:ascii="Times New Roman" w:hAnsi="Times New Roman" w:eastAsia="仿宋_GB2312" w:cs="Times New Roman"/>
        </w:rPr>
        <w:t>2</w:t>
      </w:r>
      <w:r>
        <w:rPr>
          <w:rFonts w:ascii="Times New Roman" w:hAnsi="Times New Roman" w:eastAsia="仿宋_GB2312" w:cs="Times New Roman"/>
        </w:rPr>
        <w:t>）</w:t>
      </w:r>
      <w:bookmarkEnd w:id="34"/>
      <w:bookmarkEnd w:id="35"/>
      <w:r>
        <w:rPr>
          <w:rFonts w:hint="eastAsia" w:ascii="Times New Roman" w:hAnsi="Times New Roman" w:eastAsia="仿宋_GB2312" w:cs="Times New Roman"/>
        </w:rPr>
        <w:t>距离村庄集中居住点、学校、医院等敏感区域距离应符合环保卫生防护距离要求，减少异味、粪污扰民。</w:t>
      </w:r>
    </w:p>
    <w:p w14:paraId="00FE60D9">
      <w:pPr>
        <w:adjustRightInd w:val="0"/>
        <w:snapToGrid w:val="0"/>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w:t>
      </w:r>
      <w:r>
        <w:rPr>
          <w:rFonts w:hint="eastAsia" w:ascii="Times New Roman" w:hAnsi="Times New Roman" w:eastAsia="仿宋_GB2312" w:cs="Times New Roman"/>
        </w:rPr>
        <w:t>3</w:t>
      </w:r>
      <w:r>
        <w:rPr>
          <w:rFonts w:ascii="Times New Roman" w:hAnsi="Times New Roman" w:eastAsia="仿宋_GB2312" w:cs="Times New Roman"/>
        </w:rPr>
        <w:t>）</w:t>
      </w:r>
      <w:r>
        <w:rPr>
          <w:rFonts w:hint="eastAsia" w:ascii="Times New Roman" w:hAnsi="Times New Roman" w:eastAsia="仿宋_GB2312" w:cs="Times New Roman"/>
        </w:rPr>
        <w:t>设施农用地规划落图不单独编制图则，其用地规模及选址意见以乡镇（街道办）农业农村部门及乡镇自然资源和规划所意见为准。涉及林业、水利、生态环境等部门的，经营者应征求相关部门意见。具体备案监管应符合《安徽省自然资源厅 安徽省农业农村厅关于做好设施农用地管理有关工作的通知》（皖自然资耕〔</w:t>
      </w:r>
      <w:r>
        <w:rPr>
          <w:rFonts w:ascii="Times New Roman" w:hAnsi="Times New Roman" w:eastAsia="仿宋_GB2312" w:cs="Times New Roman"/>
        </w:rPr>
        <w:t>2026</w:t>
      </w:r>
      <w:r>
        <w:rPr>
          <w:rFonts w:hint="eastAsia" w:ascii="Times New Roman" w:hAnsi="Times New Roman" w:eastAsia="仿宋_GB2312" w:cs="Times New Roman"/>
        </w:rPr>
        <w:t>〕</w:t>
      </w:r>
      <w:r>
        <w:rPr>
          <w:rFonts w:ascii="Times New Roman" w:hAnsi="Times New Roman" w:eastAsia="仿宋_GB2312" w:cs="Times New Roman"/>
        </w:rPr>
        <w:t>1</w:t>
      </w:r>
      <w:r>
        <w:rPr>
          <w:rFonts w:hint="eastAsia" w:ascii="Times New Roman" w:hAnsi="Times New Roman" w:eastAsia="仿宋_GB2312" w:cs="Times New Roman"/>
        </w:rPr>
        <w:t>号）等相关政策文件要求。</w:t>
      </w:r>
    </w:p>
    <w:p w14:paraId="2D1CB5A1">
      <w:pPr>
        <w:adjustRightInd w:val="0"/>
        <w:snapToGrid w:val="0"/>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6.</w:t>
      </w:r>
      <w:r>
        <w:rPr>
          <w:rFonts w:ascii="Times New Roman" w:hAnsi="Times New Roman" w:eastAsia="仿宋_GB2312" w:cs="Times New Roman"/>
        </w:rPr>
        <w:t xml:space="preserve"> </w:t>
      </w:r>
      <w:r>
        <w:rPr>
          <w:rFonts w:hint="eastAsia" w:ascii="Times New Roman" w:hAnsi="Times New Roman" w:eastAsia="仿宋_GB2312" w:cs="Times New Roman"/>
        </w:rPr>
        <w:t xml:space="preserve">生态修复及国土综合整治 </w:t>
      </w:r>
    </w:p>
    <w:p w14:paraId="4170B290">
      <w:pPr>
        <w:pStyle w:val="5"/>
        <w:adjustRightInd w:val="0"/>
        <w:snapToGrid w:val="0"/>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水生态环境修复。主要位于龙河、闸河沿线，加强水系廊道生态修复，聚焦改善水环境、恢复水生态、修复水－城－人关系等主要任务，加强流域面源污染防治，优化水系连通，拓展水面和湿地空间，修复水生生境，强化作为生态廊道的品质和功能性，提升水生生物多样性水平，打造连通山水城融合的蓝绿生态景观廊道。</w:t>
      </w:r>
      <w:r>
        <w:rPr>
          <w:rFonts w:ascii="Times New Roman" w:hAnsi="Times New Roman" w:eastAsia="仿宋_GB2312" w:cs="Times New Roman"/>
          <w:szCs w:val="32"/>
        </w:rPr>
        <w:t xml:space="preserve"> </w:t>
      </w:r>
    </w:p>
    <w:p w14:paraId="1C3939A8">
      <w:pPr>
        <w:pStyle w:val="5"/>
        <w:adjustRightInd w:val="0"/>
        <w:snapToGrid w:val="0"/>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采煤沉陷区修复。按照“宜农则农、宜渔则渔、宜林则林”原则，对黄庄湖、刘洼湖等采煤沉陷区实施分区分类治理。推广“深改湖、浅造田、不深不浅种藕莲”等治理模式，将浅层塌陷区复垦为耕地，中深层区域发展水产养殖，稳定区域建设产业设施。对梧桐村废弃采石宕口开展生态修复，结合文旅融合发展观光农业和生态旅游，实现沉陷区生态修复与产业发展的有机统一。</w:t>
      </w:r>
    </w:p>
    <w:p w14:paraId="3674C157">
      <w:pPr>
        <w:pStyle w:val="5"/>
        <w:adjustRightInd w:val="0"/>
        <w:snapToGrid w:val="0"/>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林地生态修复。科学推进国土绿化，紧紧围绕“更新改造、扩面增绿、补植抚育、融合调整、增色添美”林业五大专项行动，坚持以自然恢复和保育保护为主；加大林业保护的法制宣传力度，对于生态保护区中的林地，要设立负责人保护制，加强巡逻监管；按照“宜乔则乔、宜灌则灌”原则，综合本地降水量、海拔、坡度等自然因子和规划条件，全面提升国土绿化质量，有序安排落实造林绿化任务，致力于水源地保洁和水土保持绿化，依水造林、以林涵水、以水养林、林茂水清，保护和修复流域自然生态环境。</w:t>
      </w:r>
    </w:p>
    <w:p w14:paraId="7322409E">
      <w:pPr>
        <w:pStyle w:val="5"/>
        <w:adjustRightInd w:val="0"/>
        <w:snapToGrid w:val="0"/>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稳妥推进全域土地综合整治。在充分尊重基层和群众意见的基础上，积极谋划石台镇全域土地综合整治工程，优化国土空间布局，推动农用地集中连片整治，通过建设用地整理有序盘活闲置低效建设用地，整体推进农用地整理、建设用地整治和生态保护修复以及地质灾害治理等。</w:t>
      </w:r>
    </w:p>
    <w:p w14:paraId="55B99C2D">
      <w:pPr>
        <w:pStyle w:val="25"/>
        <w:numPr>
          <w:ilvl w:val="0"/>
          <w:numId w:val="3"/>
        </w:numPr>
        <w:spacing w:line="360" w:lineRule="auto"/>
        <w:ind w:left="0" w:firstLine="643" w:firstLineChars="200"/>
        <w:outlineLvl w:val="1"/>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建设控制</w:t>
      </w:r>
    </w:p>
    <w:p w14:paraId="3C7F1A21">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rPr>
        <w:t>乡村地区</w:t>
      </w:r>
      <w:r>
        <w:rPr>
          <w:rFonts w:ascii="Times New Roman" w:hAnsi="Times New Roman" w:eastAsia="仿宋_GB2312" w:cs="Times New Roman"/>
        </w:rPr>
        <w:t>建设项目用地应当按照国家、省、</w:t>
      </w:r>
      <w:r>
        <w:rPr>
          <w:rFonts w:hint="eastAsia" w:ascii="Times New Roman" w:hAnsi="Times New Roman" w:eastAsia="仿宋_GB2312" w:cs="Times New Roman"/>
        </w:rPr>
        <w:t>地方</w:t>
      </w:r>
      <w:r>
        <w:rPr>
          <w:rFonts w:ascii="Times New Roman" w:hAnsi="Times New Roman" w:eastAsia="仿宋_GB2312" w:cs="Times New Roman"/>
        </w:rPr>
        <w:t>等相关规定，</w:t>
      </w:r>
      <w:r>
        <w:rPr>
          <w:rFonts w:hint="eastAsia" w:ascii="Times New Roman" w:hAnsi="Times New Roman" w:eastAsia="仿宋_GB2312" w:cs="Times New Roman"/>
        </w:rPr>
        <w:t>涉及地块容积率、建筑密度等规划管控指标按《安徽省建设用地使用标准》执行</w:t>
      </w:r>
      <w:r>
        <w:rPr>
          <w:rFonts w:hint="eastAsia" w:ascii="Times New Roman" w:hAnsi="Times New Roman" w:eastAsia="仿宋_GB2312" w:cs="Times New Roman"/>
          <w:szCs w:val="32"/>
        </w:rPr>
        <w:t>。</w:t>
      </w:r>
    </w:p>
    <w:p w14:paraId="5520BF7F">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rPr>
        <w:t xml:space="preserve">1. </w:t>
      </w:r>
      <w:r>
        <w:rPr>
          <w:rFonts w:hint="eastAsia" w:ascii="Times New Roman" w:hAnsi="Times New Roman" w:eastAsia="仿宋_GB2312" w:cs="Times New Roman"/>
          <w:szCs w:val="32"/>
        </w:rPr>
        <w:t>建筑间距控制。</w:t>
      </w:r>
    </w:p>
    <w:p w14:paraId="404FE46E">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建筑间距应不妨害周边地块相关权益，应保证相邻房屋的正常采光和通行要求，并符合《农村防火规范》（</w:t>
      </w:r>
      <w:r>
        <w:rPr>
          <w:rFonts w:ascii="Times New Roman" w:hAnsi="Times New Roman" w:eastAsia="仿宋_GB2312" w:cs="Times New Roman"/>
          <w:szCs w:val="32"/>
        </w:rPr>
        <w:t>GB 50039-2010</w:t>
      </w:r>
      <w:r>
        <w:rPr>
          <w:rFonts w:hint="eastAsia" w:ascii="Times New Roman" w:hAnsi="Times New Roman" w:eastAsia="仿宋_GB2312" w:cs="Times New Roman"/>
          <w:szCs w:val="32"/>
        </w:rPr>
        <w:t>）、《建筑防火通用规范》（</w:t>
      </w:r>
      <w:r>
        <w:rPr>
          <w:rFonts w:ascii="Times New Roman" w:hAnsi="Times New Roman" w:eastAsia="仿宋_GB2312" w:cs="Times New Roman"/>
          <w:szCs w:val="32"/>
        </w:rPr>
        <w:t>GB 50037-2022</w:t>
      </w:r>
      <w:r>
        <w:rPr>
          <w:rFonts w:hint="eastAsia" w:ascii="Times New Roman" w:hAnsi="Times New Roman" w:eastAsia="仿宋_GB2312" w:cs="Times New Roman"/>
          <w:szCs w:val="32"/>
        </w:rPr>
        <w:t>）、《建筑设计防火规范》（</w:t>
      </w:r>
      <w:r>
        <w:rPr>
          <w:rFonts w:ascii="Times New Roman" w:hAnsi="Times New Roman" w:eastAsia="仿宋_GB2312" w:cs="Times New Roman"/>
          <w:szCs w:val="32"/>
        </w:rPr>
        <w:t>GB50016-2014</w:t>
      </w:r>
      <w:r>
        <w:rPr>
          <w:rFonts w:hint="eastAsia" w:ascii="Times New Roman" w:hAnsi="Times New Roman" w:eastAsia="仿宋_GB2312" w:cs="Times New Roman"/>
          <w:szCs w:val="32"/>
        </w:rPr>
        <w:t>〔</w:t>
      </w:r>
      <w:r>
        <w:rPr>
          <w:rFonts w:ascii="Times New Roman" w:hAnsi="Times New Roman" w:eastAsia="仿宋_GB2312" w:cs="Times New Roman"/>
          <w:szCs w:val="32"/>
        </w:rPr>
        <w:t xml:space="preserve">2018 </w:t>
      </w:r>
      <w:r>
        <w:rPr>
          <w:rFonts w:hint="eastAsia" w:ascii="Times New Roman" w:hAnsi="Times New Roman" w:eastAsia="仿宋_GB2312" w:cs="Times New Roman"/>
          <w:szCs w:val="32"/>
        </w:rPr>
        <w:t>年版〕）等相关要求和建设标准。</w:t>
      </w:r>
    </w:p>
    <w:p w14:paraId="3D6D4767">
      <w:pPr>
        <w:pStyle w:val="5"/>
        <w:spacing w:line="360" w:lineRule="auto"/>
        <w:ind w:firstLine="640"/>
        <w:rPr>
          <w:rFonts w:ascii="Times New Roman" w:hAnsi="Times New Roman" w:eastAsia="仿宋_GB2312" w:cs="Times New Roman"/>
        </w:rPr>
      </w:pPr>
      <w:r>
        <w:rPr>
          <w:rFonts w:ascii="Times New Roman" w:hAnsi="Times New Roman" w:eastAsia="仿宋_GB2312" w:cs="Times New Roman"/>
          <w:szCs w:val="32"/>
        </w:rPr>
        <w:t>2.</w:t>
      </w:r>
      <w:r>
        <w:rPr>
          <w:rFonts w:hint="eastAsia" w:ascii="Times New Roman" w:hAnsi="Times New Roman" w:eastAsia="仿宋_GB2312" w:cs="Times New Roman"/>
          <w:szCs w:val="32"/>
        </w:rPr>
        <w:t>建筑退让距离控制</w:t>
      </w:r>
    </w:p>
    <w:p w14:paraId="2458FEC1">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建筑后退铁路、公路、城市道路、河道、架空电力线路、天燃气管道等的距在符合底线管控以及消防、施工、安全等要求的前提下，建筑后退用地边界可不作要求，涉及城镇道路的参照《淮北市国土空间详细规划技术管理导则》执行。</w:t>
      </w:r>
    </w:p>
    <w:p w14:paraId="0531FEC5">
      <w:pPr>
        <w:pStyle w:val="5"/>
        <w:spacing w:line="360" w:lineRule="auto"/>
        <w:ind w:firstLine="640"/>
        <w:rPr>
          <w:rFonts w:ascii="Times New Roman" w:hAnsi="Times New Roman" w:eastAsia="仿宋_GB2312" w:cs="Times New Roman"/>
          <w:szCs w:val="32"/>
          <w:highlight w:val="yellow"/>
        </w:rPr>
      </w:pPr>
      <w:r>
        <w:rPr>
          <w:rFonts w:hint="eastAsia" w:ascii="Times New Roman" w:hAnsi="Times New Roman" w:eastAsia="仿宋_GB2312" w:cs="Times New Roman"/>
          <w:szCs w:val="32"/>
        </w:rPr>
        <w:t>建筑退让铁路应满足《铁路安全管理条例》要求。建筑退让公路应满足《安徽省公路安全保护条例》要求。新建农村建筑退村内部道路宜</w:t>
      </w:r>
      <w:r>
        <w:rPr>
          <w:rFonts w:ascii="Times New Roman" w:hAnsi="Times New Roman" w:eastAsia="仿宋_GB2312" w:cs="Times New Roman"/>
          <w:szCs w:val="32"/>
        </w:rPr>
        <w:t>1</w:t>
      </w:r>
      <w:r>
        <w:rPr>
          <w:rFonts w:hint="eastAsia" w:ascii="Times New Roman" w:hAnsi="Times New Roman" w:eastAsia="仿宋_GB2312" w:cs="Times New Roman"/>
          <w:szCs w:val="32"/>
        </w:rPr>
        <w:t>米以上，临路方向后退距离如村内有约定的，按照约定退让距离执行。建筑退让河道应满足《安徽省河道管理范围内建设项目管理办法》及河道保护专项规划要求，未明确保护要求沿河道建设的，建设前需征求河道管理部门意见。</w:t>
      </w:r>
    </w:p>
    <w:p w14:paraId="04DA733F">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 xml:space="preserve"> </w:t>
      </w:r>
      <w:r>
        <w:rPr>
          <w:rFonts w:ascii="Times New Roman" w:hAnsi="Times New Roman" w:eastAsia="仿宋_GB2312" w:cs="Times New Roman"/>
          <w:szCs w:val="32"/>
        </w:rPr>
        <w:t>新建</w:t>
      </w:r>
      <w:r>
        <w:rPr>
          <w:rFonts w:hint="eastAsia" w:ascii="Times New Roman" w:hAnsi="Times New Roman" w:eastAsia="仿宋_GB2312" w:cs="Times New Roman"/>
          <w:szCs w:val="32"/>
        </w:rPr>
        <w:t>建筑</w:t>
      </w:r>
      <w:r>
        <w:rPr>
          <w:rFonts w:ascii="Times New Roman" w:hAnsi="Times New Roman" w:eastAsia="仿宋_GB2312" w:cs="Times New Roman"/>
          <w:szCs w:val="32"/>
        </w:rPr>
        <w:t>间距应不妨害相邻权、地役权，应保证相邻房屋的正常采光和通行要求，并符合现行农村防火规范、建筑设计防火规范等相关要求和建设标准。</w:t>
      </w:r>
    </w:p>
    <w:p w14:paraId="5EEC57E3">
      <w:pPr>
        <w:pStyle w:val="5"/>
        <w:spacing w:line="360" w:lineRule="auto"/>
        <w:ind w:firstLine="640"/>
        <w:rPr>
          <w:rFonts w:ascii="Times New Roman" w:hAnsi="Times New Roman" w:eastAsia="仿宋_GB2312" w:cs="Times New Roman"/>
        </w:rPr>
      </w:pPr>
      <w:r>
        <w:rPr>
          <w:rFonts w:ascii="Times New Roman" w:hAnsi="Times New Roman" w:eastAsia="仿宋_GB2312" w:cs="Times New Roman"/>
          <w:szCs w:val="32"/>
        </w:rPr>
        <w:t>3.</w:t>
      </w:r>
      <w:r>
        <w:rPr>
          <w:rFonts w:hint="eastAsia" w:ascii="Times New Roman" w:hAnsi="Times New Roman" w:eastAsia="仿宋_GB2312" w:cs="Times New Roman"/>
          <w:szCs w:val="32"/>
        </w:rPr>
        <w:t>建筑高度</w:t>
      </w:r>
    </w:p>
    <w:p w14:paraId="2BF491F5">
      <w:pPr>
        <w:pStyle w:val="5"/>
        <w:spacing w:line="360" w:lineRule="auto"/>
        <w:ind w:firstLine="640"/>
        <w:rPr>
          <w:rFonts w:ascii="Times New Roman" w:hAnsi="Times New Roman" w:eastAsia="仿宋_GB2312" w:cs="Times New Roman"/>
          <w:szCs w:val="32"/>
        </w:rPr>
      </w:pPr>
      <w:r>
        <w:rPr>
          <w:rFonts w:hint="eastAsia" w:ascii="Times New Roman" w:hAnsi="Times New Roman" w:eastAsia="仿宋_GB2312" w:cs="Times New Roman"/>
          <w:szCs w:val="32"/>
        </w:rPr>
        <w:t>石台镇乡村地区</w:t>
      </w:r>
      <w:r>
        <w:rPr>
          <w:rFonts w:ascii="Times New Roman" w:hAnsi="Times New Roman" w:eastAsia="仿宋_GB2312" w:cs="Times New Roman"/>
          <w:szCs w:val="32"/>
        </w:rPr>
        <w:t>建设的建筑高度应符合以下规定</w:t>
      </w:r>
      <w:r>
        <w:rPr>
          <w:rFonts w:hint="eastAsia" w:ascii="Times New Roman" w:hAnsi="Times New Roman" w:eastAsia="仿宋_GB2312" w:cs="Times New Roman"/>
          <w:szCs w:val="32"/>
        </w:rPr>
        <w:t>：</w:t>
      </w:r>
    </w:p>
    <w:p w14:paraId="60902C75">
      <w:pPr>
        <w:pStyle w:val="5"/>
        <w:spacing w:line="360" w:lineRule="auto"/>
        <w:ind w:firstLine="640"/>
        <w:rPr>
          <w:rFonts w:ascii="Times New Roman" w:hAnsi="Times New Roman" w:eastAsia="仿宋_GB2312" w:cs="Times New Roman"/>
          <w:szCs w:val="32"/>
        </w:rPr>
      </w:pPr>
      <w:r>
        <w:rPr>
          <w:rFonts w:ascii="Times New Roman" w:hAnsi="Times New Roman" w:eastAsia="仿宋_GB2312" w:cs="Times New Roman"/>
          <w:szCs w:val="32"/>
        </w:rPr>
        <w:t>（1）</w:t>
      </w:r>
      <w:r>
        <w:rPr>
          <w:rFonts w:ascii="Times New Roman" w:hAnsi="Times New Roman" w:eastAsia="仿宋_GB2312" w:cs="Times New Roman"/>
          <w:szCs w:val="32"/>
        </w:rPr>
        <w:tab/>
      </w:r>
      <w:r>
        <w:rPr>
          <w:rFonts w:ascii="Times New Roman" w:hAnsi="Times New Roman" w:eastAsia="仿宋_GB2312" w:cs="Times New Roman"/>
          <w:szCs w:val="32"/>
        </w:rPr>
        <w:t>农村村民住宅一般为2层，原则上不超过3层，层高不超过4米，引导错落有致布局</w:t>
      </w:r>
      <w:r>
        <w:rPr>
          <w:rFonts w:hint="eastAsia" w:ascii="Times New Roman" w:hAnsi="Times New Roman" w:eastAsia="仿宋_GB2312" w:cs="Times New Roman"/>
          <w:szCs w:val="32"/>
        </w:rPr>
        <w:t>；</w:t>
      </w:r>
      <w:r>
        <w:rPr>
          <w:rFonts w:ascii="Times New Roman" w:hAnsi="Times New Roman" w:eastAsia="仿宋_GB2312" w:cs="Times New Roman"/>
          <w:szCs w:val="32"/>
        </w:rPr>
        <w:t xml:space="preserve"> </w:t>
      </w:r>
    </w:p>
    <w:p w14:paraId="16067726">
      <w:pPr>
        <w:pStyle w:val="5"/>
        <w:spacing w:line="360" w:lineRule="auto"/>
        <w:ind w:firstLine="640"/>
        <w:rPr>
          <w:rFonts w:ascii="Times New Roman" w:hAnsi="Times New Roman" w:eastAsia="仿宋_GB2312" w:cs="Times New Roman"/>
        </w:rPr>
      </w:pPr>
      <w:r>
        <w:rPr>
          <w:rFonts w:hint="eastAsia" w:ascii="Times New Roman" w:hAnsi="Times New Roman" w:eastAsia="仿宋_GB2312" w:cs="Times New Roman"/>
          <w:szCs w:val="32"/>
        </w:rPr>
        <w:t>（</w:t>
      </w:r>
      <w:r>
        <w:rPr>
          <w:rFonts w:ascii="Times New Roman" w:hAnsi="Times New Roman" w:eastAsia="仿宋_GB2312" w:cs="Times New Roman"/>
          <w:szCs w:val="32"/>
        </w:rPr>
        <w:t>2</w:t>
      </w:r>
      <w:r>
        <w:rPr>
          <w:rFonts w:hint="eastAsia" w:ascii="Times New Roman" w:hAnsi="Times New Roman" w:eastAsia="仿宋_GB2312" w:cs="Times New Roman"/>
          <w:szCs w:val="32"/>
        </w:rPr>
        <w:t>）农村公共服务设施及基础设施建筑高度宜控制在</w:t>
      </w:r>
      <w:r>
        <w:rPr>
          <w:rFonts w:ascii="Times New Roman" w:hAnsi="Times New Roman" w:eastAsia="仿宋_GB2312" w:cs="Times New Roman"/>
          <w:szCs w:val="32"/>
        </w:rPr>
        <w:t>24</w:t>
      </w:r>
      <w:r>
        <w:rPr>
          <w:rFonts w:hint="eastAsia" w:ascii="Times New Roman" w:hAnsi="Times New Roman" w:eastAsia="仿宋_GB2312" w:cs="Times New Roman"/>
          <w:szCs w:val="32"/>
        </w:rPr>
        <w:t>米以下，农村小学、幼儿园的主要教学用房不应设在四层以上。</w:t>
      </w:r>
    </w:p>
    <w:p w14:paraId="11159CD6">
      <w:pPr>
        <w:pStyle w:val="5"/>
        <w:spacing w:line="360" w:lineRule="auto"/>
        <w:ind w:firstLine="640"/>
        <w:rPr>
          <w:rFonts w:ascii="Times New Roman" w:hAnsi="Times New Roman" w:eastAsia="仿宋_GB2312" w:cs="Times New Roman"/>
        </w:rPr>
      </w:pPr>
      <w:r>
        <w:rPr>
          <w:rFonts w:hint="eastAsia" w:ascii="Times New Roman" w:hAnsi="Times New Roman" w:eastAsia="仿宋_GB2312" w:cs="Times New Roman"/>
          <w:szCs w:val="32"/>
        </w:rPr>
        <w:t>（</w:t>
      </w:r>
      <w:r>
        <w:rPr>
          <w:rFonts w:ascii="Times New Roman" w:hAnsi="Times New Roman" w:eastAsia="仿宋_GB2312" w:cs="Times New Roman"/>
          <w:szCs w:val="32"/>
        </w:rPr>
        <w:t>3</w:t>
      </w:r>
      <w:r>
        <w:rPr>
          <w:rFonts w:hint="eastAsia" w:ascii="Times New Roman" w:hAnsi="Times New Roman" w:eastAsia="仿宋_GB2312" w:cs="Times New Roman"/>
          <w:szCs w:val="32"/>
        </w:rPr>
        <w:t>）工业、仓储、商业服务业项目项目建筑高度宜控制在</w:t>
      </w:r>
      <w:r>
        <w:rPr>
          <w:rFonts w:ascii="Times New Roman" w:hAnsi="Times New Roman" w:eastAsia="仿宋_GB2312" w:cs="Times New Roman"/>
          <w:szCs w:val="32"/>
        </w:rPr>
        <w:t>24</w:t>
      </w:r>
      <w:r>
        <w:rPr>
          <w:rFonts w:hint="eastAsia" w:ascii="Times New Roman" w:hAnsi="Times New Roman" w:eastAsia="仿宋_GB2312" w:cs="Times New Roman"/>
          <w:szCs w:val="32"/>
        </w:rPr>
        <w:t>米以下，结合项目类型确需提高建筑高度的，在符合行业安全、消防管理要求的前提下，可以适当提高。</w:t>
      </w:r>
    </w:p>
    <w:p w14:paraId="052E81C8">
      <w:pPr>
        <w:pStyle w:val="5"/>
        <w:spacing w:line="360" w:lineRule="auto"/>
        <w:ind w:firstLine="640"/>
        <w:outlineLvl w:val="2"/>
        <w:rPr>
          <w:rFonts w:ascii="Times New Roman" w:hAnsi="Times New Roman" w:eastAsia="仿宋_GB2312" w:cs="Times New Roman"/>
        </w:rPr>
      </w:pPr>
      <w:r>
        <w:rPr>
          <w:rFonts w:ascii="Times New Roman" w:hAnsi="Times New Roman" w:eastAsia="仿宋_GB2312" w:cs="Times New Roman"/>
          <w:szCs w:val="32"/>
        </w:rPr>
        <w:t>4.</w:t>
      </w:r>
      <w:r>
        <w:rPr>
          <w:rFonts w:hint="eastAsia" w:ascii="Times New Roman" w:hAnsi="Times New Roman" w:eastAsia="仿宋_GB2312" w:cs="Times New Roman"/>
          <w:szCs w:val="32"/>
        </w:rPr>
        <w:t>容积率</w:t>
      </w:r>
    </w:p>
    <w:p w14:paraId="6435866F">
      <w:pPr>
        <w:pStyle w:val="5"/>
        <w:spacing w:line="360" w:lineRule="auto"/>
        <w:ind w:firstLine="640"/>
        <w:rPr>
          <w:rFonts w:ascii="Times New Roman" w:hAnsi="Times New Roman" w:eastAsia="仿宋_GB2312" w:cs="Times New Roman"/>
        </w:rPr>
      </w:pPr>
      <w:r>
        <w:rPr>
          <w:rFonts w:hint="eastAsia" w:ascii="Times New Roman" w:hAnsi="Times New Roman" w:eastAsia="仿宋_GB2312" w:cs="Times New Roman"/>
          <w:szCs w:val="32"/>
        </w:rPr>
        <w:t>项目容积率应依据立项的产业类型及建设规模，严格执行</w:t>
      </w:r>
      <w:bookmarkStart w:id="36" w:name="OLE_LINK18"/>
      <w:bookmarkStart w:id="37" w:name="OLE_LINK17"/>
      <w:r>
        <w:rPr>
          <w:rFonts w:hint="eastAsia" w:ascii="Times New Roman" w:hAnsi="Times New Roman" w:eastAsia="仿宋_GB2312" w:cs="Times New Roman"/>
          <w:szCs w:val="32"/>
        </w:rPr>
        <w:t>《安徽省建设用地使用标准》</w:t>
      </w:r>
      <w:bookmarkEnd w:id="36"/>
      <w:bookmarkEnd w:id="37"/>
      <w:r>
        <w:rPr>
          <w:rFonts w:hint="eastAsia" w:ascii="Times New Roman" w:hAnsi="Times New Roman" w:eastAsia="仿宋_GB2312" w:cs="Times New Roman"/>
          <w:szCs w:val="32"/>
        </w:rPr>
        <w:t>（以自然资源主管部门认可的现行有效版本为准）。</w:t>
      </w:r>
    </w:p>
    <w:p w14:paraId="747333AD">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ascii="仿宋_GB2312" w:hAnsi="Calibri" w:eastAsia="仿宋_GB2312" w:cs="仿宋_GB2312"/>
          <w:sz w:val="32"/>
          <w:szCs w:val="32"/>
        </w:rPr>
        <w:t>5</w:t>
      </w:r>
      <w:r>
        <w:rPr>
          <w:rFonts w:hint="eastAsia" w:ascii="仿宋_GB2312" w:hAnsi="Calibri" w:eastAsia="仿宋_GB2312" w:cs="仿宋_GB2312"/>
          <w:sz w:val="32"/>
          <w:szCs w:val="32"/>
        </w:rPr>
        <w:t>.建筑风貌指引</w:t>
      </w:r>
    </w:p>
    <w:p w14:paraId="02926E82">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hint="eastAsia" w:ascii="仿宋_GB2312" w:hAnsi="Calibri" w:eastAsia="仿宋_GB2312" w:cs="仿宋_GB2312"/>
          <w:sz w:val="32"/>
          <w:szCs w:val="32"/>
        </w:rPr>
        <w:t>保护延续村落传统风貌，引导推进村庄有机更新。在维持村庄传统空间形态、街巷肌理、建筑风貌的基础上，对老旧建筑和设施进行改造升级、功能转型。农村住宅应体现皖北平原地区的特色，符合村庄整体景观风貌控制性要求，并符合《安徽省乡村风貌保护和提升导则（试行）》的相关规定。</w:t>
      </w:r>
    </w:p>
    <w:p w14:paraId="46A6320A">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hint="eastAsia" w:ascii="仿宋_GB2312" w:hAnsi="Calibri" w:eastAsia="仿宋_GB2312" w:cs="仿宋_GB2312"/>
          <w:sz w:val="32"/>
          <w:szCs w:val="32"/>
        </w:rPr>
        <w:t>6.人居环境指引</w:t>
      </w:r>
    </w:p>
    <w:p w14:paraId="70DA880B">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hint="eastAsia" w:ascii="仿宋_GB2312" w:hAnsi="Calibri" w:eastAsia="仿宋_GB2312" w:cs="仿宋_GB2312"/>
          <w:sz w:val="32"/>
          <w:szCs w:val="32"/>
        </w:rPr>
        <w:t>村庄建设宜参照《安徽省清洁村庄标准》，实现村民房前屋后、庭院、居室内外、厕所干净整洁，确保农村人居环境卫生得到长效维护和保持。中心村宜参照《安徽省和美乡村中心村建设验收办法》，着力推进垃圾处理、饮水安全巩固提升、卫生改厕、房前屋后环境整治、道路畅通、污水处理、河沟渠塘疏浚清淤、村庄绿化、村庄亮化等工作。</w:t>
      </w:r>
    </w:p>
    <w:p w14:paraId="0AA1F9BF">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第13条 重点地块图则</w:t>
      </w:r>
    </w:p>
    <w:p w14:paraId="02F6CFA9">
      <w:pPr>
        <w:pStyle w:val="17"/>
        <w:widowControl w:val="0"/>
        <w:spacing w:before="0" w:beforeAutospacing="0" w:after="0" w:afterAutospacing="0" w:line="600" w:lineRule="exact"/>
        <w:ind w:firstLine="640" w:firstLineChars="200"/>
        <w:jc w:val="both"/>
        <w:rPr>
          <w:rFonts w:ascii="仿宋_GB2312" w:hAnsi="Calibri" w:eastAsia="仿宋_GB2312" w:cs="仿宋_GB2312"/>
          <w:sz w:val="32"/>
          <w:szCs w:val="32"/>
        </w:rPr>
      </w:pPr>
      <w:r>
        <w:rPr>
          <w:rFonts w:hint="eastAsia" w:ascii="仿宋_GB2312" w:hAnsi="Calibri" w:eastAsia="仿宋_GB2312" w:cs="仿宋_GB2312"/>
          <w:sz w:val="32"/>
          <w:szCs w:val="32"/>
        </w:rPr>
        <w:t>拟实施除村民单独申请住房建设以外的其他乡村建设项目，根据规划实施和许可管理需要，将项目单宗地或若干高度关联的多个宗地(区域)作为重点地块，编制重点地块图则，地块图则需明确土地位置、用途、用地规模、容积率、建筑密度、建筑高度、建筑退让、主要出入口等控制要求，加强对建筑风貌的引导为适应乡村地区发展变化，提高规划实施效能，规划管控图则可适时动态增补。</w:t>
      </w:r>
    </w:p>
    <w:p w14:paraId="51892D82">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第14条 规划许可管理</w:t>
      </w:r>
    </w:p>
    <w:p w14:paraId="16A3A707">
      <w:pPr>
        <w:spacing w:line="360" w:lineRule="auto"/>
        <w:ind w:firstLine="640" w:firstLineChars="200"/>
        <w:rPr>
          <w:rFonts w:ascii="仿宋_GB2312" w:hAnsi="Calibri" w:eastAsia="仿宋_GB2312" w:cs="仿宋_GB2312"/>
        </w:rPr>
      </w:pPr>
      <w:r>
        <w:rPr>
          <w:rFonts w:hint="eastAsia" w:ascii="仿宋_GB2312" w:hAnsi="仓耳渔阳体 W03" w:eastAsia="仿宋_GB2312" w:cs="Times New Roman"/>
          <w:color w:val="000000"/>
          <w:szCs w:val="28"/>
        </w:rPr>
        <w:t>适用“通则式”规划技术管理规定的项目，</w:t>
      </w:r>
      <w:r>
        <w:rPr>
          <w:rFonts w:hint="eastAsia" w:ascii="仿宋_GB2312" w:hAnsi="仓耳渔阳体 W03" w:eastAsia="仿宋_GB2312" w:cs="Times New Roman"/>
          <w:szCs w:val="28"/>
        </w:rPr>
        <w:t>按照上文建设指标控制办理规划许可。</w:t>
      </w:r>
      <w:r>
        <w:rPr>
          <w:rFonts w:hint="eastAsia" w:ascii="仿宋_GB2312" w:hAnsi="Calibri" w:eastAsia="仿宋_GB2312" w:cs="仿宋_GB2312"/>
        </w:rPr>
        <w:t>经审定的重点地块图则，应按相关要求标准形成矢量数据，纳入镇级国土空间总体规划数据库，同步叠加至国土空间规划“一张图”后，作为办理用地审批和乡村建设规划许可的依据。</w:t>
      </w:r>
      <w:r>
        <w:rPr>
          <w:rFonts w:ascii="仿宋_GB2312" w:hAnsi="Calibri" w:eastAsia="仿宋_GB2312" w:cs="仿宋_GB2312"/>
        </w:rPr>
        <w:br w:type="page"/>
      </w:r>
    </w:p>
    <w:p w14:paraId="04D49D60">
      <w:pPr>
        <w:spacing w:line="360" w:lineRule="auto"/>
        <w:ind w:firstLine="640" w:firstLineChars="200"/>
        <w:rPr>
          <w:rFonts w:ascii="Times New Roman" w:hAnsi="Times New Roman" w:eastAsia="仿宋_GB2312" w:cs="Times New Roman"/>
        </w:rPr>
        <w:sectPr>
          <w:footerReference r:id="rId9" w:type="default"/>
          <w:pgSz w:w="11906" w:h="16838"/>
          <w:pgMar w:top="1230" w:right="1440" w:bottom="1230" w:left="1440" w:header="851" w:footer="907" w:gutter="0"/>
          <w:pgNumType w:start="1"/>
          <w:cols w:space="425" w:num="1"/>
          <w:docGrid w:type="lines" w:linePitch="435" w:charSpace="0"/>
        </w:sectPr>
      </w:pPr>
    </w:p>
    <w:p w14:paraId="276A1152">
      <w:pPr>
        <w:pStyle w:val="2"/>
        <w:spacing w:before="217" w:beforeLines="50" w:after="217" w:afterLines="50" w:line="360" w:lineRule="auto"/>
        <w:jc w:val="center"/>
        <w:rPr>
          <w:rFonts w:ascii="Times New Roman" w:hAnsi="Times New Roman" w:eastAsia="黑体" w:cs="Times New Roman"/>
          <w:sz w:val="36"/>
          <w:szCs w:val="36"/>
        </w:rPr>
      </w:pPr>
      <w:bookmarkStart w:id="38" w:name="_Toc240384047"/>
      <w:bookmarkStart w:id="39" w:name="_Toc13311"/>
      <w:bookmarkStart w:id="40" w:name="_Toc23434"/>
      <w:bookmarkStart w:id="41" w:name="_Toc7406"/>
      <w:r>
        <w:rPr>
          <w:rFonts w:hint="eastAsia" w:ascii="Times New Roman" w:hAnsi="Times New Roman" w:eastAsia="黑体" w:cs="Times New Roman"/>
          <w:b w:val="0"/>
          <w:sz w:val="36"/>
          <w:szCs w:val="36"/>
        </w:rPr>
        <w:t>第四章</w:t>
      </w:r>
      <w:r>
        <w:rPr>
          <w:rFonts w:ascii="Times New Roman" w:hAnsi="Times New Roman" w:eastAsia="黑体" w:cs="Times New Roman"/>
          <w:b w:val="0"/>
          <w:sz w:val="36"/>
          <w:szCs w:val="36"/>
        </w:rPr>
        <w:t xml:space="preserve"> </w:t>
      </w:r>
      <w:r>
        <w:rPr>
          <w:rFonts w:hint="eastAsia" w:ascii="Times New Roman" w:hAnsi="Times New Roman" w:eastAsia="黑体" w:cs="Times New Roman"/>
          <w:b w:val="0"/>
          <w:sz w:val="36"/>
          <w:szCs w:val="36"/>
        </w:rPr>
        <w:t>用地兼容管控</w:t>
      </w:r>
      <w:bookmarkEnd w:id="38"/>
      <w:bookmarkEnd w:id="39"/>
      <w:bookmarkEnd w:id="40"/>
      <w:bookmarkEnd w:id="41"/>
    </w:p>
    <w:p w14:paraId="2B273BCD">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第15条 总体要求</w:t>
      </w:r>
    </w:p>
    <w:p w14:paraId="1B2DE61E">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在不突破国土空间底线管控和规划强制性内容、不涉及村庄安全问题、不影响村庄公共利益及村庄整体风貌的前提下，允许同一地块内不同使用功能的兼容，增加土地管控弹性。</w:t>
      </w:r>
      <w:r>
        <w:rPr>
          <w:rFonts w:ascii="Times New Roman" w:hAnsi="Times New Roman" w:eastAsia="仿宋_GB2312" w:cs="Times New Roman"/>
        </w:rPr>
        <w:t>建设用地因改变主导功能确需转变用途且符合用地兼容管理要求的，应编制重要地块图则，并按照相关程序执行。</w:t>
      </w:r>
    </w:p>
    <w:p w14:paraId="4FE3C5E2">
      <w:pPr>
        <w:rPr>
          <w:rFonts w:ascii="Times New Roman" w:hAnsi="Times New Roman" w:eastAsia="仿宋_GB2312" w:cs="Times New Roman"/>
        </w:rPr>
        <w:sectPr>
          <w:pgSz w:w="11906" w:h="16838"/>
          <w:pgMar w:top="1230" w:right="1440" w:bottom="1230" w:left="1440" w:header="851" w:footer="907" w:gutter="0"/>
          <w:cols w:space="425" w:num="1"/>
          <w:docGrid w:type="lines" w:linePitch="435" w:charSpace="0"/>
        </w:sectPr>
      </w:pPr>
      <w:r>
        <w:rPr>
          <w:rFonts w:hint="eastAsia" w:ascii="Times New Roman" w:hAnsi="Times New Roman" w:eastAsia="仿宋_GB2312" w:cs="Times New Roman"/>
        </w:rPr>
        <w:t xml:space="preserve">    在符合相关产业政策、生态环保及消防安全的的前提下，经村民会议及地块周边权属人同意的情况下，允许以上第7条各类规划地类用途之间相互兼容。</w:t>
      </w:r>
    </w:p>
    <w:p w14:paraId="702B3F1F">
      <w:pPr>
        <w:pStyle w:val="2"/>
        <w:spacing w:before="217" w:beforeLines="50" w:after="217" w:afterLines="50" w:line="360" w:lineRule="auto"/>
        <w:jc w:val="center"/>
        <w:rPr>
          <w:rFonts w:ascii="Times New Roman" w:hAnsi="Times New Roman" w:eastAsia="黑体" w:cs="Times New Roman"/>
          <w:b w:val="0"/>
          <w:sz w:val="36"/>
          <w:szCs w:val="36"/>
        </w:rPr>
      </w:pPr>
      <w:bookmarkStart w:id="42" w:name="_Toc5525"/>
      <w:bookmarkStart w:id="43" w:name="_Toc7045"/>
      <w:bookmarkStart w:id="44" w:name="_Toc6624"/>
      <w:bookmarkStart w:id="45" w:name="_Toc240384048"/>
      <w:r>
        <w:rPr>
          <w:rFonts w:ascii="Times New Roman" w:hAnsi="Times New Roman" w:eastAsia="黑体" w:cs="Times New Roman"/>
          <w:b w:val="0"/>
          <w:sz w:val="36"/>
          <w:szCs w:val="36"/>
        </w:rPr>
        <w:t>第五章 实施保障</w:t>
      </w:r>
      <w:bookmarkEnd w:id="42"/>
      <w:bookmarkEnd w:id="43"/>
      <w:bookmarkEnd w:id="44"/>
      <w:bookmarkEnd w:id="45"/>
    </w:p>
    <w:p w14:paraId="4621882A">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第16条 评估调整</w:t>
      </w:r>
    </w:p>
    <w:p w14:paraId="0F718F7F">
      <w:pPr>
        <w:widowControl/>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本</w:t>
      </w:r>
      <w:r>
        <w:rPr>
          <w:rFonts w:ascii="Times New Roman" w:hAnsi="Times New Roman" w:eastAsia="仿宋_GB2312" w:cs="Times New Roman"/>
        </w:rPr>
        <w:t>规定批准实施后，因国家政策调整、乡村振兴项目建设需要，经评估无需修改的，可按照本文件有关规定，对</w:t>
      </w:r>
      <w:r>
        <w:rPr>
          <w:rFonts w:hint="eastAsia" w:ascii="Times New Roman" w:hAnsi="Times New Roman" w:eastAsia="仿宋_GB2312" w:cs="Times New Roman"/>
        </w:rPr>
        <w:t>本</w:t>
      </w:r>
      <w:r>
        <w:rPr>
          <w:rFonts w:ascii="Times New Roman" w:hAnsi="Times New Roman" w:eastAsia="仿宋_GB2312" w:cs="Times New Roman"/>
        </w:rPr>
        <w:t>规定通则、重点地块图则适时动态增补。因经济社会发展、</w:t>
      </w:r>
      <w:r>
        <w:rPr>
          <w:rFonts w:hint="eastAsia" w:ascii="Times New Roman" w:hAnsi="Times New Roman" w:eastAsia="仿宋_GB2312" w:cs="Times New Roman"/>
        </w:rPr>
        <w:t>乡村地区</w:t>
      </w:r>
      <w:r>
        <w:rPr>
          <w:rFonts w:ascii="Times New Roman" w:hAnsi="Times New Roman" w:eastAsia="仿宋_GB2312" w:cs="Times New Roman"/>
        </w:rPr>
        <w:t>开发保护利用需要，以及审批机关确定的其他情形确需修改的，经征求村民自治组织及利害关系人意见后，按照原审批程序组织修改。原则上不</w:t>
      </w:r>
      <w:r>
        <w:rPr>
          <w:rFonts w:hint="eastAsia" w:ascii="Times New Roman" w:hAnsi="Times New Roman" w:eastAsia="仿宋_GB2312" w:cs="Times New Roman"/>
        </w:rPr>
        <w:t>得</w:t>
      </w:r>
      <w:r>
        <w:rPr>
          <w:rFonts w:ascii="Times New Roman" w:hAnsi="Times New Roman" w:eastAsia="仿宋_GB2312" w:cs="Times New Roman"/>
        </w:rPr>
        <w:t>突破</w:t>
      </w:r>
      <w:r>
        <w:rPr>
          <w:rFonts w:hint="eastAsia" w:ascii="Times New Roman" w:hAnsi="Times New Roman" w:eastAsia="仿宋_GB2312" w:cs="Times New Roman"/>
        </w:rPr>
        <w:t>《淮北市杜集区石台镇国土空间总体规划（2021—2035年）》</w:t>
      </w:r>
      <w:r>
        <w:rPr>
          <w:rFonts w:ascii="Times New Roman" w:hAnsi="Times New Roman" w:eastAsia="仿宋_GB2312" w:cs="Times New Roman"/>
        </w:rPr>
        <w:t>确定的强制性内容、约束性指标，确需突破的，按照法定程序先修改相应层级的国土空间总体规划。</w:t>
      </w:r>
    </w:p>
    <w:p w14:paraId="3AC58B94">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第17条 程序要求</w:t>
      </w:r>
    </w:p>
    <w:p w14:paraId="47887AEA">
      <w:pPr>
        <w:spacing w:line="360" w:lineRule="auto"/>
        <w:ind w:firstLine="640" w:firstLineChars="200"/>
        <w:rPr>
          <w:rFonts w:ascii="Times New Roman" w:hAnsi="Times New Roman" w:eastAsia="仿宋_GB2312" w:cs="Times New Roman"/>
        </w:rPr>
      </w:pPr>
      <w:r>
        <w:rPr>
          <w:rFonts w:ascii="Times New Roman" w:hAnsi="Times New Roman" w:eastAsia="仿宋_GB2312" w:cs="Times New Roman"/>
        </w:rPr>
        <w:t>依据本规定</w:t>
      </w:r>
      <w:r>
        <w:rPr>
          <w:rFonts w:hint="eastAsia" w:ascii="Times New Roman" w:hAnsi="Times New Roman" w:eastAsia="仿宋_GB2312" w:cs="Times New Roman"/>
        </w:rPr>
        <w:t>动态增补</w:t>
      </w:r>
      <w:r>
        <w:rPr>
          <w:rFonts w:ascii="Times New Roman" w:hAnsi="Times New Roman" w:eastAsia="仿宋_GB2312" w:cs="Times New Roman"/>
        </w:rPr>
        <w:t>重点地块图则的乡村建设项目，由</w:t>
      </w:r>
      <w:r>
        <w:rPr>
          <w:rFonts w:hint="eastAsia" w:ascii="Times New Roman" w:hAnsi="Times New Roman" w:eastAsia="仿宋_GB2312" w:cs="Times New Roman"/>
        </w:rPr>
        <w:t>石台镇</w:t>
      </w:r>
      <w:r>
        <w:rPr>
          <w:rFonts w:ascii="Times New Roman" w:hAnsi="Times New Roman" w:eastAsia="仿宋_GB2312" w:cs="Times New Roman"/>
        </w:rPr>
        <w:t>人民政府组织编制相应图则</w:t>
      </w:r>
      <w:r>
        <w:rPr>
          <w:rFonts w:hint="eastAsia" w:ascii="Times New Roman" w:hAnsi="Times New Roman" w:eastAsia="仿宋_GB2312" w:cs="Times New Roman"/>
        </w:rPr>
        <w:t>，经村（居）民会议或村（居）民代表会议审议通过，报淮北市自然资源和规划局杜集分局审查，审查通过后将重点地块图则在村（居）委会公开栏和政府网站公示，公示期不少于</w:t>
      </w:r>
      <w:r>
        <w:rPr>
          <w:rFonts w:ascii="Times New Roman" w:hAnsi="Times New Roman" w:eastAsia="仿宋_GB2312" w:cs="Times New Roman"/>
        </w:rPr>
        <w:t>30</w:t>
      </w:r>
      <w:r>
        <w:rPr>
          <w:rFonts w:hint="eastAsia" w:ascii="Times New Roman" w:hAnsi="Times New Roman" w:eastAsia="仿宋_GB2312" w:cs="Times New Roman"/>
        </w:rPr>
        <w:t>日，公示无异议后报杜集区人民政府批准实施</w:t>
      </w:r>
      <w:r>
        <w:rPr>
          <w:rFonts w:ascii="Times New Roman" w:hAnsi="Times New Roman" w:eastAsia="仿宋_GB2312" w:cs="Times New Roman"/>
        </w:rPr>
        <w:t>。</w:t>
      </w:r>
    </w:p>
    <w:p w14:paraId="59E04E27">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第18条 其他事项</w:t>
      </w:r>
    </w:p>
    <w:p w14:paraId="0D2324A2">
      <w:pPr>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石台镇乡村地区</w:t>
      </w:r>
      <w:r>
        <w:rPr>
          <w:rFonts w:ascii="Times New Roman" w:hAnsi="Times New Roman" w:eastAsia="仿宋_GB2312" w:cs="Times New Roman"/>
        </w:rPr>
        <w:t>的规划管理除符合本规定外，还应符合国家、省、市发布的其他有关要求。</w:t>
      </w:r>
    </w:p>
    <w:p w14:paraId="13CF52AE">
      <w:pPr>
        <w:pStyle w:val="2"/>
        <w:spacing w:before="217" w:beforeLines="50" w:after="217" w:afterLines="50" w:line="360" w:lineRule="auto"/>
        <w:jc w:val="center"/>
        <w:rPr>
          <w:rFonts w:ascii="Times New Roman" w:hAnsi="Times New Roman" w:eastAsia="黑体" w:cs="Times New Roman"/>
          <w:sz w:val="36"/>
          <w:szCs w:val="36"/>
        </w:rPr>
      </w:pPr>
      <w:bookmarkStart w:id="46" w:name="_Toc22685"/>
      <w:bookmarkStart w:id="47" w:name="_Toc3571"/>
      <w:bookmarkStart w:id="48" w:name="_Toc240384049"/>
      <w:bookmarkStart w:id="49" w:name="_Toc20354"/>
      <w:r>
        <w:rPr>
          <w:rFonts w:hint="eastAsia" w:ascii="Times New Roman" w:hAnsi="Times New Roman" w:eastAsia="黑体" w:cs="Times New Roman"/>
          <w:b w:val="0"/>
          <w:sz w:val="36"/>
          <w:szCs w:val="36"/>
        </w:rPr>
        <w:t>第六章</w:t>
      </w:r>
      <w:r>
        <w:rPr>
          <w:rFonts w:ascii="Times New Roman" w:hAnsi="Times New Roman" w:eastAsia="黑体" w:cs="Times New Roman"/>
          <w:b w:val="0"/>
          <w:sz w:val="36"/>
          <w:szCs w:val="36"/>
        </w:rPr>
        <w:t xml:space="preserve"> </w:t>
      </w:r>
      <w:r>
        <w:rPr>
          <w:rFonts w:hint="eastAsia" w:ascii="Times New Roman" w:hAnsi="Times New Roman" w:eastAsia="黑体" w:cs="Times New Roman"/>
          <w:b w:val="0"/>
          <w:sz w:val="36"/>
          <w:szCs w:val="36"/>
        </w:rPr>
        <w:t>附则</w:t>
      </w:r>
      <w:bookmarkEnd w:id="46"/>
      <w:bookmarkEnd w:id="47"/>
      <w:bookmarkEnd w:id="48"/>
      <w:bookmarkEnd w:id="49"/>
    </w:p>
    <w:p w14:paraId="13A3A119">
      <w:pPr>
        <w:pStyle w:val="7"/>
        <w:ind w:firstLine="643" w:firstLineChars="200"/>
        <w:rPr>
          <w:rFonts w:hint="eastAsia" w:ascii="仿宋_GB2312" w:hAnsi="楷体" w:eastAsia="仿宋_GB2312" w:cs="楷体"/>
          <w:b/>
          <w:sz w:val="32"/>
          <w:szCs w:val="30"/>
        </w:rPr>
      </w:pPr>
      <w:r>
        <w:rPr>
          <w:rFonts w:hint="eastAsia" w:ascii="仿宋_GB2312" w:hAnsi="楷体" w:eastAsia="仿宋_GB2312" w:cs="楷体"/>
          <w:b/>
          <w:sz w:val="32"/>
          <w:szCs w:val="30"/>
        </w:rPr>
        <w:t xml:space="preserve">第19条 </w:t>
      </w:r>
      <w:r>
        <w:rPr>
          <w:rFonts w:ascii="仿宋_GB2312" w:hAnsi="楷体" w:eastAsia="仿宋_GB2312" w:cs="楷体"/>
          <w:b/>
          <w:sz w:val="32"/>
          <w:szCs w:val="30"/>
        </w:rPr>
        <w:t xml:space="preserve"> </w:t>
      </w:r>
      <w:r>
        <w:rPr>
          <w:rFonts w:hint="eastAsia" w:ascii="仿宋_GB2312" w:hAnsi="楷体" w:eastAsia="仿宋_GB2312" w:cs="楷体"/>
          <w:b/>
          <w:sz w:val="32"/>
          <w:szCs w:val="30"/>
        </w:rPr>
        <w:t>本规定自公布之日起施行。</w:t>
      </w:r>
    </w:p>
    <w:p w14:paraId="3EA5D8D6">
      <w:pPr>
        <w:widowControl/>
        <w:spacing w:line="360" w:lineRule="auto"/>
        <w:ind w:firstLine="640" w:firstLineChars="200"/>
        <w:rPr>
          <w:rFonts w:ascii="Times New Roman" w:hAnsi="Times New Roman" w:eastAsia="仿宋_GB2312" w:cs="Times New Roman"/>
        </w:rPr>
      </w:pPr>
      <w:r>
        <w:rPr>
          <w:rFonts w:hint="eastAsia" w:ascii="Times New Roman" w:hAnsi="Times New Roman" w:eastAsia="仿宋_GB2312" w:cs="Times New Roman"/>
        </w:rPr>
        <w:t>本规定由淮北市石台镇人民政府负责解释，自杜集区人民政府批准之日起施行。</w:t>
      </w:r>
    </w:p>
    <w:p w14:paraId="7B7C66BA">
      <w:pPr>
        <w:widowControl/>
        <w:spacing w:line="360" w:lineRule="auto"/>
        <w:rPr>
          <w:rFonts w:ascii="Times New Roman" w:hAnsi="Times New Roman" w:eastAsia="仿宋_GB2312" w:cs="Times New Roman"/>
        </w:rPr>
        <w:sectPr>
          <w:pgSz w:w="11906" w:h="16838"/>
          <w:pgMar w:top="1230" w:right="1440" w:bottom="1230" w:left="1440" w:header="851" w:footer="907" w:gutter="0"/>
          <w:cols w:space="425" w:num="1"/>
          <w:docGrid w:type="lines" w:linePitch="435" w:charSpace="0"/>
        </w:sectPr>
      </w:pPr>
    </w:p>
    <w:p w14:paraId="4C3EF065">
      <w:pPr>
        <w:pStyle w:val="2"/>
        <w:spacing w:before="217" w:beforeLines="50" w:after="217" w:afterLines="50" w:line="360" w:lineRule="auto"/>
        <w:jc w:val="left"/>
        <w:rPr>
          <w:rFonts w:ascii="Times New Roman" w:hAnsi="Times New Roman" w:eastAsia="黑体" w:cs="Times New Roman"/>
          <w:b w:val="0"/>
          <w:sz w:val="36"/>
        </w:rPr>
      </w:pPr>
      <w:bookmarkStart w:id="50" w:name="_Toc2254"/>
      <w:bookmarkStart w:id="51" w:name="_Toc12816"/>
      <w:bookmarkStart w:id="52" w:name="_Toc10179"/>
      <w:bookmarkStart w:id="53" w:name="_Toc240384050"/>
      <w:bookmarkStart w:id="54" w:name="_Toc23597"/>
      <w:r>
        <w:rPr>
          <w:rFonts w:ascii="Times New Roman" w:hAnsi="Times New Roman" w:eastAsia="黑体" w:cs="Times New Roman"/>
          <w:b w:val="0"/>
          <w:sz w:val="36"/>
        </w:rPr>
        <w:t>附</w:t>
      </w:r>
      <w:r>
        <w:rPr>
          <w:rFonts w:hint="eastAsia" w:ascii="Times New Roman" w:hAnsi="Times New Roman" w:eastAsia="黑体" w:cs="Times New Roman"/>
          <w:b w:val="0"/>
          <w:sz w:val="36"/>
        </w:rPr>
        <w:t>件</w:t>
      </w:r>
      <w:bookmarkEnd w:id="50"/>
      <w:bookmarkEnd w:id="51"/>
      <w:bookmarkEnd w:id="52"/>
      <w:bookmarkEnd w:id="53"/>
      <w:bookmarkEnd w:id="54"/>
    </w:p>
    <w:p w14:paraId="25992B8F">
      <w:pPr>
        <w:shd w:val="clear" w:color="auto" w:fill="FFFFFF"/>
        <w:snapToGrid w:val="0"/>
        <w:spacing w:before="435" w:beforeLines="100"/>
        <w:jc w:val="center"/>
        <w:outlineLvl w:val="0"/>
        <w:rPr>
          <w:rFonts w:hint="eastAsia" w:ascii="黑体" w:hAnsi="黑体" w:eastAsia="黑体" w:cs="黑体"/>
          <w:color w:val="000000"/>
          <w:spacing w:val="-4"/>
          <w:sz w:val="36"/>
          <w:shd w:val="clear" w:color="auto" w:fill="FFFFFF"/>
        </w:rPr>
      </w:pPr>
      <w:bookmarkStart w:id="55" w:name="_Toc18068"/>
      <w:bookmarkStart w:id="56" w:name="_Toc18135"/>
      <w:bookmarkStart w:id="57" w:name="_Toc240384051"/>
      <w:r>
        <w:rPr>
          <w:rFonts w:hint="eastAsia" w:ascii="黑体" w:hAnsi="黑体" w:eastAsia="黑体" w:cs="黑体"/>
          <w:color w:val="000000"/>
          <w:spacing w:val="-4"/>
          <w:sz w:val="36"/>
          <w:shd w:val="clear" w:color="auto" w:fill="FFFFFF"/>
        </w:rPr>
        <w:t>乡村地区国土空间用途管制负面清单</w:t>
      </w:r>
      <w:bookmarkEnd w:id="55"/>
      <w:bookmarkEnd w:id="56"/>
      <w:bookmarkEnd w:id="57"/>
    </w:p>
    <w:p w14:paraId="0028D0C3">
      <w:pPr>
        <w:pStyle w:val="17"/>
        <w:shd w:val="clear" w:color="auto" w:fill="FFFFFF"/>
        <w:snapToGrid w:val="0"/>
        <w:spacing w:before="0" w:beforeAutospacing="0" w:after="0" w:afterAutospacing="0" w:line="600" w:lineRule="exact"/>
        <w:ind w:firstLine="640" w:firstLineChars="200"/>
        <w:rPr>
          <w:rFonts w:hint="eastAsia" w:ascii="黑体" w:eastAsia="黑体" w:cs="黑体"/>
          <w:color w:val="000000"/>
          <w:sz w:val="32"/>
          <w:shd w:val="clear" w:color="auto" w:fill="FFFFFF"/>
        </w:rPr>
      </w:pPr>
      <w:bookmarkStart w:id="58" w:name="_Toc21471"/>
      <w:r>
        <w:rPr>
          <w:rFonts w:hint="eastAsia" w:ascii="黑体" w:eastAsia="黑体" w:cs="黑体"/>
          <w:color w:val="000000"/>
          <w:sz w:val="32"/>
          <w:shd w:val="clear" w:color="auto" w:fill="FFFFFF"/>
        </w:rPr>
        <w:t>一、永久基本农田占用负面清单</w:t>
      </w:r>
      <w:bookmarkEnd w:id="58"/>
    </w:p>
    <w:p w14:paraId="38DD8B1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1.永久基本农田不得转为林地、草地、园地等其他农用地及农业设施建设用地；</w:t>
      </w:r>
    </w:p>
    <w:p w14:paraId="262D47A0">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2.严禁占用永久基本农田发展林果业和挖塘养鱼；</w:t>
      </w:r>
    </w:p>
    <w:p w14:paraId="32218052">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3.严禁占用永久基本农田种植苗木、草皮等用于绿化装饰以及其他破坏耕作层的植物；</w:t>
      </w:r>
    </w:p>
    <w:p w14:paraId="4A44904C">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4.严禁占用永久基本农田挖湖造景、建设绿化带；</w:t>
      </w:r>
    </w:p>
    <w:p w14:paraId="43608A87">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5.严禁新增占用永久基本农田建设畜禽养殖设施、水产养殖设施和破坏耕作层的种植业设施；</w:t>
      </w:r>
    </w:p>
    <w:p w14:paraId="69AF2B7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6.严禁任何单位和个人在永久基本农田上建窑、建房、建坟、挖砂、采石、取土、堆放固体废弃物或者进行其他破坏永久基本农田的活动；</w:t>
      </w:r>
    </w:p>
    <w:p w14:paraId="0024616F">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7.严禁在城乡建设中以单个项目占用为目的擅自调整永久基本农田；</w:t>
      </w:r>
    </w:p>
    <w:p w14:paraId="0EBA9EF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8.其他法律、法规、国家政策文件规定的限制和禁止情形。</w:t>
      </w:r>
    </w:p>
    <w:p w14:paraId="28703F32">
      <w:pPr>
        <w:pStyle w:val="17"/>
        <w:shd w:val="clear" w:color="auto" w:fill="FFFFFF"/>
        <w:snapToGrid w:val="0"/>
        <w:spacing w:before="0" w:beforeAutospacing="0" w:after="0" w:afterAutospacing="0" w:line="600" w:lineRule="exact"/>
        <w:ind w:firstLine="640" w:firstLineChars="200"/>
        <w:rPr>
          <w:rFonts w:hint="eastAsia" w:ascii="黑体" w:eastAsia="黑体" w:cs="黑体"/>
          <w:color w:val="000000"/>
          <w:sz w:val="32"/>
          <w:shd w:val="clear" w:color="auto" w:fill="FFFFFF"/>
        </w:rPr>
      </w:pPr>
      <w:bookmarkStart w:id="59" w:name="_Toc25850"/>
      <w:r>
        <w:rPr>
          <w:rFonts w:hint="eastAsia" w:ascii="黑体" w:eastAsia="黑体" w:cs="黑体"/>
          <w:color w:val="000000"/>
          <w:sz w:val="32"/>
          <w:shd w:val="clear" w:color="auto" w:fill="FFFFFF"/>
        </w:rPr>
        <w:t>二、一般耕地占用负面清单</w:t>
      </w:r>
      <w:bookmarkEnd w:id="59"/>
    </w:p>
    <w:p w14:paraId="7535397C">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1.不得在一般耕地上挖湖造景、种植草皮；</w:t>
      </w:r>
    </w:p>
    <w:p w14:paraId="15EB31A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2.不得在国家批准的生态退耕规划和计划外擅自扩大退耕还林还草还湿还湖规模；</w:t>
      </w:r>
    </w:p>
    <w:p w14:paraId="7ADD756A">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3.不得违规超标准在铁路、公路等用地红线外，以及河渠两侧、水库周边占用一般耕地种树建设绿化带；</w:t>
      </w:r>
    </w:p>
    <w:p w14:paraId="1CEE4CDC">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4.未经批准不得占用一般耕地实施国土绿化；</w:t>
      </w:r>
    </w:p>
    <w:p w14:paraId="7D07566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5.未经批准工商企业等社会资本不得将通过流转获得土地经营权的一般耕地转为林地、园地等其他农用地；</w:t>
      </w:r>
    </w:p>
    <w:p w14:paraId="1D89CBD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6.禁止占用耕地建窑、建坟或者擅自在耕地上建房、挖砂、采石、采矿、取土等；</w:t>
      </w:r>
    </w:p>
    <w:p w14:paraId="4A5EA43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7.严禁以设施农业为名占用耕地违法违规建设与农业发展无关的设施；</w:t>
      </w:r>
    </w:p>
    <w:p w14:paraId="2BCFB8E3">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8.严禁在农业大棚内违法违规占用耕地建设住宅、餐饮、娱乐等非农设施；</w:t>
      </w:r>
    </w:p>
    <w:p w14:paraId="5AF4B88D">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9.其他法律、法规、国家政策文件规定的限制和禁止情形。</w:t>
      </w:r>
    </w:p>
    <w:p w14:paraId="7958DC20">
      <w:pPr>
        <w:pStyle w:val="17"/>
        <w:shd w:val="clear" w:color="auto" w:fill="FFFFFF"/>
        <w:snapToGrid w:val="0"/>
        <w:spacing w:before="0" w:beforeAutospacing="0" w:after="0" w:afterAutospacing="0" w:line="600" w:lineRule="exact"/>
        <w:ind w:firstLine="640" w:firstLineChars="200"/>
        <w:rPr>
          <w:rFonts w:hint="eastAsia" w:ascii="黑体" w:eastAsia="黑体" w:cs="黑体"/>
          <w:color w:val="000000"/>
          <w:sz w:val="32"/>
          <w:shd w:val="clear" w:color="auto" w:fill="FFFFFF"/>
        </w:rPr>
      </w:pPr>
      <w:bookmarkStart w:id="60" w:name="_Toc25097"/>
      <w:r>
        <w:rPr>
          <w:rFonts w:hint="eastAsia" w:ascii="黑体" w:eastAsia="黑体" w:cs="黑体"/>
          <w:color w:val="000000"/>
          <w:sz w:val="32"/>
          <w:shd w:val="clear" w:color="auto" w:fill="FFFFFF"/>
        </w:rPr>
        <w:t>三、生态空间管控负面清单</w:t>
      </w:r>
      <w:bookmarkEnd w:id="60"/>
    </w:p>
    <w:p w14:paraId="6101AED6">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1.严禁以土地综合整治名义调整生态保护红线；</w:t>
      </w:r>
    </w:p>
    <w:p w14:paraId="189D2149">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2.严禁破坏生态环境砍树挖山填湖，严禁违法占用林地、湿地、草地，不得采伐古树名木，不得以整治名义擅自毁林开垦；</w:t>
      </w:r>
    </w:p>
    <w:p w14:paraId="5F12A35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3.禁止毁坏森林、草原开垦耕地，禁止围湖造田和侵占江河滩地；</w:t>
      </w:r>
    </w:p>
    <w:p w14:paraId="6910444C">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4.其他法律、法规、国家政策文件规定的限制和禁止情形。</w:t>
      </w:r>
    </w:p>
    <w:p w14:paraId="30190AB3">
      <w:pPr>
        <w:pStyle w:val="17"/>
        <w:shd w:val="clear" w:color="auto" w:fill="FFFFFF"/>
        <w:snapToGrid w:val="0"/>
        <w:spacing w:before="0" w:beforeAutospacing="0" w:after="0" w:afterAutospacing="0" w:line="600" w:lineRule="exact"/>
        <w:ind w:firstLine="640" w:firstLineChars="200"/>
        <w:rPr>
          <w:rFonts w:hint="eastAsia" w:ascii="黑体" w:eastAsia="黑体" w:cs="黑体"/>
          <w:color w:val="000000"/>
          <w:sz w:val="32"/>
          <w:shd w:val="clear" w:color="auto" w:fill="FFFFFF"/>
        </w:rPr>
      </w:pPr>
      <w:bookmarkStart w:id="61" w:name="_Toc13611"/>
      <w:r>
        <w:rPr>
          <w:rFonts w:hint="eastAsia" w:ascii="黑体" w:eastAsia="黑体" w:cs="黑体"/>
          <w:color w:val="000000"/>
          <w:sz w:val="32"/>
          <w:shd w:val="clear" w:color="auto" w:fill="FFFFFF"/>
        </w:rPr>
        <w:t>四、农村建房负面清单</w:t>
      </w:r>
      <w:bookmarkEnd w:id="61"/>
    </w:p>
    <w:p w14:paraId="4BBC4ED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1.不准占用永久基本农田建房；</w:t>
      </w:r>
    </w:p>
    <w:p w14:paraId="122A6C53">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2.不准强占多占耕地建房；</w:t>
      </w:r>
    </w:p>
    <w:p w14:paraId="008A5F2F">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3.不准买卖、流转耕地违法建房；</w:t>
      </w:r>
    </w:p>
    <w:p w14:paraId="577235EF">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4.不准在承包耕地上违法建房；</w:t>
      </w:r>
    </w:p>
    <w:p w14:paraId="538C03F1">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5.不准巧立名目违法占用耕地建房；</w:t>
      </w:r>
    </w:p>
    <w:p w14:paraId="3D800BFE">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6.不准违反“一户一宅”规定占用耕地建房；</w:t>
      </w:r>
    </w:p>
    <w:p w14:paraId="7458E823">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7.不准非法出售占用耕地建设的房屋；</w:t>
      </w:r>
    </w:p>
    <w:p w14:paraId="11CE70E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8.不准违法审批占用耕地建房；</w:t>
      </w:r>
    </w:p>
    <w:p w14:paraId="37CD9D24">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9.严禁下乡利用农村宅基地建设别墅大院和私人会馆。严禁随意撤并村庄搞大社区、违背农民意愿大拆大建；</w:t>
      </w:r>
    </w:p>
    <w:p w14:paraId="66123E66">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10.禁止违背农村村民意愿强制流转宅基地，禁止违法收回农村村民依法取得的宅基地，禁止以退出宅基地作为农村村民进城落户的条件，不得强制农民搬迁和上楼居住；</w:t>
      </w:r>
    </w:p>
    <w:p w14:paraId="64F0C477">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11.其他法律、法规、国家政策文件规定的限制和禁止情形。</w:t>
      </w:r>
    </w:p>
    <w:p w14:paraId="03ADFB46">
      <w:pPr>
        <w:pStyle w:val="17"/>
        <w:shd w:val="clear" w:color="auto" w:fill="FFFFFF"/>
        <w:snapToGrid w:val="0"/>
        <w:spacing w:before="0" w:beforeAutospacing="0" w:after="0" w:afterAutospacing="0" w:line="600" w:lineRule="exact"/>
        <w:ind w:firstLine="640" w:firstLineChars="200"/>
        <w:rPr>
          <w:rFonts w:hint="eastAsia" w:ascii="黑体" w:eastAsia="黑体" w:cs="黑体"/>
          <w:color w:val="000000"/>
          <w:sz w:val="32"/>
          <w:shd w:val="clear" w:color="auto" w:fill="FFFFFF"/>
        </w:rPr>
      </w:pPr>
      <w:bookmarkStart w:id="62" w:name="_Toc2693"/>
      <w:r>
        <w:rPr>
          <w:rFonts w:hint="eastAsia" w:ascii="黑体" w:eastAsia="黑体" w:cs="黑体"/>
          <w:color w:val="000000"/>
          <w:sz w:val="32"/>
          <w:shd w:val="clear" w:color="auto" w:fill="FFFFFF"/>
        </w:rPr>
        <w:t>五、农村产业用地负面清单</w:t>
      </w:r>
      <w:bookmarkEnd w:id="62"/>
    </w:p>
    <w:p w14:paraId="448D7170">
      <w:pPr>
        <w:snapToGrid w:val="0"/>
        <w:spacing w:line="600" w:lineRule="exact"/>
        <w:ind w:firstLine="640" w:firstLineChars="200"/>
        <w:rPr>
          <w:rFonts w:ascii="仿宋_GB2312" w:eastAsia="仿宋_GB2312" w:cs="仿宋_GB2312"/>
        </w:rPr>
      </w:pPr>
      <w:r>
        <w:rPr>
          <w:rFonts w:hint="eastAsia" w:ascii="仿宋_GB2312" w:hAnsi="Calibri" w:eastAsia="仿宋_GB2312" w:cs="仿宋_GB2312"/>
        </w:rPr>
        <w:t>1.农村产业融合发展用地不得用于商品住宅、别墅、酒店、公寓等房地产开发，不得擅自改变用途或分割转让转租；</w:t>
      </w:r>
    </w:p>
    <w:p w14:paraId="0145BAB2">
      <w:pPr>
        <w:snapToGrid w:val="0"/>
        <w:spacing w:line="600" w:lineRule="exact"/>
        <w:ind w:firstLine="640" w:firstLineChars="200"/>
        <w:rPr>
          <w:rFonts w:ascii="仿宋_GB2312" w:hAnsi="Calibri" w:eastAsia="仿宋_GB2312" w:cs="仿宋_GB2312"/>
        </w:rPr>
      </w:pPr>
      <w:r>
        <w:rPr>
          <w:rFonts w:hint="eastAsia" w:ascii="仿宋_GB2312" w:hAnsi="Calibri" w:eastAsia="仿宋_GB2312" w:cs="仿宋_GB2312"/>
        </w:rPr>
        <w:t>2.不得用于国家明令淘汰的落后产能、列入国家禁止类产业目录的、污染环境的项目建设；</w:t>
      </w:r>
    </w:p>
    <w:p w14:paraId="6B17EC71">
      <w:pPr>
        <w:snapToGrid w:val="0"/>
        <w:spacing w:line="600" w:lineRule="exact"/>
        <w:ind w:firstLine="640" w:firstLineChars="200"/>
        <w:rPr>
          <w:rFonts w:ascii="仿宋_GB2312" w:eastAsia="仿宋_GB2312" w:cs="仿宋_GB2312"/>
        </w:rPr>
      </w:pPr>
      <w:r>
        <w:rPr>
          <w:rFonts w:hint="eastAsia" w:ascii="仿宋_GB2312" w:eastAsia="仿宋_GB2312" w:cs="仿宋_GB2312"/>
        </w:rPr>
        <w:t>3.不得利用未达到安全使用条件的污染地块用于农村产业、居住、公共服务等用途</w:t>
      </w:r>
      <w:r>
        <w:rPr>
          <w:rFonts w:hint="eastAsia" w:ascii="仿宋_GB2312" w:hAnsi="Calibri" w:eastAsia="仿宋_GB2312" w:cs="仿宋_GB2312"/>
        </w:rPr>
        <w:t>；</w:t>
      </w:r>
    </w:p>
    <w:p w14:paraId="76F8C96F">
      <w:pPr>
        <w:snapToGrid w:val="0"/>
        <w:spacing w:line="600" w:lineRule="exact"/>
        <w:rPr>
          <w:rFonts w:ascii="Times New Roman" w:hAnsi="Times New Roman" w:cs="Times New Roman"/>
          <w:bCs/>
        </w:rPr>
      </w:pPr>
      <w:r>
        <w:rPr>
          <w:rFonts w:hint="eastAsia" w:ascii="仿宋_GB2312" w:hAnsi="Calibri" w:eastAsia="仿宋_GB2312" w:cs="仿宋_GB2312"/>
        </w:rPr>
        <w:t>4.其他法律、法规、国家政策文件规定的限制和禁止情形。</w:t>
      </w:r>
    </w:p>
    <w:sectPr>
      <w:headerReference r:id="rId10" w:type="default"/>
      <w:footerReference r:id="rId11" w:type="default"/>
      <w:pgSz w:w="11906" w:h="16838"/>
      <w:pgMar w:top="1230" w:right="1440" w:bottom="1230" w:left="1440" w:header="851" w:footer="907" w:gutter="0"/>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0D270323-5F8D-4964-A16E-C83B81786E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C11D7BD-0929-4DD8-A245-2EEA29E8541E}"/>
  </w:font>
  <w:font w:name="仿宋">
    <w:panose1 w:val="02010609060101010101"/>
    <w:charset w:val="86"/>
    <w:family w:val="modern"/>
    <w:pitch w:val="default"/>
    <w:sig w:usb0="800002BF" w:usb1="38CF7CFA" w:usb2="00000016" w:usb3="00000000" w:csb0="00040001" w:csb1="00000000"/>
    <w:embedRegular r:id="rId3" w:fontKey="{31700776-62DB-4CBA-B8DC-6B55C081CF56}"/>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embedRegular r:id="rId4" w:fontKey="{0409EE90-E1CE-4757-8861-2D3D4C38B724}"/>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5" w:fontKey="{E5DB823F-00C5-468B-BFFA-A3D16DD6455E}"/>
  </w:font>
  <w:font w:name="仿宋_GB2312">
    <w:panose1 w:val="02010609030101010101"/>
    <w:charset w:val="86"/>
    <w:family w:val="modern"/>
    <w:pitch w:val="default"/>
    <w:sig w:usb0="00000001" w:usb1="080E0000" w:usb2="00000000" w:usb3="00000000" w:csb0="00040000" w:csb1="00000000"/>
    <w:embedRegular r:id="rId6" w:fontKey="{757F6C37-5EC1-4AF7-9038-742F6551F663}"/>
  </w:font>
  <w:font w:name="方正小标宋简体">
    <w:panose1 w:val="03000509000000000000"/>
    <w:charset w:val="86"/>
    <w:family w:val="auto"/>
    <w:pitch w:val="default"/>
    <w:sig w:usb0="00000001" w:usb1="080E0000" w:usb2="00000000" w:usb3="00000000" w:csb0="00040000" w:csb1="00000000"/>
    <w:embedRegular r:id="rId7" w:fontKey="{CD178001-2EC3-4BD8-9E1C-1E944BD17F02}"/>
  </w:font>
  <w:font w:name="楷体_GB2312">
    <w:panose1 w:val="02010609030101010101"/>
    <w:charset w:val="86"/>
    <w:family w:val="modern"/>
    <w:pitch w:val="default"/>
    <w:sig w:usb0="00000001" w:usb1="080E0000" w:usb2="00000000" w:usb3="00000000" w:csb0="00040000" w:csb1="00000000"/>
    <w:embedRegular r:id="rId8" w:fontKey="{7D99BE6E-DCD4-4644-AB15-A6F087343DB0}"/>
  </w:font>
  <w:font w:name="仓耳渔阳体 W03">
    <w:altName w:val="宋体"/>
    <w:panose1 w:val="00000000000000000000"/>
    <w:charset w:val="86"/>
    <w:family w:val="auto"/>
    <w:pitch w:val="default"/>
    <w:sig w:usb0="00000000" w:usb1="00000000" w:usb2="00000012" w:usb3="00000000" w:csb0="00040001" w:csb1="00000000"/>
    <w:embedRegular r:id="rId9" w:fontKey="{E90A292A-12B5-49B3-ACF2-CC9893E2C3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2558902"/>
      <w:docPartObj>
        <w:docPartGallery w:val="AutoText"/>
      </w:docPartObj>
    </w:sdtPr>
    <w:sdtContent>
      <w:p w14:paraId="0703BB3C">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7192475"/>
      <w:docPartObj>
        <w:docPartGallery w:val="AutoText"/>
      </w:docPartObj>
    </w:sdtPr>
    <w:sdtContent>
      <w:p w14:paraId="71809781">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33522499"/>
      <w:docPartObj>
        <w:docPartGallery w:val="AutoText"/>
      </w:docPartObj>
    </w:sdtPr>
    <w:sdtContent>
      <w:p w14:paraId="78B2AFC9">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31345697"/>
      <w:docPartObj>
        <w:docPartGallery w:val="AutoText"/>
      </w:docPartObj>
    </w:sdtPr>
    <w:sdtContent>
      <w:p w14:paraId="3A600EE1">
        <w:pPr>
          <w:pStyle w:val="13"/>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BBA94">
    <w:pPr>
      <w:spacing w:line="231" w:lineRule="auto"/>
      <w:rPr>
        <w:rFonts w:ascii="Times New Roman" w:hAnsi="Times New Roman" w:eastAsia="宋体" w:cs="Times New Roman"/>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ADD8070">
                          <w:pPr>
                            <w:pStyle w:val="13"/>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7eU9DICAABjBAAADgAAAAAAAAABACAAAAAfAQAAZHJzL2Uyb0RvYy54bWxQSwUG&#10;AAAAAAYABgBZAQAAwwUAAAAA&#10;">
              <v:fill on="f" focussize="0,0"/>
              <v:stroke on="f" weight="0.5pt"/>
              <v:imagedata o:title=""/>
              <o:lock v:ext="edit" aspectratio="f"/>
              <v:textbox inset="0mm,0mm,0mm,0mm" style="mso-fit-shape-to-text:t;">
                <w:txbxContent>
                  <w:p w14:paraId="7ADD8070">
                    <w:pPr>
                      <w:pStyle w:val="13"/>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68894">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D90E">
    <w:pPr>
      <w:pStyle w:val="8"/>
      <w:spacing w:line="46" w:lineRule="auto"/>
      <w:rPr>
        <w:rFonts w:hint="default"/>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467AD6"/>
    <w:multiLevelType w:val="multilevel"/>
    <w:tmpl w:val="1F467AD6"/>
    <w:lvl w:ilvl="0" w:tentative="0">
      <w:start w:val="11"/>
      <w:numFmt w:val="decimal"/>
      <w:lvlText w:val="第%1条"/>
      <w:lvlJc w:val="left"/>
      <w:pPr>
        <w:ind w:left="866" w:hanging="440"/>
      </w:pPr>
      <w:rPr>
        <w:rFonts w:hint="eastAsia"/>
        <w:b/>
        <w:bCs/>
        <w:sz w:val="32"/>
        <w:szCs w:val="4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4D075142"/>
    <w:multiLevelType w:val="multilevel"/>
    <w:tmpl w:val="4D075142"/>
    <w:lvl w:ilvl="0" w:tentative="0">
      <w:start w:val="1"/>
      <w:numFmt w:val="japaneseCounting"/>
      <w:lvlText w:val="第%1章"/>
      <w:lvlJc w:val="left"/>
      <w:pPr>
        <w:ind w:left="1116" w:hanging="1116"/>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988"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7D0CE6"/>
    <w:multiLevelType w:val="multilevel"/>
    <w:tmpl w:val="5F7D0CE6"/>
    <w:lvl w:ilvl="0" w:tentative="0">
      <w:start w:val="1"/>
      <w:numFmt w:val="decimal"/>
      <w:lvlText w:val="第%1条"/>
      <w:lvlJc w:val="left"/>
      <w:pPr>
        <w:ind w:left="1149" w:hanging="440"/>
      </w:pPr>
      <w:rPr>
        <w:rFonts w:hint="eastAsia"/>
        <w:b/>
        <w:bCs/>
        <w:sz w:val="32"/>
        <w:szCs w:val="40"/>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0"/>
  <w:drawingGridHorizontalSpacing w:val="160"/>
  <w:drawingGridVerticalSpacing w:val="225"/>
  <w:displayHorizontalDrawingGridEvery w:val="2"/>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5MWRjZWI4YWNkZTA0NTdiMGM3ZGUzOTY3MzY5MDcifQ=="/>
  </w:docVars>
  <w:rsids>
    <w:rsidRoot w:val="00311BB8"/>
    <w:rsid w:val="000004C6"/>
    <w:rsid w:val="00001862"/>
    <w:rsid w:val="00001DEA"/>
    <w:rsid w:val="0000222A"/>
    <w:rsid w:val="00002338"/>
    <w:rsid w:val="00010D61"/>
    <w:rsid w:val="0001114E"/>
    <w:rsid w:val="0001367C"/>
    <w:rsid w:val="000136E6"/>
    <w:rsid w:val="00013B39"/>
    <w:rsid w:val="000226D1"/>
    <w:rsid w:val="00023CCF"/>
    <w:rsid w:val="00025782"/>
    <w:rsid w:val="00037E87"/>
    <w:rsid w:val="00040EDE"/>
    <w:rsid w:val="00040F88"/>
    <w:rsid w:val="000411AC"/>
    <w:rsid w:val="00042FD6"/>
    <w:rsid w:val="000443F0"/>
    <w:rsid w:val="00053A7A"/>
    <w:rsid w:val="0005702C"/>
    <w:rsid w:val="00057733"/>
    <w:rsid w:val="000630ED"/>
    <w:rsid w:val="0007106A"/>
    <w:rsid w:val="00072DEA"/>
    <w:rsid w:val="00076760"/>
    <w:rsid w:val="0008223C"/>
    <w:rsid w:val="00085A56"/>
    <w:rsid w:val="00086573"/>
    <w:rsid w:val="00087799"/>
    <w:rsid w:val="0009071A"/>
    <w:rsid w:val="00090ED2"/>
    <w:rsid w:val="00090F5F"/>
    <w:rsid w:val="00094D36"/>
    <w:rsid w:val="000A014F"/>
    <w:rsid w:val="000A2748"/>
    <w:rsid w:val="000A483C"/>
    <w:rsid w:val="000A69F4"/>
    <w:rsid w:val="000A6C6A"/>
    <w:rsid w:val="000B14E7"/>
    <w:rsid w:val="000B4369"/>
    <w:rsid w:val="000B46FA"/>
    <w:rsid w:val="000C02AC"/>
    <w:rsid w:val="000C07E4"/>
    <w:rsid w:val="000C09D7"/>
    <w:rsid w:val="000C35C2"/>
    <w:rsid w:val="000C3F85"/>
    <w:rsid w:val="000C4035"/>
    <w:rsid w:val="000C56FF"/>
    <w:rsid w:val="000C76DA"/>
    <w:rsid w:val="000C7E4D"/>
    <w:rsid w:val="000D0966"/>
    <w:rsid w:val="000D0CE8"/>
    <w:rsid w:val="000D1EB6"/>
    <w:rsid w:val="000D3283"/>
    <w:rsid w:val="000D76DB"/>
    <w:rsid w:val="000E1F7B"/>
    <w:rsid w:val="000E43A6"/>
    <w:rsid w:val="000E5B52"/>
    <w:rsid w:val="000F0232"/>
    <w:rsid w:val="000F0FAF"/>
    <w:rsid w:val="000F18AC"/>
    <w:rsid w:val="000F25DC"/>
    <w:rsid w:val="000F282C"/>
    <w:rsid w:val="000F2A4E"/>
    <w:rsid w:val="000F32A0"/>
    <w:rsid w:val="000F555A"/>
    <w:rsid w:val="001025E4"/>
    <w:rsid w:val="0010503F"/>
    <w:rsid w:val="0010538A"/>
    <w:rsid w:val="001059A0"/>
    <w:rsid w:val="0010617E"/>
    <w:rsid w:val="00110289"/>
    <w:rsid w:val="00115E3E"/>
    <w:rsid w:val="0012070C"/>
    <w:rsid w:val="001215F5"/>
    <w:rsid w:val="00124E64"/>
    <w:rsid w:val="00125AF3"/>
    <w:rsid w:val="00125EDE"/>
    <w:rsid w:val="00130129"/>
    <w:rsid w:val="00132E53"/>
    <w:rsid w:val="001352D6"/>
    <w:rsid w:val="00135E2B"/>
    <w:rsid w:val="001425C0"/>
    <w:rsid w:val="00144D71"/>
    <w:rsid w:val="00145585"/>
    <w:rsid w:val="0014682E"/>
    <w:rsid w:val="00146A2E"/>
    <w:rsid w:val="00147BBC"/>
    <w:rsid w:val="00150211"/>
    <w:rsid w:val="00153154"/>
    <w:rsid w:val="00153755"/>
    <w:rsid w:val="00153A66"/>
    <w:rsid w:val="00154D79"/>
    <w:rsid w:val="00154ED5"/>
    <w:rsid w:val="001602D6"/>
    <w:rsid w:val="001627EB"/>
    <w:rsid w:val="00162CC6"/>
    <w:rsid w:val="00162EA9"/>
    <w:rsid w:val="001679C3"/>
    <w:rsid w:val="00172F0F"/>
    <w:rsid w:val="0017354C"/>
    <w:rsid w:val="00176EA8"/>
    <w:rsid w:val="00177F09"/>
    <w:rsid w:val="00182CDE"/>
    <w:rsid w:val="00183FBB"/>
    <w:rsid w:val="001853ED"/>
    <w:rsid w:val="001865B8"/>
    <w:rsid w:val="00191A68"/>
    <w:rsid w:val="001927FA"/>
    <w:rsid w:val="0019518C"/>
    <w:rsid w:val="00195F9A"/>
    <w:rsid w:val="0019630C"/>
    <w:rsid w:val="00196B24"/>
    <w:rsid w:val="001A4D4D"/>
    <w:rsid w:val="001B2D5B"/>
    <w:rsid w:val="001B5938"/>
    <w:rsid w:val="001B5A0A"/>
    <w:rsid w:val="001B5B98"/>
    <w:rsid w:val="001B7775"/>
    <w:rsid w:val="001B7DE0"/>
    <w:rsid w:val="001C009E"/>
    <w:rsid w:val="001C311D"/>
    <w:rsid w:val="001C6C0F"/>
    <w:rsid w:val="001D1248"/>
    <w:rsid w:val="001D3991"/>
    <w:rsid w:val="001D4382"/>
    <w:rsid w:val="001D530D"/>
    <w:rsid w:val="001D70D6"/>
    <w:rsid w:val="001D741A"/>
    <w:rsid w:val="001E1D65"/>
    <w:rsid w:val="001E3001"/>
    <w:rsid w:val="001E3ABE"/>
    <w:rsid w:val="001E5C64"/>
    <w:rsid w:val="001E67C6"/>
    <w:rsid w:val="001E7485"/>
    <w:rsid w:val="001F0E18"/>
    <w:rsid w:val="001F209C"/>
    <w:rsid w:val="001F5406"/>
    <w:rsid w:val="00200D7B"/>
    <w:rsid w:val="00205B18"/>
    <w:rsid w:val="00206A1E"/>
    <w:rsid w:val="00207858"/>
    <w:rsid w:val="0021048B"/>
    <w:rsid w:val="0021145A"/>
    <w:rsid w:val="00211B42"/>
    <w:rsid w:val="00211FDA"/>
    <w:rsid w:val="002130BA"/>
    <w:rsid w:val="00213F9A"/>
    <w:rsid w:val="00214019"/>
    <w:rsid w:val="00215EBA"/>
    <w:rsid w:val="002202D4"/>
    <w:rsid w:val="00222E6F"/>
    <w:rsid w:val="00227877"/>
    <w:rsid w:val="00231069"/>
    <w:rsid w:val="00233D23"/>
    <w:rsid w:val="00236227"/>
    <w:rsid w:val="00240998"/>
    <w:rsid w:val="00241850"/>
    <w:rsid w:val="0024253A"/>
    <w:rsid w:val="002452C5"/>
    <w:rsid w:val="00246E5A"/>
    <w:rsid w:val="00247317"/>
    <w:rsid w:val="0025352E"/>
    <w:rsid w:val="00254985"/>
    <w:rsid w:val="0025535C"/>
    <w:rsid w:val="00255E98"/>
    <w:rsid w:val="00257AE0"/>
    <w:rsid w:val="00263CFC"/>
    <w:rsid w:val="00267BC6"/>
    <w:rsid w:val="00272EB5"/>
    <w:rsid w:val="00273114"/>
    <w:rsid w:val="002758CB"/>
    <w:rsid w:val="002759E4"/>
    <w:rsid w:val="002839D4"/>
    <w:rsid w:val="00285B46"/>
    <w:rsid w:val="00290787"/>
    <w:rsid w:val="00292252"/>
    <w:rsid w:val="00292D32"/>
    <w:rsid w:val="002945CB"/>
    <w:rsid w:val="002A159F"/>
    <w:rsid w:val="002A5024"/>
    <w:rsid w:val="002A6872"/>
    <w:rsid w:val="002B03F2"/>
    <w:rsid w:val="002B1006"/>
    <w:rsid w:val="002B1F37"/>
    <w:rsid w:val="002B223E"/>
    <w:rsid w:val="002B3EBC"/>
    <w:rsid w:val="002B449C"/>
    <w:rsid w:val="002B582C"/>
    <w:rsid w:val="002B597B"/>
    <w:rsid w:val="002B6C2F"/>
    <w:rsid w:val="002B7E8F"/>
    <w:rsid w:val="002C052F"/>
    <w:rsid w:val="002C11D5"/>
    <w:rsid w:val="002C1785"/>
    <w:rsid w:val="002C3524"/>
    <w:rsid w:val="002C3D25"/>
    <w:rsid w:val="002C43E0"/>
    <w:rsid w:val="002C4896"/>
    <w:rsid w:val="002C4FE4"/>
    <w:rsid w:val="002C53C3"/>
    <w:rsid w:val="002D758C"/>
    <w:rsid w:val="002E3795"/>
    <w:rsid w:val="002E5FC0"/>
    <w:rsid w:val="002E622C"/>
    <w:rsid w:val="002F4E7B"/>
    <w:rsid w:val="002F56FB"/>
    <w:rsid w:val="003005D9"/>
    <w:rsid w:val="0030321E"/>
    <w:rsid w:val="00310F1E"/>
    <w:rsid w:val="0031159B"/>
    <w:rsid w:val="00311BB8"/>
    <w:rsid w:val="0031220B"/>
    <w:rsid w:val="00314045"/>
    <w:rsid w:val="003156FA"/>
    <w:rsid w:val="00316B22"/>
    <w:rsid w:val="00316F43"/>
    <w:rsid w:val="00321332"/>
    <w:rsid w:val="00326A4B"/>
    <w:rsid w:val="00326BC0"/>
    <w:rsid w:val="00327A0A"/>
    <w:rsid w:val="00331803"/>
    <w:rsid w:val="003321F4"/>
    <w:rsid w:val="003349E7"/>
    <w:rsid w:val="00334B72"/>
    <w:rsid w:val="00335C82"/>
    <w:rsid w:val="00336F23"/>
    <w:rsid w:val="0034156B"/>
    <w:rsid w:val="003457C0"/>
    <w:rsid w:val="003457EB"/>
    <w:rsid w:val="00347DA9"/>
    <w:rsid w:val="00347F34"/>
    <w:rsid w:val="00350860"/>
    <w:rsid w:val="00354002"/>
    <w:rsid w:val="003564E1"/>
    <w:rsid w:val="00356BBF"/>
    <w:rsid w:val="00356F59"/>
    <w:rsid w:val="003622FD"/>
    <w:rsid w:val="0036284B"/>
    <w:rsid w:val="00365F0E"/>
    <w:rsid w:val="00366C6A"/>
    <w:rsid w:val="0037070A"/>
    <w:rsid w:val="00372212"/>
    <w:rsid w:val="00372AFF"/>
    <w:rsid w:val="0037394B"/>
    <w:rsid w:val="003766B2"/>
    <w:rsid w:val="00377BDE"/>
    <w:rsid w:val="00383240"/>
    <w:rsid w:val="00383848"/>
    <w:rsid w:val="00384841"/>
    <w:rsid w:val="00384B68"/>
    <w:rsid w:val="00385519"/>
    <w:rsid w:val="003862DB"/>
    <w:rsid w:val="003864D1"/>
    <w:rsid w:val="00387F94"/>
    <w:rsid w:val="003A0A20"/>
    <w:rsid w:val="003A1EDD"/>
    <w:rsid w:val="003A202D"/>
    <w:rsid w:val="003A359B"/>
    <w:rsid w:val="003A3C5C"/>
    <w:rsid w:val="003A5AA3"/>
    <w:rsid w:val="003A68E9"/>
    <w:rsid w:val="003B22D4"/>
    <w:rsid w:val="003B2DD8"/>
    <w:rsid w:val="003B2F98"/>
    <w:rsid w:val="003B39E3"/>
    <w:rsid w:val="003B46CE"/>
    <w:rsid w:val="003C0067"/>
    <w:rsid w:val="003C0472"/>
    <w:rsid w:val="003C061F"/>
    <w:rsid w:val="003C0658"/>
    <w:rsid w:val="003C10FE"/>
    <w:rsid w:val="003C1486"/>
    <w:rsid w:val="003C19E0"/>
    <w:rsid w:val="003C4DA6"/>
    <w:rsid w:val="003C6A6C"/>
    <w:rsid w:val="003D0753"/>
    <w:rsid w:val="003D1780"/>
    <w:rsid w:val="003D195F"/>
    <w:rsid w:val="003D19C0"/>
    <w:rsid w:val="003D1DCD"/>
    <w:rsid w:val="003D25F1"/>
    <w:rsid w:val="003D3B2E"/>
    <w:rsid w:val="003D550A"/>
    <w:rsid w:val="003D7906"/>
    <w:rsid w:val="003E171D"/>
    <w:rsid w:val="003E17FE"/>
    <w:rsid w:val="003E24A0"/>
    <w:rsid w:val="003E34F6"/>
    <w:rsid w:val="003F4FFF"/>
    <w:rsid w:val="0040134A"/>
    <w:rsid w:val="004017CE"/>
    <w:rsid w:val="00412A0B"/>
    <w:rsid w:val="00412A7F"/>
    <w:rsid w:val="00416A0E"/>
    <w:rsid w:val="00420872"/>
    <w:rsid w:val="004229CB"/>
    <w:rsid w:val="00423B73"/>
    <w:rsid w:val="00424F2D"/>
    <w:rsid w:val="00426AA2"/>
    <w:rsid w:val="0042722F"/>
    <w:rsid w:val="0042741F"/>
    <w:rsid w:val="00431406"/>
    <w:rsid w:val="00434404"/>
    <w:rsid w:val="0043788E"/>
    <w:rsid w:val="00440369"/>
    <w:rsid w:val="0044276C"/>
    <w:rsid w:val="00442A41"/>
    <w:rsid w:val="004431A0"/>
    <w:rsid w:val="00454B72"/>
    <w:rsid w:val="00454CF8"/>
    <w:rsid w:val="00457FE4"/>
    <w:rsid w:val="00461D94"/>
    <w:rsid w:val="00463B4B"/>
    <w:rsid w:val="004646C3"/>
    <w:rsid w:val="00465C4D"/>
    <w:rsid w:val="00466DA2"/>
    <w:rsid w:val="004679AB"/>
    <w:rsid w:val="0047215D"/>
    <w:rsid w:val="00473849"/>
    <w:rsid w:val="00474064"/>
    <w:rsid w:val="00474088"/>
    <w:rsid w:val="00475FFE"/>
    <w:rsid w:val="004760AB"/>
    <w:rsid w:val="004776C4"/>
    <w:rsid w:val="00480273"/>
    <w:rsid w:val="004822C0"/>
    <w:rsid w:val="00486998"/>
    <w:rsid w:val="00490EE4"/>
    <w:rsid w:val="0049204F"/>
    <w:rsid w:val="0049335D"/>
    <w:rsid w:val="00493917"/>
    <w:rsid w:val="00493ED4"/>
    <w:rsid w:val="00494217"/>
    <w:rsid w:val="004977FB"/>
    <w:rsid w:val="004A0562"/>
    <w:rsid w:val="004A146B"/>
    <w:rsid w:val="004A25C4"/>
    <w:rsid w:val="004A31E5"/>
    <w:rsid w:val="004A4D33"/>
    <w:rsid w:val="004A72B7"/>
    <w:rsid w:val="004B04C8"/>
    <w:rsid w:val="004B13DC"/>
    <w:rsid w:val="004B3480"/>
    <w:rsid w:val="004B544A"/>
    <w:rsid w:val="004B792A"/>
    <w:rsid w:val="004C047D"/>
    <w:rsid w:val="004C20AF"/>
    <w:rsid w:val="004C5093"/>
    <w:rsid w:val="004D03CC"/>
    <w:rsid w:val="004D03F4"/>
    <w:rsid w:val="004D2D9C"/>
    <w:rsid w:val="004D4330"/>
    <w:rsid w:val="004D6336"/>
    <w:rsid w:val="004D6567"/>
    <w:rsid w:val="004E20F7"/>
    <w:rsid w:val="004E2F5B"/>
    <w:rsid w:val="004E3D0A"/>
    <w:rsid w:val="004E5299"/>
    <w:rsid w:val="004E5510"/>
    <w:rsid w:val="004E7887"/>
    <w:rsid w:val="004F1B33"/>
    <w:rsid w:val="004F672D"/>
    <w:rsid w:val="00501190"/>
    <w:rsid w:val="00505253"/>
    <w:rsid w:val="005105D9"/>
    <w:rsid w:val="0051258E"/>
    <w:rsid w:val="00513135"/>
    <w:rsid w:val="0051489C"/>
    <w:rsid w:val="00521396"/>
    <w:rsid w:val="005219D5"/>
    <w:rsid w:val="00522A6F"/>
    <w:rsid w:val="00523A59"/>
    <w:rsid w:val="00523C13"/>
    <w:rsid w:val="005262DA"/>
    <w:rsid w:val="00527BA3"/>
    <w:rsid w:val="00530902"/>
    <w:rsid w:val="00532472"/>
    <w:rsid w:val="00533008"/>
    <w:rsid w:val="00534921"/>
    <w:rsid w:val="00534E70"/>
    <w:rsid w:val="00535AE5"/>
    <w:rsid w:val="00535FF9"/>
    <w:rsid w:val="00536066"/>
    <w:rsid w:val="00536710"/>
    <w:rsid w:val="00536BBB"/>
    <w:rsid w:val="005504FD"/>
    <w:rsid w:val="00553FB4"/>
    <w:rsid w:val="00555A45"/>
    <w:rsid w:val="00560AA0"/>
    <w:rsid w:val="005626E1"/>
    <w:rsid w:val="00562E43"/>
    <w:rsid w:val="00562EBE"/>
    <w:rsid w:val="005670D7"/>
    <w:rsid w:val="00571F5E"/>
    <w:rsid w:val="0057269D"/>
    <w:rsid w:val="00572CB9"/>
    <w:rsid w:val="00576308"/>
    <w:rsid w:val="00576F4E"/>
    <w:rsid w:val="005772A2"/>
    <w:rsid w:val="00585B0F"/>
    <w:rsid w:val="00585C3D"/>
    <w:rsid w:val="005872A1"/>
    <w:rsid w:val="00590071"/>
    <w:rsid w:val="00593A3F"/>
    <w:rsid w:val="00594BE7"/>
    <w:rsid w:val="00596FEF"/>
    <w:rsid w:val="005A0587"/>
    <w:rsid w:val="005A0DEC"/>
    <w:rsid w:val="005A36EB"/>
    <w:rsid w:val="005B0882"/>
    <w:rsid w:val="005B1BE2"/>
    <w:rsid w:val="005B54CA"/>
    <w:rsid w:val="005B5D99"/>
    <w:rsid w:val="005C067C"/>
    <w:rsid w:val="005C0C09"/>
    <w:rsid w:val="005C1A92"/>
    <w:rsid w:val="005C1C18"/>
    <w:rsid w:val="005C2756"/>
    <w:rsid w:val="005C78FD"/>
    <w:rsid w:val="005C7C07"/>
    <w:rsid w:val="005D0D32"/>
    <w:rsid w:val="005D32E7"/>
    <w:rsid w:val="005D35C2"/>
    <w:rsid w:val="005D53A2"/>
    <w:rsid w:val="005D6686"/>
    <w:rsid w:val="005D7267"/>
    <w:rsid w:val="005E0A51"/>
    <w:rsid w:val="005E2E55"/>
    <w:rsid w:val="005E3838"/>
    <w:rsid w:val="005E44DA"/>
    <w:rsid w:val="005E4C74"/>
    <w:rsid w:val="005E4F2E"/>
    <w:rsid w:val="005F1218"/>
    <w:rsid w:val="005F1458"/>
    <w:rsid w:val="005F344F"/>
    <w:rsid w:val="005F357A"/>
    <w:rsid w:val="005F559A"/>
    <w:rsid w:val="005F573B"/>
    <w:rsid w:val="005F72C4"/>
    <w:rsid w:val="005F7A42"/>
    <w:rsid w:val="005F7CC9"/>
    <w:rsid w:val="00600CA0"/>
    <w:rsid w:val="00602E79"/>
    <w:rsid w:val="00603016"/>
    <w:rsid w:val="00603292"/>
    <w:rsid w:val="00604A59"/>
    <w:rsid w:val="00605BA8"/>
    <w:rsid w:val="00606153"/>
    <w:rsid w:val="006100BE"/>
    <w:rsid w:val="0061216C"/>
    <w:rsid w:val="00612B6C"/>
    <w:rsid w:val="006140E6"/>
    <w:rsid w:val="006151E8"/>
    <w:rsid w:val="00623B3B"/>
    <w:rsid w:val="00625EBA"/>
    <w:rsid w:val="00626FC6"/>
    <w:rsid w:val="0063068B"/>
    <w:rsid w:val="006343CB"/>
    <w:rsid w:val="00635AEA"/>
    <w:rsid w:val="00643839"/>
    <w:rsid w:val="006443C0"/>
    <w:rsid w:val="00650278"/>
    <w:rsid w:val="00650EAA"/>
    <w:rsid w:val="00650FA6"/>
    <w:rsid w:val="00652344"/>
    <w:rsid w:val="006539D2"/>
    <w:rsid w:val="006546C1"/>
    <w:rsid w:val="006606B4"/>
    <w:rsid w:val="006629A4"/>
    <w:rsid w:val="00662B14"/>
    <w:rsid w:val="00667A15"/>
    <w:rsid w:val="00667EFC"/>
    <w:rsid w:val="006713E3"/>
    <w:rsid w:val="006759FD"/>
    <w:rsid w:val="006779C8"/>
    <w:rsid w:val="006815C9"/>
    <w:rsid w:val="00681E2C"/>
    <w:rsid w:val="0068328C"/>
    <w:rsid w:val="006840E3"/>
    <w:rsid w:val="0068765D"/>
    <w:rsid w:val="00687768"/>
    <w:rsid w:val="00691C55"/>
    <w:rsid w:val="00693880"/>
    <w:rsid w:val="00693BFA"/>
    <w:rsid w:val="00693FA6"/>
    <w:rsid w:val="00693FC7"/>
    <w:rsid w:val="00695BC3"/>
    <w:rsid w:val="00695C85"/>
    <w:rsid w:val="00696C57"/>
    <w:rsid w:val="006A031B"/>
    <w:rsid w:val="006A0AD7"/>
    <w:rsid w:val="006A6E86"/>
    <w:rsid w:val="006A77E0"/>
    <w:rsid w:val="006B0DCB"/>
    <w:rsid w:val="006B1128"/>
    <w:rsid w:val="006B29B5"/>
    <w:rsid w:val="006B570B"/>
    <w:rsid w:val="006C308B"/>
    <w:rsid w:val="006C3762"/>
    <w:rsid w:val="006C52CB"/>
    <w:rsid w:val="006C5EA4"/>
    <w:rsid w:val="006D2C22"/>
    <w:rsid w:val="006D3293"/>
    <w:rsid w:val="006D512F"/>
    <w:rsid w:val="006D5A4F"/>
    <w:rsid w:val="006D5C9D"/>
    <w:rsid w:val="006D629D"/>
    <w:rsid w:val="006D75F6"/>
    <w:rsid w:val="006E0EA6"/>
    <w:rsid w:val="006E3E1D"/>
    <w:rsid w:val="006E5767"/>
    <w:rsid w:val="006E67B1"/>
    <w:rsid w:val="006F06D1"/>
    <w:rsid w:val="006F16B1"/>
    <w:rsid w:val="006F2011"/>
    <w:rsid w:val="006F70BD"/>
    <w:rsid w:val="00701433"/>
    <w:rsid w:val="0070348F"/>
    <w:rsid w:val="007045EF"/>
    <w:rsid w:val="00705EDF"/>
    <w:rsid w:val="0070725D"/>
    <w:rsid w:val="00710F61"/>
    <w:rsid w:val="00713CA0"/>
    <w:rsid w:val="007143D3"/>
    <w:rsid w:val="00717505"/>
    <w:rsid w:val="0072276D"/>
    <w:rsid w:val="00722F5C"/>
    <w:rsid w:val="007230FE"/>
    <w:rsid w:val="00723A23"/>
    <w:rsid w:val="007261F8"/>
    <w:rsid w:val="00727010"/>
    <w:rsid w:val="00731F34"/>
    <w:rsid w:val="0073298E"/>
    <w:rsid w:val="007340F5"/>
    <w:rsid w:val="00735459"/>
    <w:rsid w:val="00735CA2"/>
    <w:rsid w:val="0073741D"/>
    <w:rsid w:val="00737BC1"/>
    <w:rsid w:val="00737E92"/>
    <w:rsid w:val="00740EEE"/>
    <w:rsid w:val="0074192E"/>
    <w:rsid w:val="007510EF"/>
    <w:rsid w:val="00751337"/>
    <w:rsid w:val="00751621"/>
    <w:rsid w:val="00752E44"/>
    <w:rsid w:val="00754F26"/>
    <w:rsid w:val="007559F3"/>
    <w:rsid w:val="00757807"/>
    <w:rsid w:val="007632BE"/>
    <w:rsid w:val="00764C4A"/>
    <w:rsid w:val="0076519F"/>
    <w:rsid w:val="00765460"/>
    <w:rsid w:val="007735E1"/>
    <w:rsid w:val="00774025"/>
    <w:rsid w:val="00774ADF"/>
    <w:rsid w:val="007757A5"/>
    <w:rsid w:val="0078044D"/>
    <w:rsid w:val="007816BC"/>
    <w:rsid w:val="00782E65"/>
    <w:rsid w:val="007853BD"/>
    <w:rsid w:val="00792179"/>
    <w:rsid w:val="00792ECB"/>
    <w:rsid w:val="007975EC"/>
    <w:rsid w:val="007A0996"/>
    <w:rsid w:val="007A0F6E"/>
    <w:rsid w:val="007A6155"/>
    <w:rsid w:val="007A689A"/>
    <w:rsid w:val="007A6EAB"/>
    <w:rsid w:val="007A7824"/>
    <w:rsid w:val="007B0A6E"/>
    <w:rsid w:val="007B56CD"/>
    <w:rsid w:val="007B674A"/>
    <w:rsid w:val="007B6DD3"/>
    <w:rsid w:val="007B7EDD"/>
    <w:rsid w:val="007C1465"/>
    <w:rsid w:val="007C40CB"/>
    <w:rsid w:val="007C469E"/>
    <w:rsid w:val="007C6105"/>
    <w:rsid w:val="007D2B44"/>
    <w:rsid w:val="007E1372"/>
    <w:rsid w:val="007E2B45"/>
    <w:rsid w:val="007E44F2"/>
    <w:rsid w:val="007F0807"/>
    <w:rsid w:val="007F20D4"/>
    <w:rsid w:val="007F40F7"/>
    <w:rsid w:val="007F5646"/>
    <w:rsid w:val="007F632E"/>
    <w:rsid w:val="007F68F1"/>
    <w:rsid w:val="008028E1"/>
    <w:rsid w:val="008041DC"/>
    <w:rsid w:val="008059B1"/>
    <w:rsid w:val="0080684A"/>
    <w:rsid w:val="00807201"/>
    <w:rsid w:val="00811C4E"/>
    <w:rsid w:val="00811F02"/>
    <w:rsid w:val="00812DBF"/>
    <w:rsid w:val="0081591D"/>
    <w:rsid w:val="008162AE"/>
    <w:rsid w:val="00816F94"/>
    <w:rsid w:val="00817280"/>
    <w:rsid w:val="0081744C"/>
    <w:rsid w:val="008179D9"/>
    <w:rsid w:val="00822D5F"/>
    <w:rsid w:val="00823AC9"/>
    <w:rsid w:val="008247A5"/>
    <w:rsid w:val="00827B75"/>
    <w:rsid w:val="00827FAB"/>
    <w:rsid w:val="0083004E"/>
    <w:rsid w:val="00832EC6"/>
    <w:rsid w:val="0083358D"/>
    <w:rsid w:val="00837C26"/>
    <w:rsid w:val="008416E6"/>
    <w:rsid w:val="00844392"/>
    <w:rsid w:val="00844E0E"/>
    <w:rsid w:val="00845EFB"/>
    <w:rsid w:val="008474A2"/>
    <w:rsid w:val="00852E0B"/>
    <w:rsid w:val="00853468"/>
    <w:rsid w:val="0085398F"/>
    <w:rsid w:val="00853F31"/>
    <w:rsid w:val="008551CE"/>
    <w:rsid w:val="00857638"/>
    <w:rsid w:val="008740D1"/>
    <w:rsid w:val="0087710D"/>
    <w:rsid w:val="008809FE"/>
    <w:rsid w:val="0088120F"/>
    <w:rsid w:val="0088264A"/>
    <w:rsid w:val="0088300A"/>
    <w:rsid w:val="00884544"/>
    <w:rsid w:val="00890B84"/>
    <w:rsid w:val="0089447D"/>
    <w:rsid w:val="008A1795"/>
    <w:rsid w:val="008A1E15"/>
    <w:rsid w:val="008A602B"/>
    <w:rsid w:val="008A67E5"/>
    <w:rsid w:val="008A7AE0"/>
    <w:rsid w:val="008B0332"/>
    <w:rsid w:val="008B1A64"/>
    <w:rsid w:val="008B300F"/>
    <w:rsid w:val="008B7023"/>
    <w:rsid w:val="008B7751"/>
    <w:rsid w:val="008C106F"/>
    <w:rsid w:val="008C2BDA"/>
    <w:rsid w:val="008C44AF"/>
    <w:rsid w:val="008C543C"/>
    <w:rsid w:val="008C56F9"/>
    <w:rsid w:val="008D033E"/>
    <w:rsid w:val="008D0E50"/>
    <w:rsid w:val="008D1338"/>
    <w:rsid w:val="008D4892"/>
    <w:rsid w:val="008D6173"/>
    <w:rsid w:val="008D7A5B"/>
    <w:rsid w:val="008D7F83"/>
    <w:rsid w:val="008E1850"/>
    <w:rsid w:val="008E3617"/>
    <w:rsid w:val="008E3825"/>
    <w:rsid w:val="008E4CA3"/>
    <w:rsid w:val="008E5484"/>
    <w:rsid w:val="008F100B"/>
    <w:rsid w:val="008F12EA"/>
    <w:rsid w:val="008F6077"/>
    <w:rsid w:val="008F70C7"/>
    <w:rsid w:val="008F78E3"/>
    <w:rsid w:val="009004D4"/>
    <w:rsid w:val="00902DE0"/>
    <w:rsid w:val="00917074"/>
    <w:rsid w:val="009205CF"/>
    <w:rsid w:val="00925489"/>
    <w:rsid w:val="00925A10"/>
    <w:rsid w:val="00925BB0"/>
    <w:rsid w:val="0092643C"/>
    <w:rsid w:val="009300A2"/>
    <w:rsid w:val="00932016"/>
    <w:rsid w:val="009353D3"/>
    <w:rsid w:val="00941D6C"/>
    <w:rsid w:val="00945D05"/>
    <w:rsid w:val="00946920"/>
    <w:rsid w:val="009479E1"/>
    <w:rsid w:val="0095032F"/>
    <w:rsid w:val="00950EBB"/>
    <w:rsid w:val="0095502C"/>
    <w:rsid w:val="00955F33"/>
    <w:rsid w:val="00957E65"/>
    <w:rsid w:val="009600E0"/>
    <w:rsid w:val="0096398A"/>
    <w:rsid w:val="00965DF1"/>
    <w:rsid w:val="0097009F"/>
    <w:rsid w:val="00971A45"/>
    <w:rsid w:val="00974422"/>
    <w:rsid w:val="00976A27"/>
    <w:rsid w:val="00976DB5"/>
    <w:rsid w:val="00977F17"/>
    <w:rsid w:val="0098496C"/>
    <w:rsid w:val="00984C1C"/>
    <w:rsid w:val="0098536D"/>
    <w:rsid w:val="009876E5"/>
    <w:rsid w:val="00990567"/>
    <w:rsid w:val="00990B99"/>
    <w:rsid w:val="009937BC"/>
    <w:rsid w:val="009949E3"/>
    <w:rsid w:val="00995279"/>
    <w:rsid w:val="009A0049"/>
    <w:rsid w:val="009B01AE"/>
    <w:rsid w:val="009B1E5D"/>
    <w:rsid w:val="009B461C"/>
    <w:rsid w:val="009C0BA7"/>
    <w:rsid w:val="009C20A7"/>
    <w:rsid w:val="009C33DC"/>
    <w:rsid w:val="009C5AC2"/>
    <w:rsid w:val="009D0EA4"/>
    <w:rsid w:val="009D217C"/>
    <w:rsid w:val="009E1421"/>
    <w:rsid w:val="009E14CE"/>
    <w:rsid w:val="009E2C28"/>
    <w:rsid w:val="009E3605"/>
    <w:rsid w:val="009E5BF0"/>
    <w:rsid w:val="009E6AB1"/>
    <w:rsid w:val="009F0E12"/>
    <w:rsid w:val="009F1A49"/>
    <w:rsid w:val="009F2E1F"/>
    <w:rsid w:val="009F3AA1"/>
    <w:rsid w:val="009F45CE"/>
    <w:rsid w:val="009F4E44"/>
    <w:rsid w:val="009F6405"/>
    <w:rsid w:val="009F72CB"/>
    <w:rsid w:val="009F74A5"/>
    <w:rsid w:val="009F7CEF"/>
    <w:rsid w:val="00A00561"/>
    <w:rsid w:val="00A006F4"/>
    <w:rsid w:val="00A008A4"/>
    <w:rsid w:val="00A020CF"/>
    <w:rsid w:val="00A02384"/>
    <w:rsid w:val="00A05493"/>
    <w:rsid w:val="00A076CA"/>
    <w:rsid w:val="00A076DE"/>
    <w:rsid w:val="00A07C87"/>
    <w:rsid w:val="00A11C1A"/>
    <w:rsid w:val="00A11D4B"/>
    <w:rsid w:val="00A138CE"/>
    <w:rsid w:val="00A16F67"/>
    <w:rsid w:val="00A215AD"/>
    <w:rsid w:val="00A22345"/>
    <w:rsid w:val="00A22EA6"/>
    <w:rsid w:val="00A24C15"/>
    <w:rsid w:val="00A25F91"/>
    <w:rsid w:val="00A30B3C"/>
    <w:rsid w:val="00A36F9B"/>
    <w:rsid w:val="00A37723"/>
    <w:rsid w:val="00A40E42"/>
    <w:rsid w:val="00A42C32"/>
    <w:rsid w:val="00A433B6"/>
    <w:rsid w:val="00A454F6"/>
    <w:rsid w:val="00A45F1F"/>
    <w:rsid w:val="00A5047F"/>
    <w:rsid w:val="00A50547"/>
    <w:rsid w:val="00A513DD"/>
    <w:rsid w:val="00A52393"/>
    <w:rsid w:val="00A52C87"/>
    <w:rsid w:val="00A5307E"/>
    <w:rsid w:val="00A55D42"/>
    <w:rsid w:val="00A6482A"/>
    <w:rsid w:val="00A6560F"/>
    <w:rsid w:val="00A65A69"/>
    <w:rsid w:val="00A717F6"/>
    <w:rsid w:val="00A73DCA"/>
    <w:rsid w:val="00A73EBF"/>
    <w:rsid w:val="00A746B2"/>
    <w:rsid w:val="00A75410"/>
    <w:rsid w:val="00A81177"/>
    <w:rsid w:val="00A839E8"/>
    <w:rsid w:val="00A84785"/>
    <w:rsid w:val="00A85F98"/>
    <w:rsid w:val="00A86C39"/>
    <w:rsid w:val="00A92D45"/>
    <w:rsid w:val="00A93464"/>
    <w:rsid w:val="00A9427E"/>
    <w:rsid w:val="00A9547B"/>
    <w:rsid w:val="00A9768F"/>
    <w:rsid w:val="00AA2A54"/>
    <w:rsid w:val="00AA3AB3"/>
    <w:rsid w:val="00AB092C"/>
    <w:rsid w:val="00AB2507"/>
    <w:rsid w:val="00AB3B22"/>
    <w:rsid w:val="00AC446D"/>
    <w:rsid w:val="00AD1EBB"/>
    <w:rsid w:val="00AD3337"/>
    <w:rsid w:val="00AD42F2"/>
    <w:rsid w:val="00AD46B8"/>
    <w:rsid w:val="00AD5B18"/>
    <w:rsid w:val="00AE1FA1"/>
    <w:rsid w:val="00AE2C0B"/>
    <w:rsid w:val="00AE5667"/>
    <w:rsid w:val="00AE695D"/>
    <w:rsid w:val="00AF0914"/>
    <w:rsid w:val="00AF12C7"/>
    <w:rsid w:val="00AF1E07"/>
    <w:rsid w:val="00AF3B15"/>
    <w:rsid w:val="00AF4CE1"/>
    <w:rsid w:val="00AF7844"/>
    <w:rsid w:val="00AF7F9D"/>
    <w:rsid w:val="00B02263"/>
    <w:rsid w:val="00B13142"/>
    <w:rsid w:val="00B14836"/>
    <w:rsid w:val="00B17232"/>
    <w:rsid w:val="00B17704"/>
    <w:rsid w:val="00B17954"/>
    <w:rsid w:val="00B23316"/>
    <w:rsid w:val="00B23FD9"/>
    <w:rsid w:val="00B2460D"/>
    <w:rsid w:val="00B25303"/>
    <w:rsid w:val="00B25D4A"/>
    <w:rsid w:val="00B26D37"/>
    <w:rsid w:val="00B272C8"/>
    <w:rsid w:val="00B274AA"/>
    <w:rsid w:val="00B30B0C"/>
    <w:rsid w:val="00B32220"/>
    <w:rsid w:val="00B33A9D"/>
    <w:rsid w:val="00B34C6B"/>
    <w:rsid w:val="00B3538A"/>
    <w:rsid w:val="00B47E7F"/>
    <w:rsid w:val="00B51839"/>
    <w:rsid w:val="00B523B0"/>
    <w:rsid w:val="00B52F2E"/>
    <w:rsid w:val="00B53022"/>
    <w:rsid w:val="00B53C48"/>
    <w:rsid w:val="00B54EBC"/>
    <w:rsid w:val="00B60282"/>
    <w:rsid w:val="00B602AD"/>
    <w:rsid w:val="00B70AC1"/>
    <w:rsid w:val="00B74517"/>
    <w:rsid w:val="00B76E46"/>
    <w:rsid w:val="00B816A9"/>
    <w:rsid w:val="00B82DC0"/>
    <w:rsid w:val="00B8346E"/>
    <w:rsid w:val="00B846A7"/>
    <w:rsid w:val="00B85D52"/>
    <w:rsid w:val="00B860C6"/>
    <w:rsid w:val="00B870AE"/>
    <w:rsid w:val="00B87958"/>
    <w:rsid w:val="00B90D7B"/>
    <w:rsid w:val="00B90FDC"/>
    <w:rsid w:val="00B9364B"/>
    <w:rsid w:val="00B9371B"/>
    <w:rsid w:val="00B944F0"/>
    <w:rsid w:val="00B97A32"/>
    <w:rsid w:val="00BA023C"/>
    <w:rsid w:val="00BA106D"/>
    <w:rsid w:val="00BA37B6"/>
    <w:rsid w:val="00BA6F54"/>
    <w:rsid w:val="00BA71C3"/>
    <w:rsid w:val="00BB2537"/>
    <w:rsid w:val="00BB3B6A"/>
    <w:rsid w:val="00BB7D4D"/>
    <w:rsid w:val="00BC07A7"/>
    <w:rsid w:val="00BC22BA"/>
    <w:rsid w:val="00BC3306"/>
    <w:rsid w:val="00BC4DD8"/>
    <w:rsid w:val="00BC51BA"/>
    <w:rsid w:val="00BC5CA1"/>
    <w:rsid w:val="00BC6F08"/>
    <w:rsid w:val="00BC70F4"/>
    <w:rsid w:val="00BC7A01"/>
    <w:rsid w:val="00BD0D8C"/>
    <w:rsid w:val="00BD2EB2"/>
    <w:rsid w:val="00BD360F"/>
    <w:rsid w:val="00BD4626"/>
    <w:rsid w:val="00BD6E32"/>
    <w:rsid w:val="00BD6E67"/>
    <w:rsid w:val="00BD7649"/>
    <w:rsid w:val="00BE163E"/>
    <w:rsid w:val="00BE55A1"/>
    <w:rsid w:val="00BE61D4"/>
    <w:rsid w:val="00BE727F"/>
    <w:rsid w:val="00BF01EE"/>
    <w:rsid w:val="00BF2E17"/>
    <w:rsid w:val="00BF4172"/>
    <w:rsid w:val="00BF45C4"/>
    <w:rsid w:val="00BF4725"/>
    <w:rsid w:val="00BF54B6"/>
    <w:rsid w:val="00BF5612"/>
    <w:rsid w:val="00BF684E"/>
    <w:rsid w:val="00BF7067"/>
    <w:rsid w:val="00BF7D74"/>
    <w:rsid w:val="00BF7F09"/>
    <w:rsid w:val="00C011DE"/>
    <w:rsid w:val="00C06A36"/>
    <w:rsid w:val="00C06FCB"/>
    <w:rsid w:val="00C07436"/>
    <w:rsid w:val="00C15C49"/>
    <w:rsid w:val="00C16427"/>
    <w:rsid w:val="00C247C3"/>
    <w:rsid w:val="00C26D76"/>
    <w:rsid w:val="00C3014B"/>
    <w:rsid w:val="00C30EE1"/>
    <w:rsid w:val="00C32F70"/>
    <w:rsid w:val="00C37256"/>
    <w:rsid w:val="00C5242D"/>
    <w:rsid w:val="00C52896"/>
    <w:rsid w:val="00C52BE9"/>
    <w:rsid w:val="00C55C64"/>
    <w:rsid w:val="00C60BEB"/>
    <w:rsid w:val="00C61117"/>
    <w:rsid w:val="00C634E8"/>
    <w:rsid w:val="00C647A2"/>
    <w:rsid w:val="00C655D7"/>
    <w:rsid w:val="00C66769"/>
    <w:rsid w:val="00C71812"/>
    <w:rsid w:val="00C730AB"/>
    <w:rsid w:val="00C73A22"/>
    <w:rsid w:val="00C741FD"/>
    <w:rsid w:val="00C74C48"/>
    <w:rsid w:val="00C77DB7"/>
    <w:rsid w:val="00C80996"/>
    <w:rsid w:val="00C8135F"/>
    <w:rsid w:val="00C818DC"/>
    <w:rsid w:val="00C83E81"/>
    <w:rsid w:val="00C83FF3"/>
    <w:rsid w:val="00C8585C"/>
    <w:rsid w:val="00C92037"/>
    <w:rsid w:val="00C9444B"/>
    <w:rsid w:val="00C95491"/>
    <w:rsid w:val="00C9662E"/>
    <w:rsid w:val="00C97181"/>
    <w:rsid w:val="00C97940"/>
    <w:rsid w:val="00C97E1C"/>
    <w:rsid w:val="00CA03C0"/>
    <w:rsid w:val="00CA0D64"/>
    <w:rsid w:val="00CA1242"/>
    <w:rsid w:val="00CA2C28"/>
    <w:rsid w:val="00CA33E1"/>
    <w:rsid w:val="00CA540D"/>
    <w:rsid w:val="00CB261D"/>
    <w:rsid w:val="00CB3125"/>
    <w:rsid w:val="00CB46FF"/>
    <w:rsid w:val="00CB658E"/>
    <w:rsid w:val="00CC0959"/>
    <w:rsid w:val="00CC3427"/>
    <w:rsid w:val="00CC44E4"/>
    <w:rsid w:val="00CC472E"/>
    <w:rsid w:val="00CC55BD"/>
    <w:rsid w:val="00CC61D9"/>
    <w:rsid w:val="00CD0CA7"/>
    <w:rsid w:val="00CD24C1"/>
    <w:rsid w:val="00CD3035"/>
    <w:rsid w:val="00CD4AA8"/>
    <w:rsid w:val="00CD4CDE"/>
    <w:rsid w:val="00CD5AFA"/>
    <w:rsid w:val="00CE205C"/>
    <w:rsid w:val="00CE2D7F"/>
    <w:rsid w:val="00CE340E"/>
    <w:rsid w:val="00CE5EF4"/>
    <w:rsid w:val="00CE7987"/>
    <w:rsid w:val="00CF0EFA"/>
    <w:rsid w:val="00CF2035"/>
    <w:rsid w:val="00CF2272"/>
    <w:rsid w:val="00CF232A"/>
    <w:rsid w:val="00CF60C2"/>
    <w:rsid w:val="00D00495"/>
    <w:rsid w:val="00D023D9"/>
    <w:rsid w:val="00D03368"/>
    <w:rsid w:val="00D0590B"/>
    <w:rsid w:val="00D106CC"/>
    <w:rsid w:val="00D10E5D"/>
    <w:rsid w:val="00D11EBE"/>
    <w:rsid w:val="00D1272A"/>
    <w:rsid w:val="00D13287"/>
    <w:rsid w:val="00D13917"/>
    <w:rsid w:val="00D15C68"/>
    <w:rsid w:val="00D17957"/>
    <w:rsid w:val="00D2003F"/>
    <w:rsid w:val="00D20E8A"/>
    <w:rsid w:val="00D2176A"/>
    <w:rsid w:val="00D2551A"/>
    <w:rsid w:val="00D25648"/>
    <w:rsid w:val="00D319F2"/>
    <w:rsid w:val="00D352A3"/>
    <w:rsid w:val="00D41DB9"/>
    <w:rsid w:val="00D41E6C"/>
    <w:rsid w:val="00D451F2"/>
    <w:rsid w:val="00D4549B"/>
    <w:rsid w:val="00D4578D"/>
    <w:rsid w:val="00D46254"/>
    <w:rsid w:val="00D51427"/>
    <w:rsid w:val="00D51852"/>
    <w:rsid w:val="00D54CBD"/>
    <w:rsid w:val="00D5684B"/>
    <w:rsid w:val="00D57DCA"/>
    <w:rsid w:val="00D61A03"/>
    <w:rsid w:val="00D61E95"/>
    <w:rsid w:val="00D70309"/>
    <w:rsid w:val="00D70FD9"/>
    <w:rsid w:val="00D726BF"/>
    <w:rsid w:val="00D73C70"/>
    <w:rsid w:val="00D749E6"/>
    <w:rsid w:val="00D773E0"/>
    <w:rsid w:val="00D776AF"/>
    <w:rsid w:val="00D82AD1"/>
    <w:rsid w:val="00D857FE"/>
    <w:rsid w:val="00D900C2"/>
    <w:rsid w:val="00D903E0"/>
    <w:rsid w:val="00D91920"/>
    <w:rsid w:val="00D93FE2"/>
    <w:rsid w:val="00D94229"/>
    <w:rsid w:val="00DA0CFE"/>
    <w:rsid w:val="00DA1D43"/>
    <w:rsid w:val="00DA291E"/>
    <w:rsid w:val="00DA2A27"/>
    <w:rsid w:val="00DA3EA2"/>
    <w:rsid w:val="00DA5616"/>
    <w:rsid w:val="00DB060A"/>
    <w:rsid w:val="00DB2EE2"/>
    <w:rsid w:val="00DB47A5"/>
    <w:rsid w:val="00DB5341"/>
    <w:rsid w:val="00DC0AD9"/>
    <w:rsid w:val="00DC0C2F"/>
    <w:rsid w:val="00DC1597"/>
    <w:rsid w:val="00DC3AF8"/>
    <w:rsid w:val="00DC48F8"/>
    <w:rsid w:val="00DC5097"/>
    <w:rsid w:val="00DC719D"/>
    <w:rsid w:val="00DD34A1"/>
    <w:rsid w:val="00DD5420"/>
    <w:rsid w:val="00DD5C51"/>
    <w:rsid w:val="00DD672D"/>
    <w:rsid w:val="00DD732B"/>
    <w:rsid w:val="00DD7D56"/>
    <w:rsid w:val="00DE0955"/>
    <w:rsid w:val="00DE0DD7"/>
    <w:rsid w:val="00DE249A"/>
    <w:rsid w:val="00DE3105"/>
    <w:rsid w:val="00DE5329"/>
    <w:rsid w:val="00DF0080"/>
    <w:rsid w:val="00DF0C2D"/>
    <w:rsid w:val="00DF19D7"/>
    <w:rsid w:val="00E007A8"/>
    <w:rsid w:val="00E01C72"/>
    <w:rsid w:val="00E055CB"/>
    <w:rsid w:val="00E06B6A"/>
    <w:rsid w:val="00E10525"/>
    <w:rsid w:val="00E11000"/>
    <w:rsid w:val="00E11804"/>
    <w:rsid w:val="00E12220"/>
    <w:rsid w:val="00E1563C"/>
    <w:rsid w:val="00E22880"/>
    <w:rsid w:val="00E254E4"/>
    <w:rsid w:val="00E257F9"/>
    <w:rsid w:val="00E26B6C"/>
    <w:rsid w:val="00E327D1"/>
    <w:rsid w:val="00E36F7F"/>
    <w:rsid w:val="00E42059"/>
    <w:rsid w:val="00E42F37"/>
    <w:rsid w:val="00E45CB8"/>
    <w:rsid w:val="00E45DA1"/>
    <w:rsid w:val="00E46193"/>
    <w:rsid w:val="00E52AFB"/>
    <w:rsid w:val="00E645B5"/>
    <w:rsid w:val="00E647C5"/>
    <w:rsid w:val="00E66850"/>
    <w:rsid w:val="00E744B9"/>
    <w:rsid w:val="00E7599C"/>
    <w:rsid w:val="00E7733E"/>
    <w:rsid w:val="00E77BD8"/>
    <w:rsid w:val="00E80736"/>
    <w:rsid w:val="00E81336"/>
    <w:rsid w:val="00E81BBD"/>
    <w:rsid w:val="00E82C97"/>
    <w:rsid w:val="00E83187"/>
    <w:rsid w:val="00E839DD"/>
    <w:rsid w:val="00E84B77"/>
    <w:rsid w:val="00E85334"/>
    <w:rsid w:val="00E875E6"/>
    <w:rsid w:val="00E8775D"/>
    <w:rsid w:val="00E900FA"/>
    <w:rsid w:val="00E9606B"/>
    <w:rsid w:val="00EA690E"/>
    <w:rsid w:val="00EA6B9E"/>
    <w:rsid w:val="00EB587F"/>
    <w:rsid w:val="00EB6B36"/>
    <w:rsid w:val="00EC0A15"/>
    <w:rsid w:val="00EC2208"/>
    <w:rsid w:val="00EC4777"/>
    <w:rsid w:val="00EC5225"/>
    <w:rsid w:val="00EC52D5"/>
    <w:rsid w:val="00EC6BE0"/>
    <w:rsid w:val="00EC7541"/>
    <w:rsid w:val="00EC773E"/>
    <w:rsid w:val="00ED2633"/>
    <w:rsid w:val="00ED3A0D"/>
    <w:rsid w:val="00ED3A1C"/>
    <w:rsid w:val="00ED513E"/>
    <w:rsid w:val="00ED7151"/>
    <w:rsid w:val="00EE007A"/>
    <w:rsid w:val="00EE2FC0"/>
    <w:rsid w:val="00EE3944"/>
    <w:rsid w:val="00EE48E3"/>
    <w:rsid w:val="00EE7602"/>
    <w:rsid w:val="00EF08CA"/>
    <w:rsid w:val="00EF0ADC"/>
    <w:rsid w:val="00EF4E87"/>
    <w:rsid w:val="00EF5151"/>
    <w:rsid w:val="00EF5C07"/>
    <w:rsid w:val="00EF5C94"/>
    <w:rsid w:val="00F001CF"/>
    <w:rsid w:val="00F00555"/>
    <w:rsid w:val="00F009F2"/>
    <w:rsid w:val="00F00FA8"/>
    <w:rsid w:val="00F02A14"/>
    <w:rsid w:val="00F03882"/>
    <w:rsid w:val="00F1105B"/>
    <w:rsid w:val="00F13A30"/>
    <w:rsid w:val="00F152BD"/>
    <w:rsid w:val="00F17840"/>
    <w:rsid w:val="00F20366"/>
    <w:rsid w:val="00F20A1D"/>
    <w:rsid w:val="00F219B8"/>
    <w:rsid w:val="00F23EC8"/>
    <w:rsid w:val="00F23FA3"/>
    <w:rsid w:val="00F241EE"/>
    <w:rsid w:val="00F242AB"/>
    <w:rsid w:val="00F265F9"/>
    <w:rsid w:val="00F30500"/>
    <w:rsid w:val="00F33172"/>
    <w:rsid w:val="00F33A0C"/>
    <w:rsid w:val="00F35012"/>
    <w:rsid w:val="00F359BD"/>
    <w:rsid w:val="00F37053"/>
    <w:rsid w:val="00F42B32"/>
    <w:rsid w:val="00F4439C"/>
    <w:rsid w:val="00F459DB"/>
    <w:rsid w:val="00F47838"/>
    <w:rsid w:val="00F478B1"/>
    <w:rsid w:val="00F50F72"/>
    <w:rsid w:val="00F51252"/>
    <w:rsid w:val="00F514C2"/>
    <w:rsid w:val="00F538ED"/>
    <w:rsid w:val="00F544D6"/>
    <w:rsid w:val="00F54B10"/>
    <w:rsid w:val="00F55529"/>
    <w:rsid w:val="00F5588F"/>
    <w:rsid w:val="00F56250"/>
    <w:rsid w:val="00F6097A"/>
    <w:rsid w:val="00F65C9A"/>
    <w:rsid w:val="00F664EC"/>
    <w:rsid w:val="00F665BB"/>
    <w:rsid w:val="00F66660"/>
    <w:rsid w:val="00F66B6B"/>
    <w:rsid w:val="00F7193D"/>
    <w:rsid w:val="00F75848"/>
    <w:rsid w:val="00F75BD9"/>
    <w:rsid w:val="00F769ED"/>
    <w:rsid w:val="00F77D21"/>
    <w:rsid w:val="00F820C9"/>
    <w:rsid w:val="00F83127"/>
    <w:rsid w:val="00F845A8"/>
    <w:rsid w:val="00F87975"/>
    <w:rsid w:val="00F87D0E"/>
    <w:rsid w:val="00F90D04"/>
    <w:rsid w:val="00F928C1"/>
    <w:rsid w:val="00F95F9A"/>
    <w:rsid w:val="00F97B3C"/>
    <w:rsid w:val="00F97C37"/>
    <w:rsid w:val="00FA1EDF"/>
    <w:rsid w:val="00FA3403"/>
    <w:rsid w:val="00FA48C8"/>
    <w:rsid w:val="00FA69CC"/>
    <w:rsid w:val="00FB0C82"/>
    <w:rsid w:val="00FB464A"/>
    <w:rsid w:val="00FB6582"/>
    <w:rsid w:val="00FC0119"/>
    <w:rsid w:val="00FD17AE"/>
    <w:rsid w:val="00FD512A"/>
    <w:rsid w:val="00FD5A41"/>
    <w:rsid w:val="00FD7DBD"/>
    <w:rsid w:val="00FE10B2"/>
    <w:rsid w:val="00FE3B6F"/>
    <w:rsid w:val="00FE4316"/>
    <w:rsid w:val="00FF1B23"/>
    <w:rsid w:val="00FF2EFA"/>
    <w:rsid w:val="00FF5E54"/>
    <w:rsid w:val="00FF787E"/>
    <w:rsid w:val="018071B8"/>
    <w:rsid w:val="02B7624C"/>
    <w:rsid w:val="02BC4C5D"/>
    <w:rsid w:val="02D845D9"/>
    <w:rsid w:val="03724869"/>
    <w:rsid w:val="051756C8"/>
    <w:rsid w:val="05714A3E"/>
    <w:rsid w:val="060C68AF"/>
    <w:rsid w:val="08A22885"/>
    <w:rsid w:val="08A52FEB"/>
    <w:rsid w:val="09287EA3"/>
    <w:rsid w:val="093F51ED"/>
    <w:rsid w:val="0A0E7914"/>
    <w:rsid w:val="0A554C12"/>
    <w:rsid w:val="0AB51023"/>
    <w:rsid w:val="0B9E16C2"/>
    <w:rsid w:val="0C65230E"/>
    <w:rsid w:val="0CCA3DC8"/>
    <w:rsid w:val="0D334ACC"/>
    <w:rsid w:val="0D9949D0"/>
    <w:rsid w:val="0DE72427"/>
    <w:rsid w:val="117B6FDE"/>
    <w:rsid w:val="12344C6A"/>
    <w:rsid w:val="12647A72"/>
    <w:rsid w:val="14AD4B0B"/>
    <w:rsid w:val="14C21E99"/>
    <w:rsid w:val="15AF54A9"/>
    <w:rsid w:val="164E283F"/>
    <w:rsid w:val="16593728"/>
    <w:rsid w:val="16895CFA"/>
    <w:rsid w:val="16EC4F54"/>
    <w:rsid w:val="1824217E"/>
    <w:rsid w:val="193E2DCB"/>
    <w:rsid w:val="19600756"/>
    <w:rsid w:val="1A0E09F0"/>
    <w:rsid w:val="1B650AE3"/>
    <w:rsid w:val="1C4E11FC"/>
    <w:rsid w:val="1C7A3BE8"/>
    <w:rsid w:val="1D8A4831"/>
    <w:rsid w:val="1DCA3DA8"/>
    <w:rsid w:val="20653360"/>
    <w:rsid w:val="217F126B"/>
    <w:rsid w:val="21CB1591"/>
    <w:rsid w:val="235A0F1C"/>
    <w:rsid w:val="23B32608"/>
    <w:rsid w:val="23BD4C86"/>
    <w:rsid w:val="25EA27DA"/>
    <w:rsid w:val="26B0556D"/>
    <w:rsid w:val="26FE765C"/>
    <w:rsid w:val="275A34C6"/>
    <w:rsid w:val="275E288B"/>
    <w:rsid w:val="281A529E"/>
    <w:rsid w:val="284321AC"/>
    <w:rsid w:val="28940C5A"/>
    <w:rsid w:val="29785E86"/>
    <w:rsid w:val="298E7457"/>
    <w:rsid w:val="29DA38D3"/>
    <w:rsid w:val="29FE6EBD"/>
    <w:rsid w:val="2BE21CDC"/>
    <w:rsid w:val="2C9C00DD"/>
    <w:rsid w:val="2D6311CF"/>
    <w:rsid w:val="2E491215"/>
    <w:rsid w:val="2E625356"/>
    <w:rsid w:val="2EE93382"/>
    <w:rsid w:val="2F546A4D"/>
    <w:rsid w:val="2FB938A3"/>
    <w:rsid w:val="2FBC45F2"/>
    <w:rsid w:val="2FEC5AC9"/>
    <w:rsid w:val="3073662F"/>
    <w:rsid w:val="308D611F"/>
    <w:rsid w:val="322C273C"/>
    <w:rsid w:val="33723946"/>
    <w:rsid w:val="36631C6B"/>
    <w:rsid w:val="36F24934"/>
    <w:rsid w:val="38397128"/>
    <w:rsid w:val="38C34474"/>
    <w:rsid w:val="39540149"/>
    <w:rsid w:val="39553AED"/>
    <w:rsid w:val="3A7435EF"/>
    <w:rsid w:val="3BA96372"/>
    <w:rsid w:val="3C243F32"/>
    <w:rsid w:val="3D1B32A0"/>
    <w:rsid w:val="3E0524C1"/>
    <w:rsid w:val="3F9528DC"/>
    <w:rsid w:val="419F758B"/>
    <w:rsid w:val="42002CA5"/>
    <w:rsid w:val="42D71A17"/>
    <w:rsid w:val="443E0D80"/>
    <w:rsid w:val="45343151"/>
    <w:rsid w:val="454A2974"/>
    <w:rsid w:val="45AC63E3"/>
    <w:rsid w:val="482C2774"/>
    <w:rsid w:val="48651873"/>
    <w:rsid w:val="48825F81"/>
    <w:rsid w:val="4AD73C7C"/>
    <w:rsid w:val="4BD27507"/>
    <w:rsid w:val="4F5C1A98"/>
    <w:rsid w:val="4FBE6988"/>
    <w:rsid w:val="508318BA"/>
    <w:rsid w:val="5148222E"/>
    <w:rsid w:val="51694182"/>
    <w:rsid w:val="51C12C40"/>
    <w:rsid w:val="51D17482"/>
    <w:rsid w:val="51E15998"/>
    <w:rsid w:val="523F4EE3"/>
    <w:rsid w:val="53FA5565"/>
    <w:rsid w:val="54DA79FD"/>
    <w:rsid w:val="54E15FB5"/>
    <w:rsid w:val="557E5D22"/>
    <w:rsid w:val="560759D0"/>
    <w:rsid w:val="580B5F93"/>
    <w:rsid w:val="59986D53"/>
    <w:rsid w:val="5C492784"/>
    <w:rsid w:val="5D6D64F9"/>
    <w:rsid w:val="5D9844C1"/>
    <w:rsid w:val="600333A8"/>
    <w:rsid w:val="60067040"/>
    <w:rsid w:val="601D4B9F"/>
    <w:rsid w:val="60521914"/>
    <w:rsid w:val="62F87114"/>
    <w:rsid w:val="62FE04A2"/>
    <w:rsid w:val="637D39D2"/>
    <w:rsid w:val="6401024A"/>
    <w:rsid w:val="65117638"/>
    <w:rsid w:val="653404D7"/>
    <w:rsid w:val="665C3E5E"/>
    <w:rsid w:val="66CC3098"/>
    <w:rsid w:val="68216C09"/>
    <w:rsid w:val="686274C3"/>
    <w:rsid w:val="69BB533F"/>
    <w:rsid w:val="6A3F7D1E"/>
    <w:rsid w:val="6A8B4D12"/>
    <w:rsid w:val="6B003EA6"/>
    <w:rsid w:val="6B004139"/>
    <w:rsid w:val="6C2C0FE8"/>
    <w:rsid w:val="6C4B7530"/>
    <w:rsid w:val="6CFC1A15"/>
    <w:rsid w:val="6DBD0F39"/>
    <w:rsid w:val="6DD30EA9"/>
    <w:rsid w:val="6E9048CA"/>
    <w:rsid w:val="6F5C0D62"/>
    <w:rsid w:val="6FB71219"/>
    <w:rsid w:val="72146F60"/>
    <w:rsid w:val="724D57F5"/>
    <w:rsid w:val="735F4F8D"/>
    <w:rsid w:val="738749EB"/>
    <w:rsid w:val="73EA0CFB"/>
    <w:rsid w:val="75921248"/>
    <w:rsid w:val="764004B7"/>
    <w:rsid w:val="78080A31"/>
    <w:rsid w:val="780F0D30"/>
    <w:rsid w:val="79CB6ED9"/>
    <w:rsid w:val="7A533A9D"/>
    <w:rsid w:val="7B4E63D0"/>
    <w:rsid w:val="7BAC6C79"/>
    <w:rsid w:val="7C5112EB"/>
    <w:rsid w:val="7C594C70"/>
    <w:rsid w:val="7DBA7990"/>
    <w:rsid w:val="7EBE71D2"/>
    <w:rsid w:val="7F792F33"/>
    <w:rsid w:val="7F7B4E82"/>
    <w:rsid w:val="7FAD5C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20" w:lineRule="exact"/>
      <w:jc w:val="both"/>
    </w:pPr>
    <w:rPr>
      <w:rFonts w:cs="仿宋" w:asciiTheme="minorHAnsi" w:hAnsiTheme="minorHAnsi" w:eastAsiaTheme="minorEastAsia"/>
      <w:kern w:val="2"/>
      <w:sz w:val="32"/>
      <w:szCs w:val="32"/>
      <w:lang w:val="en-US" w:eastAsia="zh-CN" w:bidi="ar-SA"/>
    </w:rPr>
  </w:style>
  <w:style w:type="paragraph" w:styleId="2">
    <w:name w:val="heading 1"/>
    <w:basedOn w:val="1"/>
    <w:next w:val="1"/>
    <w:link w:val="3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0"/>
    <w:pPr>
      <w:keepNext/>
      <w:keepLines/>
      <w:spacing w:before="260" w:after="260" w:line="413" w:lineRule="auto"/>
      <w:outlineLvl w:val="1"/>
    </w:pPr>
    <w:rPr>
      <w:rFonts w:ascii="Arial" w:hAnsi="Arial" w:eastAsia="楷体"/>
      <w:b/>
    </w:rPr>
  </w:style>
  <w:style w:type="paragraph" w:styleId="4">
    <w:name w:val="heading 3"/>
    <w:basedOn w:val="1"/>
    <w:next w:val="1"/>
    <w:unhideWhenUsed/>
    <w:qFormat/>
    <w:uiPriority w:val="0"/>
    <w:pPr>
      <w:keepNext/>
      <w:keepLines/>
      <w:spacing w:before="260" w:after="260" w:line="413" w:lineRule="auto"/>
      <w:outlineLvl w:val="2"/>
    </w:pPr>
    <w:rPr>
      <w:rFonts w:eastAsia="楷体"/>
      <w:b/>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unhideWhenUsed/>
    <w:qFormat/>
    <w:uiPriority w:val="99"/>
    <w:pPr>
      <w:ind w:firstLine="420" w:firstLineChars="200"/>
    </w:pPr>
    <w:rPr>
      <w:szCs w:val="24"/>
    </w:r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annotation text"/>
    <w:basedOn w:val="1"/>
    <w:link w:val="45"/>
    <w:qFormat/>
    <w:uiPriority w:val="0"/>
    <w:pPr>
      <w:spacing w:line="240" w:lineRule="auto"/>
      <w:jc w:val="left"/>
    </w:pPr>
    <w:rPr>
      <w:rFonts w:cstheme="minorBidi"/>
      <w:sz w:val="21"/>
      <w:szCs w:val="22"/>
    </w:rPr>
  </w:style>
  <w:style w:type="paragraph" w:styleId="8">
    <w:name w:val="Body Text"/>
    <w:basedOn w:val="1"/>
    <w:link w:val="30"/>
    <w:unhideWhenUsed/>
    <w:qFormat/>
    <w:uiPriority w:val="1"/>
    <w:rPr>
      <w:rFonts w:hint="eastAsia"/>
      <w:sz w:val="30"/>
    </w:rPr>
  </w:style>
  <w:style w:type="paragraph" w:styleId="9">
    <w:name w:val="Body Text Indent"/>
    <w:basedOn w:val="1"/>
    <w:next w:val="10"/>
    <w:qFormat/>
    <w:uiPriority w:val="0"/>
    <w:pPr>
      <w:spacing w:after="120"/>
      <w:ind w:left="200" w:leftChars="200"/>
    </w:pPr>
  </w:style>
  <w:style w:type="paragraph" w:styleId="10">
    <w:name w:val="envelope return"/>
    <w:basedOn w:val="1"/>
    <w:qFormat/>
    <w:uiPriority w:val="0"/>
    <w:pPr>
      <w:snapToGrid w:val="0"/>
    </w:pPr>
    <w:rPr>
      <w:rFonts w:ascii="Arial" w:hAnsi="Arial"/>
    </w:rPr>
  </w:style>
  <w:style w:type="paragraph" w:styleId="11">
    <w:name w:val="toc 3"/>
    <w:basedOn w:val="1"/>
    <w:next w:val="1"/>
    <w:qFormat/>
    <w:uiPriority w:val="39"/>
    <w:pPr>
      <w:ind w:left="840" w:leftChars="400"/>
    </w:pPr>
  </w:style>
  <w:style w:type="paragraph" w:styleId="12">
    <w:name w:val="Balloon Text"/>
    <w:basedOn w:val="1"/>
    <w:link w:val="33"/>
    <w:qFormat/>
    <w:uiPriority w:val="0"/>
    <w:pPr>
      <w:spacing w:line="240" w:lineRule="auto"/>
    </w:pPr>
    <w:rPr>
      <w:sz w:val="18"/>
      <w:szCs w:val="18"/>
    </w:rPr>
  </w:style>
  <w:style w:type="paragraph" w:styleId="13">
    <w:name w:val="footer"/>
    <w:basedOn w:val="1"/>
    <w:link w:val="41"/>
    <w:qFormat/>
    <w:uiPriority w:val="99"/>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8">
    <w:name w:val="Body Text First Indent 2"/>
    <w:basedOn w:val="9"/>
    <w:next w:val="1"/>
    <w:qFormat/>
    <w:uiPriority w:val="0"/>
    <w:pPr>
      <w:ind w:left="0" w:leftChars="0" w:firstLine="880" w:firstLineChars="200"/>
    </w:pPr>
    <w:rPr>
      <w:rFonts w:ascii="Times New Roman" w:hAnsi="Times New Roman" w:eastAsia="仿宋"/>
    </w:rPr>
  </w:style>
  <w:style w:type="table" w:styleId="20">
    <w:name w:val="Table Grid"/>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FollowedHyperlink"/>
    <w:basedOn w:val="21"/>
    <w:qFormat/>
    <w:uiPriority w:val="0"/>
    <w:rPr>
      <w:color w:val="7E1FAD" w:themeColor="followedHyperlink"/>
      <w:u w:val="single"/>
      <w14:textFill>
        <w14:solidFill>
          <w14:schemeClr w14:val="folHlink"/>
        </w14:solidFill>
      </w14:textFill>
    </w:rPr>
  </w:style>
  <w:style w:type="character" w:styleId="23">
    <w:name w:val="Emphasis"/>
    <w:basedOn w:val="21"/>
    <w:qFormat/>
    <w:uiPriority w:val="20"/>
    <w:rPr>
      <w:i/>
      <w:iCs/>
    </w:rPr>
  </w:style>
  <w:style w:type="character" w:styleId="24">
    <w:name w:val="Hyperlink"/>
    <w:basedOn w:val="21"/>
    <w:unhideWhenUsed/>
    <w:qFormat/>
    <w:uiPriority w:val="99"/>
    <w:rPr>
      <w:color w:val="0026E5" w:themeColor="hyperlink"/>
      <w:u w:val="single"/>
      <w14:textFill>
        <w14:solidFill>
          <w14:schemeClr w14:val="hlink"/>
        </w14:solidFill>
      </w14:textFill>
    </w:rPr>
  </w:style>
  <w:style w:type="paragraph" w:styleId="25">
    <w:name w:val="List Paragraph"/>
    <w:basedOn w:val="1"/>
    <w:qFormat/>
    <w:uiPriority w:val="1"/>
    <w:pPr>
      <w:ind w:left="1410" w:hanging="631"/>
    </w:pPr>
    <w:rPr>
      <w:sz w:val="24"/>
      <w:szCs w:val="24"/>
    </w:rPr>
  </w:style>
  <w:style w:type="paragraph" w:customStyle="1" w:styleId="26">
    <w:name w:val="样式 _正文段落 + 首行缩进:  2 字符1"/>
    <w:basedOn w:val="1"/>
    <w:qFormat/>
    <w:uiPriority w:val="0"/>
    <w:pPr>
      <w:spacing w:line="440" w:lineRule="exact"/>
      <w:ind w:firstLine="200" w:firstLineChars="200"/>
    </w:pPr>
    <w:rPr>
      <w:rFonts w:ascii="宋体" w:hAnsi="宋体" w:eastAsia="楷体" w:cs="宋体"/>
      <w:kern w:val="0"/>
      <w:sz w:val="28"/>
      <w:szCs w:val="20"/>
    </w:rPr>
  </w:style>
  <w:style w:type="paragraph" w:customStyle="1" w:styleId="27">
    <w:name w:val="WPSOffice手动目录 1"/>
    <w:qFormat/>
    <w:uiPriority w:val="0"/>
    <w:rPr>
      <w:rFonts w:ascii="Times New Roman" w:hAnsi="Times New Roman" w:eastAsia="宋体" w:cs="Times New Roman"/>
      <w:lang w:val="en-US" w:eastAsia="zh-CN" w:bidi="ar-SA"/>
    </w:rPr>
  </w:style>
  <w:style w:type="paragraph" w:customStyle="1" w:styleId="28">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29">
    <w:name w:val="标题 2 字符"/>
    <w:basedOn w:val="21"/>
    <w:link w:val="3"/>
    <w:qFormat/>
    <w:uiPriority w:val="0"/>
    <w:rPr>
      <w:rFonts w:ascii="Arial" w:hAnsi="Arial" w:eastAsia="楷体" w:cs="仿宋"/>
      <w:b/>
      <w:kern w:val="2"/>
      <w:sz w:val="32"/>
      <w:szCs w:val="32"/>
    </w:rPr>
  </w:style>
  <w:style w:type="character" w:customStyle="1" w:styleId="30">
    <w:name w:val="正文文本 字符"/>
    <w:basedOn w:val="21"/>
    <w:link w:val="8"/>
    <w:qFormat/>
    <w:uiPriority w:val="1"/>
    <w:rPr>
      <w:rFonts w:cs="仿宋" w:asciiTheme="minorHAnsi" w:hAnsiTheme="minorHAnsi" w:eastAsiaTheme="minorEastAsia"/>
      <w:kern w:val="2"/>
      <w:sz w:val="30"/>
      <w:szCs w:val="24"/>
    </w:rPr>
  </w:style>
  <w:style w:type="paragraph" w:customStyle="1" w:styleId="31">
    <w:name w:val="批注框文本1"/>
    <w:basedOn w:val="1"/>
    <w:next w:val="12"/>
    <w:link w:val="32"/>
    <w:unhideWhenUsed/>
    <w:qFormat/>
    <w:uiPriority w:val="99"/>
    <w:pPr>
      <w:spacing w:line="240" w:lineRule="auto"/>
    </w:pPr>
    <w:rPr>
      <w:rFonts w:ascii="等线" w:hAnsi="等线" w:eastAsia="等线" w:cs="Times New Roman"/>
      <w:sz w:val="18"/>
      <w:szCs w:val="18"/>
    </w:rPr>
  </w:style>
  <w:style w:type="character" w:customStyle="1" w:styleId="32">
    <w:name w:val="批注框文本 字符"/>
    <w:basedOn w:val="21"/>
    <w:link w:val="31"/>
    <w:qFormat/>
    <w:uiPriority w:val="99"/>
    <w:rPr>
      <w:rFonts w:ascii="等线" w:hAnsi="等线" w:eastAsia="等线" w:cs="Times New Roman"/>
      <w:kern w:val="2"/>
      <w:sz w:val="18"/>
      <w:szCs w:val="18"/>
    </w:rPr>
  </w:style>
  <w:style w:type="character" w:customStyle="1" w:styleId="33">
    <w:name w:val="批注框文本 字符1"/>
    <w:basedOn w:val="21"/>
    <w:link w:val="12"/>
    <w:qFormat/>
    <w:uiPriority w:val="0"/>
    <w:rPr>
      <w:rFonts w:cs="仿宋" w:asciiTheme="minorHAnsi" w:hAnsiTheme="minorHAnsi" w:eastAsiaTheme="minorEastAsia"/>
      <w:kern w:val="2"/>
      <w:sz w:val="18"/>
      <w:szCs w:val="18"/>
    </w:rPr>
  </w:style>
  <w:style w:type="table" w:customStyle="1" w:styleId="34">
    <w:name w:val="网格型1"/>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
    <w:name w:val="正文1 Char"/>
    <w:link w:val="36"/>
    <w:autoRedefine/>
    <w:qFormat/>
    <w:uiPriority w:val="0"/>
    <w:rPr>
      <w:rFonts w:eastAsia="仿宋_GB2312"/>
      <w:sz w:val="30"/>
      <w:szCs w:val="30"/>
    </w:rPr>
  </w:style>
  <w:style w:type="paragraph" w:customStyle="1" w:styleId="36">
    <w:name w:val="正文1"/>
    <w:basedOn w:val="1"/>
    <w:link w:val="35"/>
    <w:qFormat/>
    <w:uiPriority w:val="0"/>
    <w:pPr>
      <w:widowControl/>
      <w:spacing w:line="240" w:lineRule="auto"/>
      <w:ind w:firstLine="600"/>
      <w:jc w:val="left"/>
    </w:pPr>
    <w:rPr>
      <w:rFonts w:ascii="Times New Roman" w:hAnsi="Times New Roman" w:eastAsia="仿宋_GB2312" w:cs="Times New Roman"/>
      <w:kern w:val="0"/>
      <w:sz w:val="30"/>
      <w:szCs w:val="30"/>
    </w:rPr>
  </w:style>
  <w:style w:type="table" w:customStyle="1" w:styleId="37">
    <w:name w:val="网格型11"/>
    <w:basedOn w:val="1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8">
    <w:name w:val="修订1"/>
    <w:hidden/>
    <w:unhideWhenUsed/>
    <w:qFormat/>
    <w:uiPriority w:val="99"/>
    <w:rPr>
      <w:rFonts w:cs="仿宋" w:asciiTheme="minorHAnsi" w:hAnsiTheme="minorHAnsi" w:eastAsiaTheme="minorEastAsia"/>
      <w:kern w:val="2"/>
      <w:sz w:val="32"/>
      <w:szCs w:val="32"/>
      <w:lang w:val="en-US" w:eastAsia="zh-CN" w:bidi="ar-SA"/>
    </w:rPr>
  </w:style>
  <w:style w:type="character" w:customStyle="1" w:styleId="39">
    <w:name w:val="标题 1 字符"/>
    <w:basedOn w:val="21"/>
    <w:link w:val="2"/>
    <w:qFormat/>
    <w:uiPriority w:val="9"/>
    <w:rPr>
      <w:rFonts w:cs="仿宋" w:asciiTheme="minorHAnsi" w:hAnsiTheme="minorHAnsi" w:eastAsiaTheme="minorEastAsia"/>
      <w:b/>
      <w:bCs/>
      <w:kern w:val="44"/>
      <w:sz w:val="44"/>
      <w:szCs w:val="44"/>
    </w:rPr>
  </w:style>
  <w:style w:type="paragraph" w:customStyle="1" w:styleId="40">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rPr>
  </w:style>
  <w:style w:type="character" w:customStyle="1" w:styleId="41">
    <w:name w:val="页脚 字符"/>
    <w:basedOn w:val="21"/>
    <w:link w:val="13"/>
    <w:qFormat/>
    <w:uiPriority w:val="99"/>
    <w:rPr>
      <w:rFonts w:cs="仿宋" w:asciiTheme="minorHAnsi" w:hAnsiTheme="minorHAnsi" w:eastAsiaTheme="minorEastAsia"/>
      <w:kern w:val="2"/>
      <w:sz w:val="18"/>
      <w:szCs w:val="32"/>
    </w:rPr>
  </w:style>
  <w:style w:type="table" w:customStyle="1" w:styleId="42">
    <w:name w:val="Table Normal"/>
    <w:semiHidden/>
    <w:unhideWhenUsed/>
    <w:qFormat/>
    <w:uiPriority w:val="0"/>
    <w:tblPr>
      <w:tblCellMar>
        <w:top w:w="0" w:type="dxa"/>
        <w:left w:w="0" w:type="dxa"/>
        <w:bottom w:w="0" w:type="dxa"/>
        <w:right w:w="0" w:type="dxa"/>
      </w:tblCellMar>
    </w:tblPr>
  </w:style>
  <w:style w:type="paragraph" w:customStyle="1" w:styleId="43">
    <w:name w:val="Table Text"/>
    <w:basedOn w:val="1"/>
    <w:semiHidden/>
    <w:qFormat/>
    <w:uiPriority w:val="0"/>
    <w:rPr>
      <w:rFonts w:ascii="仿宋" w:hAnsi="仿宋" w:eastAsia="仿宋"/>
      <w:lang w:eastAsia="en-US"/>
    </w:rPr>
  </w:style>
  <w:style w:type="character" w:customStyle="1" w:styleId="44">
    <w:name w:val="text-high-light"/>
    <w:basedOn w:val="21"/>
    <w:qFormat/>
    <w:uiPriority w:val="0"/>
  </w:style>
  <w:style w:type="character" w:customStyle="1" w:styleId="45">
    <w:name w:val="批注文字 字符"/>
    <w:basedOn w:val="21"/>
    <w:link w:val="7"/>
    <w:qFormat/>
    <w:uiPriority w:val="0"/>
    <w:rPr>
      <w:rFonts w:asciiTheme="minorHAnsi" w:hAnsiTheme="minorHAnsi" w:eastAsiaTheme="minorEastAsia" w:cstheme="minorBidi"/>
      <w:kern w:val="2"/>
      <w:sz w:val="21"/>
      <w:szCs w:val="22"/>
    </w:rPr>
  </w:style>
  <w:style w:type="paragraph" w:customStyle="1" w:styleId="46">
    <w:name w:val="Revision"/>
    <w:hidden/>
    <w:unhideWhenUsed/>
    <w:qFormat/>
    <w:uiPriority w:val="99"/>
    <w:rPr>
      <w:rFonts w:cs="仿宋" w:asciiTheme="minorHAnsi" w:hAnsiTheme="minorHAnsi" w:eastAsiaTheme="minorEastAsia"/>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3.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7d4d6a37-e4c9-4cef-ad75-644152d90cf4</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2BEA278C</paraID>
      <start xmlns="http://schemas.wps.cn/vas-ai-hub/contract-review">94</start>
      <end xmlns="http://schemas.wps.cn/vas-ai-hub/contract-review">95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6615932c-9425-4701-9678-284bf4da5917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33865038-39e4-4b7e-9788-bc32f1a099e4</errorID>
      <errorWord xmlns="http://schemas.wps.cn/vas-ai-hub/contract-review">建设，规范村庄规划管理</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建设</item>
      </candidateList>
      <explain xmlns="http://schemas.wps.cn/vas-ai-hub/contract-review"/>
      <paraID xmlns="http://schemas.wps.cn/vas-ai-hub/contract-review"> C2FEBAE</paraID>
      <start xmlns="http://schemas.wps.cn/vas-ai-hub/contract-review">16</start>
      <end xmlns="http://schemas.wps.cn/vas-ai-hub/contract-review">18</end>
      <status xmlns="http://schemas.wps.cn/vas-ai-hub/contract-review">modified</status>
      <modifiedWord xmlns="http://schemas.wps.cn/vas-ai-hub/contract-review">建设</modifiedWord>
      <trackRevisions xmlns="http://schemas.wps.cn/vas-ai-hub/contract-review">false</trackRevisions>
    </reviewItem>
    <reviewItem xmlns="http://schemas.wps.cn/vas-ai-hub/contract-review">
      <errorID xmlns="http://schemas.wps.cn/vas-ai-hub/contract-review">105a7bca-078e-4858-80d3-24ab7e4f23cf</errorID>
      <errorWord xmlns="http://schemas.wps.cn/vas-ai-hub/contract-review">中央农村工作领导小组</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 中央农村工作领导小组</item>
      </candidateList>
      <explain xmlns="http://schemas.wps.cn/vas-ai-hub/contract-review">此处内容疑似含有固定表述相关错误，建议核查。</explain>
      <paraID xmlns="http://schemas.wps.cn/vas-ai-hub/contract-review"> C2FEBAE</paraID>
      <start xmlns="http://schemas.wps.cn/vas-ai-hub/contract-review">34</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05f909f1-d698-4471-a703-53d9e0ff3a9d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92</start>
      <end xmlns="http://schemas.wps.cn/vas-ai-hub/contract-review">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5c631033-7fb6-42c8-b40a-f3853a9a9247</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 C2FEBAE</paraID>
      <start xmlns="http://schemas.wps.cn/vas-ai-hub/contract-review">145</start>
      <end xmlns="http://schemas.wps.cn/vas-ai-hub/contract-review">147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2c7d5f25-3a0a-4538-93f1-6cd03d653a1c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5663C459</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19a62a81-dbdd-4d47-bf78-84bdfb06869e</errorID>
      <errorWord xmlns="http://schemas.wps.cn/vas-ai-hub/contract-review">农村一二三产融合</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农村一二三产业融合</item>
      </candidateList>
      <explain xmlns="http://schemas.wps.cn/vas-ai-hub/contract-review">词汇“农村一二三产业融合”在特定场景下为固定表述形式，请确认此处的“农村一二三产融合”是否存在不当。</explain>
      <paraID xmlns="http://schemas.wps.cn/vas-ai-hub/contract-review"> BDEDF33</paraID>
      <start xmlns="http://schemas.wps.cn/vas-ai-hub/contract-review">94</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c4a59f80-834e-4b72-8d54-edcf472da0a1</errorID>
      <errorWord xmlns="http://schemas.wps.cn/vas-ai-hub/contract-review">编制重要</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编制</item>
      </candidateList>
      <explain xmlns="http://schemas.wps.cn/vas-ai-hub/contract-review"/>
      <paraID xmlns="http://schemas.wps.cn/vas-ai-hub/contract-review"> BDEDF33</paraID>
      <start xmlns="http://schemas.wps.cn/vas-ai-hub/contract-review">110</start>
      <end xmlns="http://schemas.wps.cn/vas-ai-hub/contract-review">112</end>
      <status xmlns="http://schemas.wps.cn/vas-ai-hub/contract-review">modified</status>
      <modifiedWord xmlns="http://schemas.wps.cn/vas-ai-hub/contract-review">编制</modifiedWord>
      <trackRevisions xmlns="http://schemas.wps.cn/vas-ai-hub/contract-review">false</trackRevisions>
    </reviewItem>
    <reviewItem xmlns="http://schemas.wps.cn/vas-ai-hub/contract-review">
      <errorID xmlns="http://schemas.wps.cn/vas-ai-hub/contract-review">bf19bcc9-4cb2-459b-a020-b398b571f1b8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475CF972</paraID>
      <start xmlns="http://schemas.wps.cn/vas-ai-hub/contract-review">0</start>
      <end xmlns="http://schemas.wps.cn/vas-ai-hub/contract-review">4</end>
      <status xmlns="http://schemas.wps.cn/vas-ai-hub/contract-review">modified</status>
      <modifiedWord xmlns="http://schemas.wps.cn/vas-ai-hub/contract-review">法律法规</modifiedWord>
      <trackRevisions xmlns="http://schemas.wps.cn/vas-ai-hub/contract-review">false</trackRevisions>
    </reviewItem>
    <reviewItem xmlns="http://schemas.wps.cn/vas-ai-hub/contract-review">
      <errorID xmlns="http://schemas.wps.cn/vas-ai-hub/contract-review">b792796b-b83f-4ec0-87da-93004a10f219</errorID>
      <errorWord xmlns="http://schemas.wps.cn/vas-ai-hub/contract-review">公用公服设施</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公用设施</item>
      </candidateList>
      <explain xmlns="http://schemas.wps.cn/vas-ai-hub/contract-review"/>
      <paraID xmlns="http://schemas.wps.cn/vas-ai-hub/contract-review">10DEC580</paraID>
      <start xmlns="http://schemas.wps.cn/vas-ai-hub/contract-review">19</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56124df2-2551-4cb5-8401-46b939c93f9a</errorID>
      <errorWord xmlns="http://schemas.wps.cn/vas-ai-hub/contract-review">生态资源保护区</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生态功能保护区</item>
      </candidateList>
      <explain xmlns="http://schemas.wps.cn/vas-ai-hub/contract-review">词汇“生态功能保护区”在特定场景下为固定表述形式，请确认此处的“生态资源保护区”是否存在不当。</explain>
      <paraID xmlns="http://schemas.wps.cn/vas-ai-hub/contract-review">4480DB36</paraID>
      <start xmlns="http://schemas.wps.cn/vas-ai-hub/contract-review">23</start>
      <end xmlns="http://schemas.wps.cn/vas-ai-hub/contract-review">30</end>
      <status xmlns="http://schemas.wps.cn/vas-ai-hub/contract-review">modified</status>
      <modifiedWord xmlns="http://schemas.wps.cn/vas-ai-hub/contract-review">生态功能保护区</modifiedWord>
      <trackRevisions xmlns="http://schemas.wps.cn/vas-ai-hub/contract-review">false</trackRevisions>
    </reviewItem>
    <reviewItem xmlns="http://schemas.wps.cn/vas-ai-hub/contract-review">
      <errorID xmlns="http://schemas.wps.cn/vas-ai-hub/contract-review">bad5060b-bcdf-4173-a379-4c16d5ec149a</errorID>
      <errorWord xmlns="http://schemas.wps.cn/vas-ai-hub/contract-review">地段</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的地段</item>
      </candidateList>
      <explain xmlns="http://schemas.wps.cn/vas-ai-hub/contract-review"/>
      <paraID xmlns="http://schemas.wps.cn/vas-ai-hub/contract-review">4507E192</paraID>
      <start xmlns="http://schemas.wps.cn/vas-ai-hub/contract-review">21</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5e98342e-1ce0-461f-9e35-05ad3a2867a1</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3F948B0A</paraID>
      <start xmlns="http://schemas.wps.cn/vas-ai-hub/contract-review">125</start>
      <end xmlns="http://schemas.wps.cn/vas-ai-hub/contract-review">126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14e91f71-ed38-4419-a7ff-1cfbd056b81b</errorID>
      <errorWord xmlns="http://schemas.wps.cn/vas-ai-hub/contract-review"/>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7151CB3C</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f18bdecb-b55d-43ed-a850-568952df3e63</errorID>
      <errorWord xmlns="http://schemas.wps.cn/vas-ai-hub/contract-review">GB50016）》</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GB 50016）</item>
      </candidateList>
      <explain xmlns="http://schemas.wps.cn/vas-ai-hub/contract-review"/>
      <paraID xmlns="http://schemas.wps.cn/vas-ai-hub/contract-review">7151CB3C</paraID>
      <start xmlns="http://schemas.wps.cn/vas-ai-hub/contract-review">58</start>
      <end xmlns="http://schemas.wps.cn/vas-ai-hub/contract-review">67</end>
      <status xmlns="http://schemas.wps.cn/vas-ai-hub/contract-review">modified</status>
      <modifiedWord xmlns="http://schemas.wps.cn/vas-ai-hub/contract-review">GB 50016）</modifiedWord>
      <trackRevisions xmlns="http://schemas.wps.cn/vas-ai-hub/contract-review">false</trackRevisions>
    </reviewItem>
    <reviewItem xmlns="http://schemas.wps.cn/vas-ai-hub/contract-review">
      <errorID xmlns="http://schemas.wps.cn/vas-ai-hub/contract-review">58abc200-1934-4080-9ff1-039b991e3067</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7E5DB40F</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1daee6ab-cc7e-4a01-8c69-9177d38d185e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标题顺序错误，请检查标题顺序是否合理。</explain>
      <paraID xmlns="http://schemas.wps.cn/vas-ai-hub/contract-review">2BC85267</paraID>
      <start xmlns="http://schemas.wps.cn/vas-ai-hub/contract-review">0</start>
      <end xmlns="http://schemas.wps.cn/vas-ai-hub/contract-review">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1b5a8b69-0461-4b07-ad4b-d07270c8b50f</errorID>
      <errorWord xmlns="http://schemas.wps.cn/vas-ai-hub/contract-review">淡雅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以淡雅</item>
      </candidateList>
      <explain xmlns="http://schemas.wps.cn/vas-ai-hub/contract-review"/>
      <paraID xmlns="http://schemas.wps.cn/vas-ai-hub/contract-review"> 8C93AC4</paraID>
      <start xmlns="http://schemas.wps.cn/vas-ai-hub/contract-review">45</start>
      <end xmlns="http://schemas.wps.cn/vas-ai-hub/contract-review">48</end>
      <status xmlns="http://schemas.wps.cn/vas-ai-hub/contract-review">modified</status>
      <modifiedWord xmlns="http://schemas.wps.cn/vas-ai-hub/contract-review">以淡雅</modifiedWord>
      <trackRevisions xmlns="http://schemas.wps.cn/vas-ai-hub/contract-review">false</trackRevisions>
    </reviewItem>
    <reviewItem xmlns="http://schemas.wps.cn/vas-ai-hub/contract-review">
      <errorID xmlns="http://schemas.wps.cn/vas-ai-hub/contract-review">a1d8f1a1-ac13-4ee3-be4c-902d9f27e792</errorID>
      <errorWord xmlns="http://schemas.wps.cn/vas-ai-hub/contract-review">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以及</item>
      </candidateList>
      <explain xmlns="http://schemas.wps.cn/vas-ai-hub/contract-review"/>
      <paraID xmlns="http://schemas.wps.cn/vas-ai-hub/contract-review">62827AFC</paraID>
      <start xmlns="http://schemas.wps.cn/vas-ai-hub/contract-review">28</start>
      <end xmlns="http://schemas.wps.cn/vas-ai-hub/contract-review">30</end>
      <status xmlns="http://schemas.wps.cn/vas-ai-hub/contract-review">modified</status>
      <modifiedWord xmlns="http://schemas.wps.cn/vas-ai-hub/contract-review">以及</modifiedWord>
      <trackRevisions xmlns="http://schemas.wps.cn/vas-ai-hub/contract-review">false</trackRevisions>
    </reviewItem>
    <reviewItem xmlns="http://schemas.wps.cn/vas-ai-hub/contract-review">
      <errorID xmlns="http://schemas.wps.cn/vas-ai-hub/contract-review">9f6a65ea-b007-4552-ba17-c7538ca354fe</errorID>
      <errorWord xmlns="http://schemas.wps.cn/vas-ai-hub/contract-review">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item>
      </candidateList>
      <explain xmlns="http://schemas.wps.cn/vas-ai-hub/contract-review"/>
      <paraID xmlns="http://schemas.wps.cn/vas-ai-hub/contract-review">453F5D5D</paraID>
      <start xmlns="http://schemas.wps.cn/vas-ai-hub/contract-review">48</start>
      <end xmlns="http://schemas.wps.cn/vas-ai-hub/contract-review">50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cda72c79-3ddf-4352-9971-4fd4f0d6e51a</errorID>
      <errorWord xmlns="http://schemas.wps.cn/vas-ai-hub/contract-review">其它用地性质；空格表示“部分兼容”，指在满足原规划主导用地性质的前提下可适度混合其它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其他用地性质；空格表示“部分兼容”，指在满足原规划主导用地性质的前提下可适度混合其他</item>
      </candidateList>
      <explain xmlns="http://schemas.wps.cn/vas-ai-hub/contract-review"/>
      <paraID xmlns="http://schemas.wps.cn/vas-ai-hub/contract-review">11318A53</paraID>
      <start xmlns="http://schemas.wps.cn/vas-ai-hub/contract-review">27</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63bb763c-d0f8-47ca-b7c3-8deb61c8b190</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11318A53</paraID>
      <start xmlns="http://schemas.wps.cn/vas-ai-hub/contract-review">100</start>
      <end xmlns="http://schemas.wps.cn/vas-ai-hub/contract-review">102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12B793-7586-4A2F-9440-C3E22BEDC7C2}">
  <ds:schemaRefs/>
</ds:datastoreItem>
</file>

<file path=customXml/itemProps3.xml><?xml version="1.0" encoding="utf-8"?>
<ds:datastoreItem xmlns:ds="http://schemas.openxmlformats.org/officeDocument/2006/customXml" ds:itemID="{17603AF2-CCBC-4247-9458-A0A0D251288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7728</Words>
  <Characters>7905</Characters>
  <Lines>62</Lines>
  <Paragraphs>17</Paragraphs>
  <TotalTime>124</TotalTime>
  <ScaleCrop>false</ScaleCrop>
  <LinksUpToDate>false</LinksUpToDate>
  <CharactersWithSpaces>8037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2026-09-09T15:00:00Z</dcterms:created>
  <dc:creator>lhq</dc:creator>
  <cp:lastModifiedBy>高小健</cp:lastModifiedBy>
  <cp:lastPrinted>2026-06-22T16:24:00Z</cp:lastPrinted>
  <dcterms:modified xsi:type="dcterms:W3CDTF">2026-09-16T02:05:27Z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9CBDB28C6488461B9B869C270A2BAAE6_13</vt:lpwstr>
  </property>
  <property fmtid="{D5CDD505-2E9C-101B-9397-08002B2CF9AE}" pid="4" name="KSOTemplateDocerSaveRecord">
    <vt:lpwstr>eyJoZGlkIjoiOTgyNGRjNGVlYjdhNjcxOTBiYzNjZDU0ZDY4ZWY3Y2MiLCJ1c2VySWQiOiI0MTE5MzcwNjUifQ==</vt:lpwstr>
  </property>
</Properties>
</file>