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815135">
      <w:pPr>
        <w:rPr>
          <w:rFonts w:ascii="Times New Roman" w:hAnsi="Times New Roman" w:cs="Times New Roman"/>
        </w:rPr>
      </w:pPr>
      <w:bookmarkStart w:id="0" w:name="_Toc5194"/>
      <w:bookmarkStart w:id="1" w:name="_Toc18952"/>
      <w:bookmarkStart w:id="2" w:name="_Toc9697"/>
      <w:bookmarkStart w:id="3" w:name="_Toc2320"/>
    </w:p>
    <w:p w14:paraId="7A25A645">
      <w:pPr>
        <w:rPr>
          <w:rFonts w:ascii="Times New Roman" w:hAnsi="Times New Roman" w:cs="Times New Roman"/>
        </w:rPr>
      </w:pPr>
    </w:p>
    <w:bookmarkEnd w:id="0"/>
    <w:bookmarkEnd w:id="1"/>
    <w:bookmarkEnd w:id="2"/>
    <w:bookmarkEnd w:id="3"/>
    <w:p w14:paraId="4C6C4F43">
      <w:pPr>
        <w:spacing w:line="240" w:lineRule="auto"/>
        <w:jc w:val="center"/>
        <w:rPr>
          <w:rFonts w:ascii="Times New Roman" w:hAnsi="Times New Roman" w:eastAsia="方正小标宋简体" w:cs="Times New Roman"/>
          <w:sz w:val="40"/>
          <w:szCs w:val="40"/>
        </w:rPr>
      </w:pPr>
      <w:r>
        <w:rPr>
          <w:rFonts w:hint="eastAsia" w:ascii="Times New Roman" w:hAnsi="Times New Roman" w:eastAsia="方正小标宋简体" w:cs="Times New Roman"/>
          <w:sz w:val="48"/>
          <w:szCs w:val="48"/>
        </w:rPr>
        <w:t>杜集区矿山集街道、高岳街道乡村地区</w:t>
      </w:r>
      <w:r>
        <w:rPr>
          <w:rFonts w:ascii="Times New Roman" w:hAnsi="Times New Roman" w:eastAsia="方正小标宋简体" w:cs="Times New Roman"/>
          <w:sz w:val="48"/>
          <w:szCs w:val="48"/>
        </w:rPr>
        <w:t>“通则式”规划技术管理规定</w:t>
      </w:r>
    </w:p>
    <w:p w14:paraId="5C7F8A8A">
      <w:pPr>
        <w:jc w:val="center"/>
        <w:rPr>
          <w:rFonts w:ascii="Times New Roman" w:hAnsi="Times New Roman" w:eastAsia="方正小标宋简体" w:cs="Times New Roman"/>
          <w:sz w:val="48"/>
          <w:szCs w:val="48"/>
        </w:rPr>
      </w:pPr>
    </w:p>
    <w:p w14:paraId="31A4C74E">
      <w:pPr>
        <w:pStyle w:val="5"/>
        <w:ind w:firstLine="640"/>
        <w:rPr>
          <w:rFonts w:ascii="Times New Roman" w:hAnsi="Times New Roman" w:cs="Times New Roman"/>
        </w:rPr>
      </w:pPr>
    </w:p>
    <w:p w14:paraId="63D5C758">
      <w:pPr>
        <w:pStyle w:val="5"/>
        <w:ind w:firstLine="640"/>
        <w:rPr>
          <w:rFonts w:ascii="Times New Roman" w:hAnsi="Times New Roman" w:cs="Times New Roman"/>
        </w:rPr>
      </w:pPr>
    </w:p>
    <w:p w14:paraId="097003EC">
      <w:pPr>
        <w:jc w:val="center"/>
        <w:rPr>
          <w:rFonts w:ascii="Times New Roman" w:hAnsi="Times New Roman" w:cs="Times New Roman" w:eastAsiaTheme="majorEastAsia"/>
          <w:sz w:val="44"/>
          <w:szCs w:val="44"/>
        </w:rPr>
      </w:pPr>
    </w:p>
    <w:p w14:paraId="6AD9BBBD">
      <w:pPr>
        <w:jc w:val="center"/>
        <w:rPr>
          <w:rFonts w:ascii="Times New Roman" w:hAnsi="Times New Roman" w:cs="Times New Roman" w:eastAsiaTheme="majorEastAsia"/>
          <w:sz w:val="44"/>
          <w:szCs w:val="44"/>
        </w:rPr>
      </w:pPr>
    </w:p>
    <w:p w14:paraId="5ACF4BAA">
      <w:pPr>
        <w:jc w:val="center"/>
        <w:rPr>
          <w:rFonts w:ascii="Times New Roman" w:hAnsi="Times New Roman" w:cs="Times New Roman" w:eastAsiaTheme="majorEastAsia"/>
          <w:sz w:val="44"/>
          <w:szCs w:val="44"/>
        </w:rPr>
      </w:pPr>
    </w:p>
    <w:p w14:paraId="37D828E2">
      <w:pPr>
        <w:jc w:val="center"/>
        <w:rPr>
          <w:rFonts w:ascii="Times New Roman" w:hAnsi="Times New Roman" w:cs="Times New Roman" w:eastAsiaTheme="majorEastAsia"/>
          <w:sz w:val="44"/>
          <w:szCs w:val="44"/>
        </w:rPr>
      </w:pPr>
    </w:p>
    <w:p w14:paraId="125E0D97">
      <w:pPr>
        <w:jc w:val="center"/>
        <w:rPr>
          <w:rFonts w:ascii="Times New Roman" w:hAnsi="Times New Roman" w:cs="Times New Roman" w:eastAsiaTheme="majorEastAsia"/>
          <w:sz w:val="44"/>
          <w:szCs w:val="44"/>
        </w:rPr>
      </w:pPr>
    </w:p>
    <w:p w14:paraId="6E8F7433">
      <w:pPr>
        <w:jc w:val="center"/>
        <w:rPr>
          <w:rFonts w:ascii="Times New Roman" w:hAnsi="Times New Roman" w:cs="Times New Roman" w:eastAsiaTheme="majorEastAsia"/>
          <w:sz w:val="44"/>
          <w:szCs w:val="44"/>
        </w:rPr>
      </w:pPr>
    </w:p>
    <w:p w14:paraId="195A40A6">
      <w:pPr>
        <w:jc w:val="center"/>
        <w:rPr>
          <w:rFonts w:ascii="Times New Roman" w:hAnsi="Times New Roman" w:cs="Times New Roman" w:eastAsiaTheme="majorEastAsia"/>
          <w:sz w:val="44"/>
          <w:szCs w:val="44"/>
        </w:rPr>
      </w:pPr>
    </w:p>
    <w:p w14:paraId="4C675626">
      <w:pPr>
        <w:jc w:val="center"/>
        <w:rPr>
          <w:rFonts w:ascii="Times New Roman" w:hAnsi="Times New Roman" w:cs="Times New Roman" w:eastAsiaTheme="majorEastAsia"/>
          <w:sz w:val="44"/>
          <w:szCs w:val="44"/>
        </w:rPr>
      </w:pPr>
    </w:p>
    <w:p w14:paraId="50F7C162">
      <w:pPr>
        <w:jc w:val="center"/>
        <w:rPr>
          <w:rFonts w:ascii="Times New Roman" w:hAnsi="Times New Roman" w:cs="Times New Roman" w:eastAsiaTheme="majorEastAsia"/>
          <w:sz w:val="44"/>
          <w:szCs w:val="44"/>
        </w:rPr>
      </w:pPr>
    </w:p>
    <w:p w14:paraId="4F3651D6">
      <w:pPr>
        <w:jc w:val="center"/>
        <w:rPr>
          <w:rFonts w:ascii="Times New Roman" w:hAnsi="Times New Roman" w:cs="Times New Roman" w:eastAsiaTheme="majorEastAsia"/>
          <w:sz w:val="44"/>
          <w:szCs w:val="44"/>
        </w:rPr>
      </w:pPr>
    </w:p>
    <w:p w14:paraId="7E16AECF">
      <w:pPr>
        <w:jc w:val="center"/>
        <w:rPr>
          <w:rFonts w:ascii="Times New Roman" w:hAnsi="Times New Roman" w:cs="Times New Roman" w:eastAsiaTheme="majorEastAsia"/>
          <w:sz w:val="44"/>
          <w:szCs w:val="44"/>
        </w:rPr>
      </w:pPr>
    </w:p>
    <w:p w14:paraId="2E65E936">
      <w:pPr>
        <w:jc w:val="center"/>
        <w:rPr>
          <w:rFonts w:ascii="Times New Roman" w:hAnsi="Times New Roman" w:cs="Times New Roman" w:eastAsiaTheme="majorEastAsia"/>
          <w:sz w:val="44"/>
          <w:szCs w:val="44"/>
        </w:rPr>
      </w:pPr>
    </w:p>
    <w:p w14:paraId="72F0DC5C">
      <w:pPr>
        <w:jc w:val="center"/>
        <w:rPr>
          <w:rFonts w:ascii="Times New Roman" w:hAnsi="Times New Roman" w:cs="Times New Roman" w:eastAsiaTheme="majorEastAsia"/>
          <w:sz w:val="44"/>
          <w:szCs w:val="44"/>
        </w:rPr>
      </w:pPr>
    </w:p>
    <w:p w14:paraId="3439EF06">
      <w:pPr>
        <w:jc w:val="center"/>
        <w:rPr>
          <w:rFonts w:ascii="Times New Roman" w:hAnsi="Times New Roman" w:cs="Times New Roman" w:eastAsiaTheme="majorEastAsia"/>
          <w:sz w:val="44"/>
          <w:szCs w:val="44"/>
        </w:rPr>
      </w:pPr>
    </w:p>
    <w:p w14:paraId="443A963C">
      <w:pPr>
        <w:jc w:val="center"/>
        <w:rPr>
          <w:rFonts w:ascii="Times New Roman" w:hAnsi="Times New Roman" w:cs="Times New Roman" w:eastAsiaTheme="majorEastAsia"/>
          <w:sz w:val="44"/>
          <w:szCs w:val="44"/>
        </w:rPr>
      </w:pPr>
    </w:p>
    <w:p w14:paraId="569B5C04">
      <w:pPr>
        <w:jc w:val="center"/>
        <w:rPr>
          <w:rFonts w:ascii="Times New Roman" w:hAnsi="Times New Roman" w:cs="Times New Roman" w:eastAsiaTheme="majorEastAsia"/>
          <w:sz w:val="44"/>
          <w:szCs w:val="44"/>
        </w:rPr>
      </w:pPr>
    </w:p>
    <w:p w14:paraId="0EA14523">
      <w:pPr>
        <w:widowControl/>
        <w:spacing w:line="400" w:lineRule="exact"/>
        <w:jc w:val="center"/>
        <w:rPr>
          <w:rFonts w:ascii="Times New Roman" w:hAnsi="Times New Roman" w:eastAsia="黑体" w:cs="Times New Roman"/>
          <w:kern w:val="0"/>
          <w:shd w:val="clear" w:color="auto" w:fill="FFFFFF"/>
        </w:rPr>
      </w:pPr>
      <w:r>
        <w:rPr>
          <w:rFonts w:hint="eastAsia" w:ascii="Times New Roman" w:hAnsi="Times New Roman" w:eastAsia="黑体" w:cs="Times New Roman"/>
          <w:kern w:val="0"/>
          <w:shd w:val="clear" w:color="auto" w:fill="FFFFFF"/>
        </w:rPr>
        <w:t>淮北市矿山集街道、高岳街道办事处</w:t>
      </w:r>
    </w:p>
    <w:p w14:paraId="78443F5C">
      <w:pPr>
        <w:widowControl/>
        <w:spacing w:line="400" w:lineRule="exact"/>
        <w:jc w:val="center"/>
        <w:rPr>
          <w:rFonts w:ascii="Times New Roman" w:hAnsi="Times New Roman" w:eastAsia="黑体" w:cs="Times New Roman"/>
          <w:kern w:val="0"/>
          <w:shd w:val="clear" w:color="auto" w:fill="FFFFFF"/>
        </w:rPr>
      </w:pPr>
      <w:r>
        <w:rPr>
          <w:rFonts w:ascii="Times New Roman" w:hAnsi="Times New Roman" w:eastAsia="黑体" w:cs="Times New Roman"/>
          <w:kern w:val="0"/>
          <w:shd w:val="clear" w:color="auto" w:fill="FFFFFF"/>
        </w:rPr>
        <w:t>2026年</w:t>
      </w:r>
      <w:r>
        <w:rPr>
          <w:rFonts w:hint="eastAsia" w:ascii="Times New Roman" w:hAnsi="Times New Roman" w:eastAsia="黑体" w:cs="Times New Roman"/>
          <w:kern w:val="0"/>
          <w:shd w:val="clear" w:color="auto" w:fill="FFFFFF"/>
        </w:rPr>
        <w:t>9</w:t>
      </w:r>
      <w:r>
        <w:rPr>
          <w:rFonts w:ascii="Times New Roman" w:hAnsi="Times New Roman" w:eastAsia="黑体" w:cs="Times New Roman"/>
          <w:kern w:val="0"/>
          <w:shd w:val="clear" w:color="auto" w:fill="FFFFFF"/>
        </w:rPr>
        <w:t>月</w:t>
      </w:r>
    </w:p>
    <w:p w14:paraId="6D637207">
      <w:pPr>
        <w:widowControl/>
        <w:spacing w:line="600" w:lineRule="exact"/>
        <w:rPr>
          <w:rFonts w:ascii="Times New Roman" w:hAnsi="Times New Roman" w:eastAsia="楷体_GB2312" w:cs="Times New Roman"/>
          <w:kern w:val="0"/>
          <w:shd w:val="clear" w:color="auto" w:fill="FFFFFF"/>
        </w:rPr>
        <w:sectPr>
          <w:pgSz w:w="11906" w:h="16838"/>
          <w:pgMar w:top="1440" w:right="1800" w:bottom="1440" w:left="1800" w:header="851" w:footer="992" w:gutter="0"/>
          <w:cols w:space="425" w:num="1"/>
          <w:docGrid w:type="lines" w:linePitch="312" w:charSpace="0"/>
        </w:sectPr>
      </w:pPr>
    </w:p>
    <w:p w14:paraId="582EE718">
      <w:pPr>
        <w:spacing w:line="384" w:lineRule="auto"/>
        <w:rPr>
          <w:rFonts w:hint="eastAsia" w:ascii="Times New Roman" w:hAnsi="Times New Roman" w:eastAsia="仿宋_GB2312" w:cs="Times New Roman"/>
          <w:b/>
          <w:bCs/>
          <w:sz w:val="28"/>
          <w:szCs w:val="28"/>
          <w:lang w:eastAsia="zh-CN"/>
        </w:rPr>
      </w:pPr>
      <w:r>
        <w:rPr>
          <w:rFonts w:hint="eastAsia" w:ascii="Times New Roman" w:hAnsi="Times New Roman" w:eastAsia="仿宋_GB2312" w:cs="Times New Roman"/>
          <w:b/>
          <w:bCs/>
          <w:sz w:val="28"/>
          <w:szCs w:val="28"/>
          <w:lang w:eastAsia="zh-CN"/>
        </w:rPr>
        <w:drawing>
          <wp:inline distT="0" distB="0" distL="114300" distR="114300">
            <wp:extent cx="5265420" cy="3726180"/>
            <wp:effectExtent l="0" t="0" r="11430" b="7620"/>
            <wp:docPr id="1" name="图片 1" descr="42b6aea15c946e283c9a05131f3158c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42b6aea15c946e283c9a05131f3158cf"/>
                    <pic:cNvPicPr>
                      <a:picLocks noChangeAspect="1"/>
                    </pic:cNvPicPr>
                  </pic:nvPicPr>
                  <pic:blipFill>
                    <a:blip r:embed="rId11"/>
                    <a:stretch>
                      <a:fillRect/>
                    </a:stretch>
                  </pic:blipFill>
                  <pic:spPr>
                    <a:xfrm>
                      <a:off x="0" y="0"/>
                      <a:ext cx="5265420" cy="3726180"/>
                    </a:xfrm>
                    <a:prstGeom prst="rect">
                      <a:avLst/>
                    </a:prstGeom>
                  </pic:spPr>
                </pic:pic>
              </a:graphicData>
            </a:graphic>
          </wp:inline>
        </w:drawing>
      </w:r>
    </w:p>
    <w:p w14:paraId="250B906A">
      <w:pPr>
        <w:spacing w:line="384" w:lineRule="auto"/>
        <w:rPr>
          <w:rFonts w:ascii="Times New Roman" w:hAnsi="Times New Roman" w:eastAsia="仿宋_GB2312" w:cs="Times New Roman"/>
          <w:b/>
          <w:bCs/>
          <w:sz w:val="28"/>
          <w:szCs w:val="28"/>
        </w:rPr>
      </w:pPr>
      <w:r>
        <w:rPr>
          <w:rFonts w:ascii="Times New Roman" w:hAnsi="Times New Roman" w:eastAsia="仿宋_GB2312" w:cs="Times New Roman"/>
          <w:b/>
          <w:bCs/>
          <w:sz w:val="28"/>
          <w:szCs w:val="28"/>
        </w:rPr>
        <w:t>项目名称：</w:t>
      </w:r>
      <w:r>
        <w:rPr>
          <w:rFonts w:hint="eastAsia" w:ascii="Times New Roman" w:hAnsi="Times New Roman" w:eastAsia="仿宋_GB2312" w:cs="Times New Roman"/>
          <w:b/>
          <w:bCs/>
          <w:sz w:val="28"/>
          <w:szCs w:val="28"/>
        </w:rPr>
        <w:t>杜集区矿山集街道、高岳街道乡村地区</w:t>
      </w:r>
      <w:r>
        <w:rPr>
          <w:rFonts w:ascii="Times New Roman" w:hAnsi="Times New Roman" w:eastAsia="仿宋_GB2312" w:cs="Times New Roman"/>
          <w:b/>
          <w:bCs/>
          <w:sz w:val="28"/>
          <w:szCs w:val="28"/>
        </w:rPr>
        <w:t>“通则式”规划技术管理规定</w:t>
      </w:r>
    </w:p>
    <w:p w14:paraId="7499D6BF">
      <w:pPr>
        <w:spacing w:line="384" w:lineRule="auto"/>
        <w:rPr>
          <w:rFonts w:ascii="Times New Roman" w:hAnsi="Times New Roman" w:eastAsia="仿宋_GB2312" w:cs="Times New Roman"/>
          <w:b/>
          <w:bCs/>
          <w:sz w:val="28"/>
          <w:szCs w:val="28"/>
        </w:rPr>
      </w:pPr>
      <w:r>
        <w:rPr>
          <w:rFonts w:ascii="Times New Roman" w:hAnsi="Times New Roman" w:eastAsia="仿宋_GB2312" w:cs="Times New Roman"/>
          <w:b/>
          <w:bCs/>
          <w:sz w:val="28"/>
          <w:szCs w:val="28"/>
        </w:rPr>
        <w:t>编制主体：淮北市</w:t>
      </w:r>
      <w:r>
        <w:rPr>
          <w:rFonts w:hint="eastAsia" w:ascii="Times New Roman" w:hAnsi="Times New Roman" w:eastAsia="仿宋_GB2312" w:cs="Times New Roman"/>
          <w:b/>
          <w:bCs/>
          <w:sz w:val="28"/>
          <w:szCs w:val="28"/>
        </w:rPr>
        <w:t>矿山集街道、高岳街道办事处</w:t>
      </w:r>
    </w:p>
    <w:p w14:paraId="0D7592F8">
      <w:pPr>
        <w:spacing w:line="384" w:lineRule="auto"/>
        <w:rPr>
          <w:rFonts w:ascii="Times New Roman" w:hAnsi="Times New Roman" w:eastAsia="仿宋_GB2312" w:cs="Times New Roman"/>
          <w:b/>
          <w:bCs/>
          <w:sz w:val="28"/>
          <w:szCs w:val="28"/>
        </w:rPr>
      </w:pPr>
      <w:r>
        <w:rPr>
          <w:rFonts w:ascii="Times New Roman" w:hAnsi="Times New Roman" w:eastAsia="仿宋_GB2312" w:cs="Times New Roman"/>
          <w:b/>
          <w:bCs/>
          <w:sz w:val="28"/>
          <w:szCs w:val="28"/>
        </w:rPr>
        <w:t>编制单位：</w:t>
      </w:r>
      <w:r>
        <w:rPr>
          <w:rFonts w:hint="eastAsia" w:ascii="Times New Roman" w:hAnsi="Times New Roman" w:eastAsia="仿宋_GB2312" w:cs="Times New Roman"/>
          <w:b/>
          <w:bCs/>
          <w:sz w:val="28"/>
          <w:szCs w:val="28"/>
        </w:rPr>
        <w:t>师梦勘测设计集团有限公司</w:t>
      </w:r>
    </w:p>
    <w:p w14:paraId="4035A6FE">
      <w:pPr>
        <w:spacing w:line="384" w:lineRule="auto"/>
        <w:rPr>
          <w:rFonts w:ascii="Times New Roman" w:hAnsi="Times New Roman" w:eastAsia="仿宋_GB2312" w:cs="Times New Roman"/>
          <w:b/>
          <w:bCs/>
          <w:sz w:val="28"/>
          <w:szCs w:val="28"/>
        </w:rPr>
      </w:pPr>
      <w:r>
        <w:rPr>
          <w:rFonts w:ascii="Times New Roman" w:hAnsi="Times New Roman" w:eastAsia="仿宋_GB2312" w:cs="Times New Roman"/>
          <w:b/>
          <w:bCs/>
          <w:sz w:val="28"/>
          <w:szCs w:val="28"/>
        </w:rPr>
        <w:t>城乡规划资质证书等级：</w:t>
      </w:r>
      <w:r>
        <w:rPr>
          <w:rFonts w:hint="eastAsia" w:ascii="Times New Roman" w:hAnsi="Times New Roman" w:eastAsia="仿宋_GB2312" w:cs="Times New Roman"/>
          <w:b/>
          <w:bCs/>
          <w:sz w:val="28"/>
          <w:szCs w:val="28"/>
        </w:rPr>
        <w:t>乙</w:t>
      </w:r>
      <w:r>
        <w:rPr>
          <w:rFonts w:ascii="Times New Roman" w:hAnsi="Times New Roman" w:eastAsia="仿宋_GB2312" w:cs="Times New Roman"/>
          <w:b/>
          <w:bCs/>
          <w:sz w:val="28"/>
          <w:szCs w:val="28"/>
        </w:rPr>
        <w:t xml:space="preserve">  级</w:t>
      </w:r>
    </w:p>
    <w:p w14:paraId="5DD86CCF">
      <w:pPr>
        <w:spacing w:line="384" w:lineRule="auto"/>
        <w:rPr>
          <w:rFonts w:ascii="Times New Roman" w:hAnsi="Times New Roman" w:eastAsia="仿宋_GB2312" w:cs="Times New Roman"/>
          <w:b/>
          <w:bCs/>
          <w:sz w:val="28"/>
          <w:szCs w:val="28"/>
        </w:rPr>
      </w:pPr>
      <w:r>
        <w:rPr>
          <w:rFonts w:ascii="Times New Roman" w:hAnsi="Times New Roman" w:eastAsia="仿宋_GB2312" w:cs="Times New Roman"/>
          <w:b/>
          <w:bCs/>
          <w:sz w:val="28"/>
          <w:szCs w:val="28"/>
        </w:rPr>
        <w:t>城乡规划资质证书编号：</w:t>
      </w:r>
      <w:r>
        <w:rPr>
          <w:rFonts w:hint="eastAsia" w:ascii="Times New Roman" w:hAnsi="Times New Roman" w:eastAsia="仿宋_GB2312" w:cs="Times New Roman"/>
          <w:b/>
          <w:bCs/>
          <w:sz w:val="28"/>
          <w:szCs w:val="28"/>
        </w:rPr>
        <w:t>豫自资规乙字24410096</w:t>
      </w:r>
    </w:p>
    <w:p w14:paraId="4232BB87">
      <w:pPr>
        <w:rPr>
          <w:rFonts w:ascii="Times New Roman" w:hAnsi="Times New Roman" w:cs="Times New Roman"/>
          <w:lang w:val="zh-CN"/>
        </w:rPr>
      </w:pPr>
      <w:r>
        <w:rPr>
          <w:rFonts w:hint="eastAsia" w:ascii="Times New Roman" w:hAnsi="Times New Roman" w:cs="Times New Roman"/>
          <w:lang w:val="zh-CN"/>
        </w:rPr>
        <w:br w:type="page"/>
      </w:r>
    </w:p>
    <w:sdt>
      <w:sdtPr>
        <w:rPr>
          <w:rFonts w:ascii="Times New Roman" w:hAnsi="Times New Roman" w:cs="Times New Roman"/>
          <w:lang w:val="zh-CN"/>
        </w:rPr>
        <w:id w:val="621743290"/>
        <w:docPartObj>
          <w:docPartGallery w:val="Table of Contents"/>
          <w:docPartUnique/>
        </w:docPartObj>
      </w:sdtPr>
      <w:sdtEndPr>
        <w:rPr>
          <w:rFonts w:ascii="Times New Roman" w:hAnsi="Times New Roman" w:cs="Times New Roman"/>
          <w:lang w:val="zh-CN"/>
        </w:rPr>
      </w:sdtEndPr>
      <w:sdtContent>
        <w:p w14:paraId="772C2914">
          <w:pPr>
            <w:tabs>
              <w:tab w:val="left" w:pos="720"/>
              <w:tab w:val="center" w:pos="4533"/>
              <w:tab w:val="left" w:pos="5618"/>
            </w:tabs>
            <w:spacing w:line="360" w:lineRule="auto"/>
            <w:ind w:firstLine="640" w:firstLineChars="200"/>
            <w:jc w:val="center"/>
            <w:rPr>
              <w:rFonts w:ascii="Times New Roman" w:hAnsi="Times New Roman" w:eastAsia="黑体" w:cs="Times New Roman"/>
              <w:sz w:val="36"/>
              <w:szCs w:val="36"/>
              <w:lang w:val="zh-CN"/>
            </w:rPr>
          </w:pPr>
          <w:r>
            <w:rPr>
              <w:rFonts w:ascii="Times New Roman" w:hAnsi="Times New Roman" w:eastAsia="黑体" w:cs="Times New Roman"/>
              <w:sz w:val="36"/>
              <w:szCs w:val="36"/>
              <w:lang w:val="zh-CN"/>
            </w:rPr>
            <w:t>目 录</w:t>
          </w:r>
        </w:p>
        <w:p w14:paraId="73205407">
          <w:pPr>
            <w:pStyle w:val="15"/>
            <w:tabs>
              <w:tab w:val="right" w:leader="dot" w:pos="8306"/>
            </w:tabs>
            <w:rPr>
              <w:rFonts w:ascii="Times New Roman" w:hAnsi="Times New Roman" w:eastAsia="仿宋_GB2312" w:cs="Times New Roman"/>
            </w:rPr>
          </w:pPr>
          <w:r>
            <w:rPr>
              <w:rFonts w:ascii="Times New Roman" w:hAnsi="Times New Roman" w:eastAsia="仿宋_GB2312" w:cs="Times New Roman"/>
              <w:lang w:val="zh-CN"/>
            </w:rPr>
            <w:fldChar w:fldCharType="begin"/>
          </w:r>
          <w:r>
            <w:rPr>
              <w:rFonts w:ascii="Times New Roman" w:hAnsi="Times New Roman" w:eastAsia="仿宋_GB2312" w:cs="Times New Roman"/>
              <w:lang w:val="zh-CN"/>
            </w:rPr>
            <w:instrText xml:space="preserve"> TOC \o "1-1" \h \z \u </w:instrText>
          </w:r>
          <w:r>
            <w:rPr>
              <w:rFonts w:ascii="Times New Roman" w:hAnsi="Times New Roman" w:eastAsia="仿宋_GB2312" w:cs="Times New Roman"/>
              <w:lang w:val="zh-CN"/>
            </w:rPr>
            <w:fldChar w:fldCharType="separate"/>
          </w:r>
          <w:r>
            <w:fldChar w:fldCharType="begin"/>
          </w:r>
          <w:r>
            <w:instrText xml:space="preserve"> HYPERLINK \l "_Toc7776" </w:instrText>
          </w:r>
          <w:r>
            <w:fldChar w:fldCharType="separate"/>
          </w:r>
          <w:r>
            <w:rPr>
              <w:rFonts w:hint="eastAsia" w:ascii="Times New Roman" w:hAnsi="Times New Roman" w:eastAsia="仿宋_GB2312" w:cs="Times New Roman"/>
              <w:kern w:val="0"/>
              <w:szCs w:val="40"/>
            </w:rPr>
            <w:t>前言</w:t>
          </w:r>
          <w:r>
            <w:rPr>
              <w:rFonts w:ascii="Times New Roman" w:hAnsi="Times New Roman" w:eastAsia="仿宋_GB2312" w:cs="Times New Roman"/>
            </w:rPr>
            <w:tab/>
          </w:r>
          <w:r>
            <w:rPr>
              <w:rFonts w:ascii="Times New Roman" w:hAnsi="Times New Roman" w:eastAsia="仿宋_GB2312" w:cs="Times New Roman"/>
            </w:rPr>
            <w:fldChar w:fldCharType="begin"/>
          </w:r>
          <w:r>
            <w:rPr>
              <w:rFonts w:ascii="Times New Roman" w:hAnsi="Times New Roman" w:eastAsia="仿宋_GB2312" w:cs="Times New Roman"/>
            </w:rPr>
            <w:instrText xml:space="preserve"> PAGEREF _Toc7776 \h </w:instrText>
          </w:r>
          <w:r>
            <w:rPr>
              <w:rFonts w:ascii="Times New Roman" w:hAnsi="Times New Roman" w:eastAsia="仿宋_GB2312" w:cs="Times New Roman"/>
            </w:rPr>
            <w:fldChar w:fldCharType="separate"/>
          </w:r>
          <w:r>
            <w:rPr>
              <w:rFonts w:ascii="Times New Roman" w:hAnsi="Times New Roman" w:eastAsia="仿宋_GB2312" w:cs="Times New Roman"/>
            </w:rPr>
            <w:t>1</w:t>
          </w:r>
          <w:r>
            <w:rPr>
              <w:rFonts w:ascii="Times New Roman" w:hAnsi="Times New Roman" w:eastAsia="仿宋_GB2312" w:cs="Times New Roman"/>
            </w:rPr>
            <w:fldChar w:fldCharType="end"/>
          </w:r>
          <w:r>
            <w:rPr>
              <w:rFonts w:ascii="Times New Roman" w:hAnsi="Times New Roman" w:eastAsia="仿宋_GB2312" w:cs="Times New Roman"/>
            </w:rPr>
            <w:fldChar w:fldCharType="end"/>
          </w:r>
        </w:p>
        <w:p w14:paraId="2FAFD5A9">
          <w:pPr>
            <w:pStyle w:val="15"/>
            <w:tabs>
              <w:tab w:val="right" w:leader="dot" w:pos="8306"/>
            </w:tabs>
            <w:rPr>
              <w:rFonts w:ascii="Times New Roman" w:hAnsi="Times New Roman" w:eastAsia="仿宋_GB2312" w:cs="Times New Roman"/>
            </w:rPr>
          </w:pPr>
          <w:r>
            <w:fldChar w:fldCharType="begin"/>
          </w:r>
          <w:r>
            <w:instrText xml:space="preserve"> HYPERLINK \l "_Toc27952" </w:instrText>
          </w:r>
          <w:r>
            <w:fldChar w:fldCharType="separate"/>
          </w:r>
          <w:r>
            <w:rPr>
              <w:rFonts w:hint="eastAsia" w:ascii="Times New Roman" w:hAnsi="Times New Roman" w:eastAsia="仿宋_GB2312" w:cs="Times New Roman"/>
              <w:szCs w:val="36"/>
            </w:rPr>
            <w:t>第一章总则</w:t>
          </w:r>
          <w:r>
            <w:rPr>
              <w:rFonts w:ascii="Times New Roman" w:hAnsi="Times New Roman" w:eastAsia="仿宋_GB2312" w:cs="Times New Roman"/>
            </w:rPr>
            <w:tab/>
          </w:r>
          <w:r>
            <w:rPr>
              <w:rFonts w:ascii="Times New Roman" w:hAnsi="Times New Roman" w:eastAsia="仿宋_GB2312" w:cs="Times New Roman"/>
            </w:rPr>
            <w:fldChar w:fldCharType="begin"/>
          </w:r>
          <w:r>
            <w:rPr>
              <w:rFonts w:ascii="Times New Roman" w:hAnsi="Times New Roman" w:eastAsia="仿宋_GB2312" w:cs="Times New Roman"/>
            </w:rPr>
            <w:instrText xml:space="preserve"> PAGEREF _Toc27952 \h </w:instrText>
          </w:r>
          <w:r>
            <w:rPr>
              <w:rFonts w:ascii="Times New Roman" w:hAnsi="Times New Roman" w:eastAsia="仿宋_GB2312" w:cs="Times New Roman"/>
            </w:rPr>
            <w:fldChar w:fldCharType="separate"/>
          </w:r>
          <w:r>
            <w:rPr>
              <w:rFonts w:ascii="Times New Roman" w:hAnsi="Times New Roman" w:eastAsia="仿宋_GB2312" w:cs="Times New Roman"/>
            </w:rPr>
            <w:t>5</w:t>
          </w:r>
          <w:r>
            <w:rPr>
              <w:rFonts w:ascii="Times New Roman" w:hAnsi="Times New Roman" w:eastAsia="仿宋_GB2312" w:cs="Times New Roman"/>
            </w:rPr>
            <w:fldChar w:fldCharType="end"/>
          </w:r>
          <w:r>
            <w:rPr>
              <w:rFonts w:ascii="Times New Roman" w:hAnsi="Times New Roman" w:eastAsia="仿宋_GB2312" w:cs="Times New Roman"/>
            </w:rPr>
            <w:fldChar w:fldCharType="end"/>
          </w:r>
        </w:p>
        <w:p w14:paraId="780952A8">
          <w:pPr>
            <w:pStyle w:val="15"/>
            <w:tabs>
              <w:tab w:val="right" w:leader="dot" w:pos="8306"/>
            </w:tabs>
            <w:rPr>
              <w:rFonts w:ascii="Times New Roman" w:hAnsi="Times New Roman" w:eastAsia="仿宋_GB2312" w:cs="Times New Roman"/>
            </w:rPr>
          </w:pPr>
          <w:r>
            <w:fldChar w:fldCharType="begin"/>
          </w:r>
          <w:r>
            <w:instrText xml:space="preserve"> HYPERLINK \l "_Toc29286" </w:instrText>
          </w:r>
          <w:r>
            <w:fldChar w:fldCharType="separate"/>
          </w:r>
          <w:r>
            <w:rPr>
              <w:rFonts w:hint="eastAsia" w:ascii="Times New Roman" w:hAnsi="Times New Roman" w:eastAsia="仿宋_GB2312" w:cs="Times New Roman"/>
              <w:szCs w:val="36"/>
            </w:rPr>
            <w:t>第二章底线管控要求</w:t>
          </w:r>
          <w:r>
            <w:rPr>
              <w:rFonts w:ascii="Times New Roman" w:hAnsi="Times New Roman" w:eastAsia="仿宋_GB2312" w:cs="Times New Roman"/>
            </w:rPr>
            <w:tab/>
          </w:r>
          <w:r>
            <w:rPr>
              <w:rFonts w:ascii="Times New Roman" w:hAnsi="Times New Roman" w:eastAsia="仿宋_GB2312" w:cs="Times New Roman"/>
            </w:rPr>
            <w:fldChar w:fldCharType="begin"/>
          </w:r>
          <w:r>
            <w:rPr>
              <w:rFonts w:ascii="Times New Roman" w:hAnsi="Times New Roman" w:eastAsia="仿宋_GB2312" w:cs="Times New Roman"/>
            </w:rPr>
            <w:instrText xml:space="preserve"> PAGEREF _Toc29286 \h </w:instrText>
          </w:r>
          <w:r>
            <w:rPr>
              <w:rFonts w:ascii="Times New Roman" w:hAnsi="Times New Roman" w:eastAsia="仿宋_GB2312" w:cs="Times New Roman"/>
            </w:rPr>
            <w:fldChar w:fldCharType="separate"/>
          </w:r>
          <w:r>
            <w:rPr>
              <w:rFonts w:ascii="Times New Roman" w:hAnsi="Times New Roman" w:eastAsia="仿宋_GB2312" w:cs="Times New Roman"/>
            </w:rPr>
            <w:t>7</w:t>
          </w:r>
          <w:r>
            <w:rPr>
              <w:rFonts w:ascii="Times New Roman" w:hAnsi="Times New Roman" w:eastAsia="仿宋_GB2312" w:cs="Times New Roman"/>
            </w:rPr>
            <w:fldChar w:fldCharType="end"/>
          </w:r>
          <w:r>
            <w:rPr>
              <w:rFonts w:ascii="Times New Roman" w:hAnsi="Times New Roman" w:eastAsia="仿宋_GB2312" w:cs="Times New Roman"/>
            </w:rPr>
            <w:fldChar w:fldCharType="end"/>
          </w:r>
        </w:p>
        <w:p w14:paraId="348AA629">
          <w:pPr>
            <w:pStyle w:val="15"/>
            <w:tabs>
              <w:tab w:val="right" w:leader="dot" w:pos="8306"/>
            </w:tabs>
            <w:rPr>
              <w:rFonts w:ascii="Times New Roman" w:hAnsi="Times New Roman" w:eastAsia="仿宋_GB2312" w:cs="Times New Roman"/>
            </w:rPr>
          </w:pPr>
          <w:r>
            <w:fldChar w:fldCharType="begin"/>
          </w:r>
          <w:r>
            <w:instrText xml:space="preserve"> HYPERLINK \l "_Toc10369" </w:instrText>
          </w:r>
          <w:r>
            <w:fldChar w:fldCharType="separate"/>
          </w:r>
          <w:r>
            <w:rPr>
              <w:rFonts w:hint="eastAsia" w:ascii="Times New Roman" w:hAnsi="Times New Roman" w:eastAsia="仿宋_GB2312" w:cs="Times New Roman"/>
              <w:szCs w:val="36"/>
            </w:rPr>
            <w:t>第三章规划管理要求</w:t>
          </w:r>
          <w:r>
            <w:rPr>
              <w:rFonts w:ascii="Times New Roman" w:hAnsi="Times New Roman" w:eastAsia="仿宋_GB2312" w:cs="Times New Roman"/>
            </w:rPr>
            <w:tab/>
          </w:r>
          <w:r>
            <w:rPr>
              <w:rFonts w:ascii="Times New Roman" w:hAnsi="Times New Roman" w:eastAsia="仿宋_GB2312" w:cs="Times New Roman"/>
            </w:rPr>
            <w:fldChar w:fldCharType="begin"/>
          </w:r>
          <w:r>
            <w:rPr>
              <w:rFonts w:ascii="Times New Roman" w:hAnsi="Times New Roman" w:eastAsia="仿宋_GB2312" w:cs="Times New Roman"/>
            </w:rPr>
            <w:instrText xml:space="preserve"> PAGEREF _Toc10369 \h </w:instrText>
          </w:r>
          <w:r>
            <w:rPr>
              <w:rFonts w:ascii="Times New Roman" w:hAnsi="Times New Roman" w:eastAsia="仿宋_GB2312" w:cs="Times New Roman"/>
            </w:rPr>
            <w:fldChar w:fldCharType="separate"/>
          </w:r>
          <w:r>
            <w:rPr>
              <w:rFonts w:ascii="Times New Roman" w:hAnsi="Times New Roman" w:eastAsia="仿宋_GB2312" w:cs="Times New Roman"/>
            </w:rPr>
            <w:t>9</w:t>
          </w:r>
          <w:r>
            <w:rPr>
              <w:rFonts w:ascii="Times New Roman" w:hAnsi="Times New Roman" w:eastAsia="仿宋_GB2312" w:cs="Times New Roman"/>
            </w:rPr>
            <w:fldChar w:fldCharType="end"/>
          </w:r>
          <w:r>
            <w:rPr>
              <w:rFonts w:ascii="Times New Roman" w:hAnsi="Times New Roman" w:eastAsia="仿宋_GB2312" w:cs="Times New Roman"/>
            </w:rPr>
            <w:fldChar w:fldCharType="end"/>
          </w:r>
        </w:p>
        <w:p w14:paraId="6D9013F2">
          <w:pPr>
            <w:pStyle w:val="15"/>
            <w:tabs>
              <w:tab w:val="right" w:leader="dot" w:pos="8306"/>
            </w:tabs>
            <w:rPr>
              <w:rFonts w:ascii="Times New Roman" w:hAnsi="Times New Roman" w:eastAsia="仿宋_GB2312" w:cs="Times New Roman"/>
            </w:rPr>
          </w:pPr>
          <w:r>
            <w:fldChar w:fldCharType="begin"/>
          </w:r>
          <w:r>
            <w:instrText xml:space="preserve"> HYPERLINK \l "_Toc9454" </w:instrText>
          </w:r>
          <w:r>
            <w:fldChar w:fldCharType="separate"/>
          </w:r>
          <w:r>
            <w:rPr>
              <w:rFonts w:hint="eastAsia" w:ascii="Times New Roman" w:hAnsi="Times New Roman" w:eastAsia="仿宋_GB2312" w:cs="Times New Roman"/>
              <w:szCs w:val="36"/>
            </w:rPr>
            <w:t>第四章用地兼容管控</w:t>
          </w:r>
          <w:r>
            <w:rPr>
              <w:rFonts w:ascii="Times New Roman" w:hAnsi="Times New Roman" w:eastAsia="仿宋_GB2312" w:cs="Times New Roman"/>
            </w:rPr>
            <w:tab/>
          </w:r>
          <w:r>
            <w:rPr>
              <w:rFonts w:ascii="Times New Roman" w:hAnsi="Times New Roman" w:eastAsia="仿宋_GB2312" w:cs="Times New Roman"/>
            </w:rPr>
            <w:fldChar w:fldCharType="begin"/>
          </w:r>
          <w:r>
            <w:rPr>
              <w:rFonts w:ascii="Times New Roman" w:hAnsi="Times New Roman" w:eastAsia="仿宋_GB2312" w:cs="Times New Roman"/>
            </w:rPr>
            <w:instrText xml:space="preserve"> PAGEREF _Toc9454 \h </w:instrText>
          </w:r>
          <w:r>
            <w:rPr>
              <w:rFonts w:ascii="Times New Roman" w:hAnsi="Times New Roman" w:eastAsia="仿宋_GB2312" w:cs="Times New Roman"/>
            </w:rPr>
            <w:fldChar w:fldCharType="separate"/>
          </w:r>
          <w:r>
            <w:rPr>
              <w:rFonts w:ascii="Times New Roman" w:hAnsi="Times New Roman" w:eastAsia="仿宋_GB2312" w:cs="Times New Roman"/>
            </w:rPr>
            <w:t>16</w:t>
          </w:r>
          <w:r>
            <w:rPr>
              <w:rFonts w:ascii="Times New Roman" w:hAnsi="Times New Roman" w:eastAsia="仿宋_GB2312" w:cs="Times New Roman"/>
            </w:rPr>
            <w:fldChar w:fldCharType="end"/>
          </w:r>
          <w:r>
            <w:rPr>
              <w:rFonts w:ascii="Times New Roman" w:hAnsi="Times New Roman" w:eastAsia="仿宋_GB2312" w:cs="Times New Roman"/>
            </w:rPr>
            <w:fldChar w:fldCharType="end"/>
          </w:r>
        </w:p>
        <w:p w14:paraId="2C530215">
          <w:pPr>
            <w:pStyle w:val="15"/>
            <w:tabs>
              <w:tab w:val="right" w:leader="dot" w:pos="8306"/>
            </w:tabs>
            <w:rPr>
              <w:rFonts w:ascii="Times New Roman" w:hAnsi="Times New Roman" w:eastAsia="仿宋_GB2312" w:cs="Times New Roman"/>
            </w:rPr>
          </w:pPr>
          <w:r>
            <w:fldChar w:fldCharType="begin"/>
          </w:r>
          <w:r>
            <w:instrText xml:space="preserve"> HYPERLINK \l "_Toc17308" </w:instrText>
          </w:r>
          <w:r>
            <w:fldChar w:fldCharType="separate"/>
          </w:r>
          <w:r>
            <w:rPr>
              <w:rFonts w:hint="eastAsia" w:ascii="Times New Roman" w:hAnsi="Times New Roman" w:eastAsia="仿宋_GB2312" w:cs="Times New Roman"/>
              <w:szCs w:val="36"/>
            </w:rPr>
            <w:t>第五章实施保障</w:t>
          </w:r>
          <w:r>
            <w:rPr>
              <w:rFonts w:ascii="Times New Roman" w:hAnsi="Times New Roman" w:eastAsia="仿宋_GB2312" w:cs="Times New Roman"/>
            </w:rPr>
            <w:tab/>
          </w:r>
          <w:r>
            <w:rPr>
              <w:rFonts w:ascii="Times New Roman" w:hAnsi="Times New Roman" w:eastAsia="仿宋_GB2312" w:cs="Times New Roman"/>
            </w:rPr>
            <w:fldChar w:fldCharType="begin"/>
          </w:r>
          <w:r>
            <w:rPr>
              <w:rFonts w:ascii="Times New Roman" w:hAnsi="Times New Roman" w:eastAsia="仿宋_GB2312" w:cs="Times New Roman"/>
            </w:rPr>
            <w:instrText xml:space="preserve"> PAGEREF _Toc17308 \h </w:instrText>
          </w:r>
          <w:r>
            <w:rPr>
              <w:rFonts w:ascii="Times New Roman" w:hAnsi="Times New Roman" w:eastAsia="仿宋_GB2312" w:cs="Times New Roman"/>
            </w:rPr>
            <w:fldChar w:fldCharType="separate"/>
          </w:r>
          <w:r>
            <w:rPr>
              <w:rFonts w:ascii="Times New Roman" w:hAnsi="Times New Roman" w:eastAsia="仿宋_GB2312" w:cs="Times New Roman"/>
            </w:rPr>
            <w:t>18</w:t>
          </w:r>
          <w:r>
            <w:rPr>
              <w:rFonts w:ascii="Times New Roman" w:hAnsi="Times New Roman" w:eastAsia="仿宋_GB2312" w:cs="Times New Roman"/>
            </w:rPr>
            <w:fldChar w:fldCharType="end"/>
          </w:r>
          <w:r>
            <w:rPr>
              <w:rFonts w:ascii="Times New Roman" w:hAnsi="Times New Roman" w:eastAsia="仿宋_GB2312" w:cs="Times New Roman"/>
            </w:rPr>
            <w:fldChar w:fldCharType="end"/>
          </w:r>
        </w:p>
        <w:p w14:paraId="5FDEC60C">
          <w:pPr>
            <w:pStyle w:val="15"/>
            <w:tabs>
              <w:tab w:val="right" w:leader="dot" w:pos="8306"/>
            </w:tabs>
            <w:rPr>
              <w:rFonts w:ascii="Times New Roman" w:hAnsi="Times New Roman" w:eastAsia="仿宋_GB2312" w:cs="Times New Roman"/>
            </w:rPr>
          </w:pPr>
          <w:r>
            <w:fldChar w:fldCharType="begin"/>
          </w:r>
          <w:r>
            <w:instrText xml:space="preserve"> HYPERLINK \l "_Toc6946" </w:instrText>
          </w:r>
          <w:r>
            <w:fldChar w:fldCharType="separate"/>
          </w:r>
          <w:r>
            <w:rPr>
              <w:rFonts w:hint="eastAsia" w:ascii="Times New Roman" w:hAnsi="Times New Roman" w:eastAsia="仿宋_GB2312" w:cs="Times New Roman"/>
            </w:rPr>
            <w:t>第六章附则</w:t>
          </w:r>
          <w:r>
            <w:rPr>
              <w:rFonts w:ascii="Times New Roman" w:hAnsi="Times New Roman" w:eastAsia="仿宋_GB2312" w:cs="Times New Roman"/>
            </w:rPr>
            <w:tab/>
          </w:r>
          <w:r>
            <w:rPr>
              <w:rFonts w:ascii="Times New Roman" w:hAnsi="Times New Roman" w:eastAsia="仿宋_GB2312" w:cs="Times New Roman"/>
            </w:rPr>
            <w:fldChar w:fldCharType="begin"/>
          </w:r>
          <w:r>
            <w:rPr>
              <w:rFonts w:ascii="Times New Roman" w:hAnsi="Times New Roman" w:eastAsia="仿宋_GB2312" w:cs="Times New Roman"/>
            </w:rPr>
            <w:instrText xml:space="preserve"> PAGEREF _Toc6946 \h </w:instrText>
          </w:r>
          <w:r>
            <w:rPr>
              <w:rFonts w:ascii="Times New Roman" w:hAnsi="Times New Roman" w:eastAsia="仿宋_GB2312" w:cs="Times New Roman"/>
            </w:rPr>
            <w:fldChar w:fldCharType="separate"/>
          </w:r>
          <w:r>
            <w:rPr>
              <w:rFonts w:ascii="Times New Roman" w:hAnsi="Times New Roman" w:eastAsia="仿宋_GB2312" w:cs="Times New Roman"/>
            </w:rPr>
            <w:t>19</w:t>
          </w:r>
          <w:r>
            <w:rPr>
              <w:rFonts w:ascii="Times New Roman" w:hAnsi="Times New Roman" w:eastAsia="仿宋_GB2312" w:cs="Times New Roman"/>
            </w:rPr>
            <w:fldChar w:fldCharType="end"/>
          </w:r>
          <w:r>
            <w:rPr>
              <w:rFonts w:ascii="Times New Roman" w:hAnsi="Times New Roman" w:eastAsia="仿宋_GB2312" w:cs="Times New Roman"/>
            </w:rPr>
            <w:fldChar w:fldCharType="end"/>
          </w:r>
        </w:p>
        <w:p w14:paraId="6D69493D">
          <w:pPr>
            <w:pStyle w:val="15"/>
            <w:tabs>
              <w:tab w:val="right" w:leader="dot" w:pos="8306"/>
            </w:tabs>
            <w:rPr>
              <w:rFonts w:hint="eastAsia" w:ascii="Times New Roman" w:hAnsi="Times New Roman" w:eastAsia="仿宋_GB2312" w:cs="Times New Roman"/>
              <w:lang w:val="en-US" w:eastAsia="zh-CN"/>
            </w:rPr>
          </w:pPr>
          <w:r>
            <w:fldChar w:fldCharType="begin"/>
          </w:r>
          <w:r>
            <w:instrText xml:space="preserve"> HYPERLINK \l "_Toc27536" </w:instrText>
          </w:r>
          <w:r>
            <w:fldChar w:fldCharType="separate"/>
          </w:r>
          <w:r>
            <w:rPr>
              <w:rFonts w:ascii="Times New Roman" w:hAnsi="Times New Roman" w:eastAsia="仿宋_GB2312" w:cs="Times New Roman"/>
              <w:spacing w:val="-10"/>
            </w:rPr>
            <w:t>附件</w:t>
          </w:r>
          <w:r>
            <w:rPr>
              <w:rFonts w:ascii="Times New Roman" w:hAnsi="Times New Roman" w:eastAsia="仿宋_GB2312" w:cs="Times New Roman"/>
            </w:rPr>
            <w:tab/>
          </w:r>
          <w:r>
            <w:rPr>
              <w:rFonts w:hint="eastAsia" w:ascii="Times New Roman" w:hAnsi="Times New Roman" w:eastAsia="仿宋_GB2312" w:cs="Times New Roman"/>
              <w:lang w:val="en-US" w:eastAsia="zh-CN"/>
            </w:rPr>
            <w:t>2</w:t>
          </w:r>
          <w:r>
            <w:rPr>
              <w:rFonts w:ascii="Times New Roman" w:hAnsi="Times New Roman" w:eastAsia="仿宋_GB2312" w:cs="Times New Roman"/>
            </w:rPr>
            <w:fldChar w:fldCharType="end"/>
          </w:r>
          <w:r>
            <w:rPr>
              <w:rFonts w:hint="eastAsia" w:ascii="Times New Roman" w:hAnsi="Times New Roman" w:eastAsia="仿宋_GB2312" w:cs="Times New Roman"/>
              <w:lang w:val="en-US" w:eastAsia="zh-CN"/>
            </w:rPr>
            <w:t>0</w:t>
          </w:r>
        </w:p>
        <w:p w14:paraId="21C081C1">
          <w:pPr>
            <w:pStyle w:val="11"/>
            <w:spacing w:line="360" w:lineRule="auto"/>
            <w:ind w:left="1280"/>
            <w:rPr>
              <w:rFonts w:ascii="Times New Roman" w:hAnsi="Times New Roman" w:cs="Times New Roman"/>
            </w:rPr>
          </w:pPr>
          <w:r>
            <w:rPr>
              <w:rFonts w:ascii="Times New Roman" w:hAnsi="Times New Roman" w:eastAsia="仿宋_GB2312" w:cs="Times New Roman"/>
              <w:lang w:val="zh-CN"/>
            </w:rPr>
            <w:fldChar w:fldCharType="end"/>
          </w:r>
        </w:p>
      </w:sdtContent>
    </w:sdt>
    <w:p w14:paraId="30BB1BBF">
      <w:pPr>
        <w:pStyle w:val="2"/>
        <w:numPr>
          <w:ilvl w:val="0"/>
          <w:numId w:val="1"/>
        </w:numPr>
        <w:spacing w:beforeLines="50" w:afterLines="50" w:line="360" w:lineRule="auto"/>
        <w:jc w:val="center"/>
        <w:rPr>
          <w:rFonts w:ascii="Times New Roman" w:hAnsi="Times New Roman" w:eastAsia="黑体" w:cs="Times New Roman"/>
          <w:b w:val="0"/>
          <w:bCs w:val="0"/>
          <w:sz w:val="36"/>
          <w:szCs w:val="36"/>
        </w:rPr>
        <w:sectPr>
          <w:headerReference r:id="rId5" w:type="default"/>
          <w:footerReference r:id="rId6" w:type="default"/>
          <w:pgSz w:w="11906" w:h="16838"/>
          <w:pgMar w:top="1440" w:right="1800" w:bottom="1440" w:left="1800" w:header="851" w:footer="992" w:gutter="0"/>
          <w:pgNumType w:start="1"/>
          <w:cols w:space="425" w:num="1"/>
          <w:docGrid w:type="lines" w:linePitch="312" w:charSpace="0"/>
        </w:sectPr>
      </w:pPr>
    </w:p>
    <w:p w14:paraId="50203433">
      <w:pPr>
        <w:jc w:val="center"/>
        <w:outlineLvl w:val="0"/>
      </w:pPr>
      <w:bookmarkStart w:id="4" w:name="_Toc7776"/>
      <w:bookmarkStart w:id="5" w:name="_Toc31618"/>
      <w:r>
        <w:rPr>
          <w:rFonts w:ascii="Times New Roman" w:hAnsi="Times New Roman" w:eastAsia="楷体" w:cs="Times New Roman"/>
          <w:kern w:val="0"/>
          <w:sz w:val="40"/>
          <w:szCs w:val="40"/>
        </w:rPr>
        <w:t>前 言</w:t>
      </w:r>
      <w:bookmarkEnd w:id="4"/>
      <w:bookmarkEnd w:id="5"/>
    </w:p>
    <w:p w14:paraId="68ADE8D2">
      <w:pPr>
        <w:tabs>
          <w:tab w:val="left" w:pos="720"/>
        </w:tabs>
        <w:spacing w:line="360" w:lineRule="auto"/>
        <w:ind w:firstLine="640" w:firstLineChars="200"/>
        <w:rPr>
          <w:rFonts w:ascii="Times New Roman" w:hAnsi="Times New Roman" w:eastAsia="仿宋_GB2312" w:cs="Times New Roman"/>
        </w:rPr>
      </w:pPr>
      <w:r>
        <w:rPr>
          <w:rFonts w:hint="eastAsia" w:ascii="Times New Roman" w:hAnsi="Times New Roman" w:eastAsia="仿宋_GB2312" w:cs="Times New Roman"/>
        </w:rPr>
        <w:t>根据《自然资源部办公厅关于加强村庄规划促进乡村振兴的通知》（自然资办发〔2019〕35号）要求，综合性的村庄规划可以分步编制、分步报批，先编制近期急需的规划内容，后期逐步补充完善。矿山集街道、高岳街道按照“分步编制、分步报批”的原则积极推进村庄规划编制工作。截至目前，《淮北市杜集区矿山集街道南山村、北山村村庄规划（2021—2035年）》《淮北市杜集区高岳街道双楼片区村庄规划（2022—2035年）》已获批实施。《杜集社区居委会、矿山集街道办事处、六和社区居委会、柿元社区居委会、徐庄社区居委会、张院村村庄规划（2022—2035年）》《高岳街道办事处、高岳社区居委会、任庄村、孙庄村、徐暨村村庄规划（2022—2035年）》正在编制。</w:t>
      </w:r>
    </w:p>
    <w:p w14:paraId="6F2B6D7F">
      <w:pPr>
        <w:tabs>
          <w:tab w:val="left" w:pos="720"/>
        </w:tabs>
        <w:spacing w:line="360" w:lineRule="auto"/>
        <w:ind w:firstLine="640" w:firstLineChars="200"/>
        <w:rPr>
          <w:rFonts w:ascii="Times New Roman" w:hAnsi="Times New Roman" w:eastAsia="仿宋_GB2312" w:cs="Times New Roman"/>
        </w:rPr>
      </w:pPr>
      <w:r>
        <w:rPr>
          <w:rFonts w:hint="eastAsia" w:ascii="Times New Roman" w:hAnsi="Times New Roman" w:eastAsia="仿宋_GB2312" w:cs="Times New Roman"/>
        </w:rPr>
        <w:t>在国土空间规划体系持续深化改革和乡村全面振兴战略深入实施的背景下，传统“一村一编”的村庄规划模式在部分发展基础较弱、建设需求较少、发展动力相对平稳的乡村地区，逐渐显现出编制成本较高、重复投入较多、规划实用性和实施效能不足等问题。针对这一现实需求，国家层面持续推动村庄规划分类编制和差异化管理。2024年中央一号文件首次明确提出，村庄规划可分类编制，对不需要编制的村庄，可在县乡级国土空间规划中明确“通则式”管理规定；2025年中央一号文件进一步强调，不得要求村庄规划编制全覆盖，对不需要编制村庄规划的，可在县乡国土空间规划中管控引导或出台“通则式”管理规定。 在此基础上，自然资源部办公厅于2025年4月印发《关于乡村地区“通则式”规划技术管理规定编制要求的通知》（自然资办发〔2025〕13号），进一步明确了“通则式”管理规定的适用范围、编制方式、管控内容及实施监督要求，为各地推进乡村地区规划管理全覆盖提供了制度依据。 安徽省自然资源厅结合省域村庄类型多样、区域差异明显和发展阶段不一等实际，于2025年7月印发《关于乡村地区“通则式”规划技术管理规定编制要求的通知》（皖自然资规划〔2025〕1号），进一步明确城镇开发边界外暂时不具备村庄规划编制条件或经评估无需单独编制村庄规划的村庄，可通过编制“通则式”规划技术管理规定实施空间管控，并对村庄建设边界、用地布局、风貌管控、留白使用及实施监督等内容作出细化要求。由此，安徽省逐步形成了以县、乡镇国土空间总体规划为统筹，以村庄规划和“通则式”规划技术管理规定为补充的乡村地区规划管理体系，为降低基层规划编制负担、提高规划管理效能以及保障乡村建设项目有序实施提供了新的制度路径。</w:t>
      </w:r>
    </w:p>
    <w:p w14:paraId="1F389737">
      <w:pPr>
        <w:tabs>
          <w:tab w:val="left" w:pos="720"/>
        </w:tabs>
        <w:spacing w:line="360" w:lineRule="auto"/>
        <w:ind w:firstLine="640" w:firstLineChars="200"/>
        <w:rPr>
          <w:rFonts w:ascii="Times New Roman" w:hAnsi="Times New Roman" w:eastAsia="仿宋_GB2312" w:cs="Times New Roman"/>
        </w:rPr>
      </w:pPr>
      <w:r>
        <w:rPr>
          <w:rFonts w:hint="eastAsia" w:ascii="Times New Roman" w:hAnsi="Times New Roman" w:eastAsia="仿宋_GB2312" w:cs="Times New Roman"/>
        </w:rPr>
        <w:t>矿山集街道杜集社区居委会、矿山集街道办事处、六和社区居委会、柿元社区居委会、徐庄社区居委会、张院村，高岳街道办事处、高岳社区居委会、任庄村、孙庄村、徐暨村地处皖北平原，毗邻城镇开发边界，十一个村庄正在开展片区村庄规划编制工作。结合上位国土空间规划传导要求、村庄现状人口、建设需求、资源禀赋开展综合评估，十一个村庄无大规模产业开发、无重大建设项目落地，日常建设以村民个人建房、村组小型基础设施、公共服务设施修缮提升为主，符合《安徽省自然资源厅关于乡村地区“通则式”规划技术管理规定编制要求的通知》（皖自然资规划〔2025〕1号）文件规定“经评估无需编制村庄规划”的适用情形，为十一个村庄不再单独编制村庄规划、实施通则式管理，提供了坚实、明确的政策法定依据。</w:t>
      </w:r>
    </w:p>
    <w:p w14:paraId="1C5D6B49">
      <w:pPr>
        <w:spacing w:line="360" w:lineRule="auto"/>
        <w:ind w:firstLine="640" w:firstLineChars="200"/>
        <w:rPr>
          <w:rFonts w:ascii="Times New Roman" w:hAnsi="Times New Roman" w:eastAsia="仿宋_GB2312" w:cs="Times New Roman"/>
        </w:rPr>
      </w:pPr>
      <w:r>
        <w:rPr>
          <w:rFonts w:hint="eastAsia" w:ascii="Times New Roman" w:hAnsi="Times New Roman" w:eastAsia="仿宋_GB2312" w:cs="Times New Roman"/>
        </w:rPr>
        <w:t>矿山集街道、高岳街道以乡镇为单元组织编制《杜集区矿山集街道、高岳街道乡村地区“通则式”规划技术管理规定》（以下简称“本规定”）。本规定作为矿山集街道杜集社区居委会、矿山集街道办事处、六和社区居委会、柿元社区居委会、徐庄社区居委会、张院村，高岳街道办事处、高岳社区居委会、任庄村、孙庄村、徐暨村各项建设的依据，传导落实《淮北市国土空间总体规划（2021—2035年）》确定的耕地和永久基本农田保护红线、生态保护红线、历史文化保护线、灾害风险控制线等底线管控要求，明确村庄建设边界、布局管控指引、风貌提升引导等规划管理要求。</w:t>
      </w:r>
    </w:p>
    <w:p w14:paraId="52F2FD54">
      <w:pPr>
        <w:spacing w:line="360" w:lineRule="auto"/>
        <w:ind w:firstLine="640" w:firstLineChars="200"/>
        <w:rPr>
          <w:rFonts w:ascii="Times New Roman" w:hAnsi="Times New Roman" w:eastAsia="仿宋_GB2312" w:cs="Times New Roman"/>
        </w:rPr>
      </w:pPr>
      <w:r>
        <w:rPr>
          <w:rFonts w:hint="eastAsia" w:ascii="Times New Roman" w:hAnsi="Times New Roman" w:eastAsia="仿宋_GB2312" w:cs="Times New Roman"/>
        </w:rPr>
        <w:t>矿山集街道杜集社区居委会、矿山集街道办事处、六和社区居委会、柿元社区居委会、徐庄社区居委会、张院村，以及高岳街道办事处、高岳社区居委会、任庄村、孙庄村、徐暨村等十一个村（社区）前期未单独编制片区村庄规划，本次“通则式”规划结合各村（社区）现状基础条件和实际发展需求，充分收集和整理相关国土空间规划、土地利用现状、村庄建设、自然资源、公共服务设施及基础设施等已有资料，并将“三区三线”等国土空间管控底线作为重要依据。在此基础上，系统梳理各村（社区）的资源禀赋、发展条件和建设需求，形成与上位国土空间规划相衔接、与村庄实际情况相适应的“通则式”规划管理要求，为乡村地区规划建设管理提供基础支撑。</w:t>
      </w:r>
    </w:p>
    <w:p w14:paraId="359099B3">
      <w:pPr>
        <w:spacing w:line="240" w:lineRule="auto"/>
        <w:rPr>
          <w:rFonts w:ascii="Times New Roman" w:hAnsi="Times New Roman" w:eastAsia="仿宋_GB2312" w:cs="Times New Roman"/>
        </w:rPr>
      </w:pPr>
      <w:r>
        <w:rPr>
          <w:rFonts w:hint="eastAsia" w:ascii="Times New Roman" w:hAnsi="Times New Roman" w:eastAsia="仿宋_GB2312" w:cs="Times New Roman"/>
        </w:rPr>
        <w:br w:type="page"/>
      </w:r>
    </w:p>
    <w:p w14:paraId="33FE4A16">
      <w:pPr>
        <w:pStyle w:val="2"/>
        <w:spacing w:beforeLines="50" w:afterLines="50" w:line="360" w:lineRule="auto"/>
        <w:jc w:val="center"/>
        <w:rPr>
          <w:rFonts w:ascii="Times New Roman" w:hAnsi="Times New Roman" w:eastAsia="黑体" w:cs="Times New Roman"/>
          <w:b w:val="0"/>
          <w:sz w:val="36"/>
          <w:szCs w:val="36"/>
        </w:rPr>
      </w:pPr>
      <w:bookmarkStart w:id="6" w:name="_Toc27952"/>
      <w:bookmarkStart w:id="7" w:name="_Toc365"/>
      <w:bookmarkStart w:id="8" w:name="_Toc3416"/>
      <w:bookmarkStart w:id="9" w:name="_Toc5622"/>
      <w:r>
        <w:rPr>
          <w:rFonts w:ascii="Times New Roman" w:hAnsi="Times New Roman" w:eastAsia="黑体" w:cs="Times New Roman"/>
          <w:b w:val="0"/>
          <w:sz w:val="36"/>
          <w:szCs w:val="36"/>
        </w:rPr>
        <w:t>第一章 总则</w:t>
      </w:r>
      <w:bookmarkEnd w:id="6"/>
      <w:bookmarkEnd w:id="7"/>
      <w:bookmarkEnd w:id="8"/>
      <w:bookmarkEnd w:id="9"/>
    </w:p>
    <w:p w14:paraId="5B966F99">
      <w:pPr>
        <w:pStyle w:val="26"/>
        <w:numPr>
          <w:ilvl w:val="0"/>
          <w:numId w:val="2"/>
        </w:numPr>
        <w:spacing w:line="360" w:lineRule="auto"/>
        <w:ind w:left="0" w:firstLine="643" w:firstLineChars="200"/>
        <w:outlineLvl w:val="1"/>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 xml:space="preserve"> 制定目的</w:t>
      </w:r>
    </w:p>
    <w:p w14:paraId="5BF024D4">
      <w:pPr>
        <w:tabs>
          <w:tab w:val="left" w:pos="720"/>
        </w:tabs>
        <w:spacing w:line="360" w:lineRule="auto"/>
        <w:ind w:firstLine="640" w:firstLineChars="200"/>
        <w:rPr>
          <w:rFonts w:ascii="Times New Roman" w:hAnsi="Times New Roman" w:eastAsia="仿宋_GB2312" w:cs="Times New Roman"/>
        </w:rPr>
      </w:pPr>
      <w:r>
        <w:rPr>
          <w:rFonts w:hint="eastAsia" w:ascii="Times New Roman" w:hAnsi="Times New Roman" w:eastAsia="仿宋_GB2312" w:cs="Times New Roman"/>
        </w:rPr>
        <w:t>为贯彻落实《中共中央 国务院关于进一步深化农村改革 扎实推进乡村全面振兴的意见》精神，依据《自然资源部办公厅关于乡村地区“通则式”规划技术管理规定编制要求的通知》（自然资办发〔2025〕13号）、《安徽省自然资源厅关于乡村地区“通则式”规划技术管理规定编制要求的通知》（皖自然资规划〔2025〕1号）等有关政策文件要求，坚持“实用、管用、好用”的原则，结合杜集区矿山集街道、高岳街道乡村地区实际，在衔接上位国土空间规划、已编制及已批准的详细规划等相关规划成果的基础上，针对尚未单独编制村庄规划且经评估适宜采用“通则式”管理的乡村地区，进一步完善规划管理要求，补充乡村地区规划管理空缺，为村庄建设和乡村建设项目实施提供明确、可操作的规划管理依据，制定《杜集区矿山集街道、高岳街道乡村地区“通则式”规划技术管理规定》（以下简称“本规定”）。</w:t>
      </w:r>
    </w:p>
    <w:p w14:paraId="261C8539">
      <w:pPr>
        <w:pStyle w:val="26"/>
        <w:numPr>
          <w:ilvl w:val="0"/>
          <w:numId w:val="2"/>
        </w:numPr>
        <w:spacing w:line="360" w:lineRule="auto"/>
        <w:ind w:left="0" w:firstLine="643" w:firstLineChars="200"/>
        <w:outlineLvl w:val="1"/>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 xml:space="preserve"> 适用范围</w:t>
      </w:r>
    </w:p>
    <w:p w14:paraId="79E38AE2">
      <w:pPr>
        <w:pStyle w:val="26"/>
        <w:spacing w:line="360" w:lineRule="auto"/>
        <w:ind w:left="643" w:firstLine="0"/>
        <w:outlineLvl w:val="1"/>
        <w:rPr>
          <w:rFonts w:ascii="Times New Roman" w:hAnsi="Times New Roman" w:eastAsia="仿宋_GB2312" w:cs="Times New Roman"/>
          <w:b/>
          <w:bCs/>
          <w:sz w:val="32"/>
          <w:szCs w:val="32"/>
        </w:rPr>
      </w:pPr>
      <w:r>
        <w:rPr>
          <w:rFonts w:hint="eastAsia" w:ascii="Times New Roman" w:hAnsi="Times New Roman" w:eastAsia="仿宋_GB2312" w:cs="Times New Roman"/>
          <w:sz w:val="32"/>
          <w:szCs w:val="32"/>
        </w:rPr>
        <w:t>（一）本通则适用于段园镇城镇开发边界外乡村地区国土空间用途管制、详细规划实施及乡村建设项目规划管理依据，涉及开发边界内农民建房村集体用地管理可按本规定执行。</w:t>
      </w:r>
    </w:p>
    <w:p w14:paraId="0EC6B85A">
      <w:pPr>
        <w:pStyle w:val="26"/>
        <w:spacing w:line="360" w:lineRule="auto"/>
        <w:ind w:left="643" w:firstLine="0"/>
        <w:outlineLvl w:val="1"/>
        <w:rPr>
          <w:rFonts w:ascii="Times New Roman" w:hAnsi="Times New Roman" w:eastAsia="仿宋_GB2312" w:cs="Times New Roman"/>
          <w:b/>
          <w:bCs/>
          <w:sz w:val="32"/>
          <w:szCs w:val="32"/>
        </w:rPr>
      </w:pPr>
      <w:r>
        <w:rPr>
          <w:rFonts w:hint="eastAsia" w:ascii="Times New Roman" w:hAnsi="Times New Roman" w:eastAsia="仿宋_GB2312" w:cs="Times New Roman"/>
          <w:sz w:val="32"/>
          <w:szCs w:val="32"/>
        </w:rPr>
        <w:t xml:space="preserve">（二）已批准村庄规划区域，按批准村庄规划执行。在相关村庄规划中未明确具体地块管控要求的，可按照本通则执行。 </w:t>
      </w:r>
    </w:p>
    <w:p w14:paraId="25D9CE06">
      <w:pPr>
        <w:pStyle w:val="26"/>
        <w:numPr>
          <w:ilvl w:val="0"/>
          <w:numId w:val="2"/>
        </w:numPr>
        <w:spacing w:line="360" w:lineRule="auto"/>
        <w:ind w:left="0" w:firstLine="643" w:firstLineChars="200"/>
        <w:outlineLvl w:val="1"/>
        <w:rPr>
          <w:rFonts w:ascii="Times New Roman" w:hAnsi="Times New Roman" w:eastAsia="仿宋_GB2312" w:cs="Times New Roman"/>
          <w:b/>
          <w:bCs/>
          <w:sz w:val="32"/>
          <w:szCs w:val="32"/>
        </w:rPr>
      </w:pPr>
      <w:r>
        <w:rPr>
          <w:rFonts w:hint="eastAsia" w:ascii="Times New Roman" w:hAnsi="Times New Roman" w:eastAsia="仿宋_GB2312" w:cs="Times New Roman"/>
          <w:b/>
          <w:bCs/>
          <w:sz w:val="32"/>
          <w:szCs w:val="32"/>
        </w:rPr>
        <w:t xml:space="preserve"> </w:t>
      </w:r>
      <w:r>
        <w:rPr>
          <w:rFonts w:ascii="Times New Roman" w:hAnsi="Times New Roman" w:eastAsia="仿宋_GB2312" w:cs="Times New Roman"/>
          <w:b/>
          <w:bCs/>
          <w:sz w:val="32"/>
          <w:szCs w:val="32"/>
        </w:rPr>
        <w:t xml:space="preserve">管理规定体系 </w:t>
      </w:r>
    </w:p>
    <w:p w14:paraId="64948FCB">
      <w:pPr>
        <w:spacing w:line="360" w:lineRule="auto"/>
        <w:ind w:firstLine="640" w:firstLineChars="200"/>
        <w:rPr>
          <w:rFonts w:ascii="Times New Roman" w:hAnsi="Times New Roman" w:eastAsia="仿宋_GB2312" w:cs="Times New Roman"/>
        </w:rPr>
      </w:pPr>
      <w:r>
        <w:rPr>
          <w:rFonts w:hint="eastAsia" w:ascii="Times New Roman" w:hAnsi="Times New Roman" w:eastAsia="仿宋_GB2312" w:cs="Times New Roman"/>
        </w:rPr>
        <w:t>矿山集街道、高岳街道乡村地区“通则式”规划技术管理体系由管理规定和重点地块图则两部分组成。管理规定是乡村地区开展规划管理的通用性规则，重点地块图则是在管理规定基础上，对农民自建房以外的乡村建设项目制定的规划管理规定。</w:t>
      </w:r>
    </w:p>
    <w:p w14:paraId="67F1FDFA">
      <w:pPr>
        <w:pStyle w:val="26"/>
        <w:numPr>
          <w:ilvl w:val="0"/>
          <w:numId w:val="2"/>
        </w:numPr>
        <w:spacing w:line="360" w:lineRule="auto"/>
        <w:ind w:left="0" w:firstLine="643" w:firstLineChars="200"/>
        <w:outlineLvl w:val="1"/>
        <w:rPr>
          <w:rFonts w:ascii="Times New Roman" w:hAnsi="Times New Roman" w:eastAsia="仿宋_GB2312" w:cs="Times New Roman"/>
          <w:b/>
          <w:bCs/>
          <w:sz w:val="32"/>
          <w:szCs w:val="32"/>
        </w:rPr>
      </w:pPr>
      <w:r>
        <w:rPr>
          <w:rFonts w:hint="eastAsia" w:ascii="Times New Roman" w:hAnsi="Times New Roman" w:eastAsia="仿宋_GB2312" w:cs="Times New Roman"/>
          <w:b/>
          <w:bCs/>
          <w:sz w:val="32"/>
          <w:szCs w:val="32"/>
        </w:rPr>
        <w:t xml:space="preserve"> </w:t>
      </w:r>
      <w:r>
        <w:rPr>
          <w:rFonts w:ascii="Times New Roman" w:hAnsi="Times New Roman" w:eastAsia="仿宋_GB2312" w:cs="Times New Roman"/>
          <w:b/>
          <w:bCs/>
          <w:sz w:val="32"/>
          <w:szCs w:val="32"/>
        </w:rPr>
        <w:t>遵循原则</w:t>
      </w:r>
    </w:p>
    <w:p w14:paraId="4A89C368">
      <w:pPr>
        <w:spacing w:line="360" w:lineRule="auto"/>
        <w:ind w:firstLine="640" w:firstLineChars="200"/>
        <w:rPr>
          <w:rFonts w:ascii="Times New Roman" w:hAnsi="Times New Roman" w:eastAsia="仿宋_GB2312" w:cs="Times New Roman"/>
        </w:rPr>
      </w:pPr>
      <w:r>
        <w:rPr>
          <w:rFonts w:hint="eastAsia" w:ascii="Times New Roman" w:hAnsi="Times New Roman" w:eastAsia="仿宋_GB2312" w:cs="Times New Roman"/>
        </w:rPr>
        <w:t>坚持生态优先、节约集约、因地制宜、村民参与、分类施策的原则，统筹乡村生产、生活和生态空间，落实国土空间规划确定的各项底线管控要求，合理确定乡村建设重点和优先序，保护乡村自然风貌、历史文化资源和地域特色，改善农村人居环境，促进乡村全面振兴</w:t>
      </w:r>
      <w:r>
        <w:rPr>
          <w:rFonts w:ascii="Times New Roman" w:hAnsi="Times New Roman" w:eastAsia="仿宋_GB2312" w:cs="Times New Roman"/>
        </w:rPr>
        <w:t>。</w:t>
      </w:r>
      <w:r>
        <w:rPr>
          <w:rFonts w:ascii="Times New Roman" w:hAnsi="Times New Roman" w:eastAsia="仿宋_GB2312" w:cs="Times New Roman"/>
        </w:rPr>
        <w:br w:type="page"/>
      </w:r>
    </w:p>
    <w:p w14:paraId="027DACF8">
      <w:pPr>
        <w:pStyle w:val="2"/>
        <w:spacing w:beforeLines="50" w:afterLines="50" w:line="360" w:lineRule="auto"/>
        <w:jc w:val="center"/>
        <w:rPr>
          <w:rFonts w:ascii="Times New Roman" w:hAnsi="Times New Roman" w:eastAsia="黑体" w:cs="Times New Roman"/>
          <w:b w:val="0"/>
          <w:sz w:val="36"/>
          <w:szCs w:val="36"/>
        </w:rPr>
      </w:pPr>
      <w:bookmarkStart w:id="10" w:name="_Toc10774"/>
      <w:bookmarkStart w:id="11" w:name="_Toc5040"/>
      <w:bookmarkStart w:id="12" w:name="_Toc25280"/>
      <w:bookmarkStart w:id="13" w:name="_Toc29286"/>
      <w:r>
        <w:rPr>
          <w:rFonts w:ascii="Times New Roman" w:hAnsi="Times New Roman" w:eastAsia="黑体" w:cs="Times New Roman"/>
          <w:b w:val="0"/>
          <w:sz w:val="36"/>
          <w:szCs w:val="36"/>
        </w:rPr>
        <w:t>第二章 底线管控要求</w:t>
      </w:r>
      <w:bookmarkEnd w:id="10"/>
      <w:bookmarkEnd w:id="11"/>
      <w:bookmarkEnd w:id="12"/>
      <w:bookmarkEnd w:id="13"/>
    </w:p>
    <w:p w14:paraId="778ED2AC">
      <w:pPr>
        <w:pStyle w:val="26"/>
        <w:keepNext w:val="0"/>
        <w:keepLines w:val="0"/>
        <w:pageBreakBefore w:val="0"/>
        <w:widowControl w:val="0"/>
        <w:kinsoku/>
        <w:wordWrap/>
        <w:overflowPunct/>
        <w:topLinePunct w:val="0"/>
        <w:autoSpaceDE/>
        <w:autoSpaceDN/>
        <w:bidi w:val="0"/>
        <w:adjustRightInd/>
        <w:snapToGrid/>
        <w:spacing w:line="360" w:lineRule="auto"/>
        <w:ind w:left="0" w:firstLine="643" w:firstLineChars="200"/>
        <w:textAlignment w:val="auto"/>
        <w:outlineLvl w:val="1"/>
        <w:rPr>
          <w:rFonts w:hint="eastAsia" w:ascii="Times New Roman" w:hAnsi="Times New Roman" w:eastAsia="仿宋_GB2312" w:cs="Times New Roman"/>
          <w:b/>
          <w:bCs/>
          <w:sz w:val="32"/>
          <w:szCs w:val="32"/>
        </w:rPr>
      </w:pPr>
      <w:r>
        <w:rPr>
          <w:rFonts w:hint="eastAsia" w:ascii="Times New Roman" w:hAnsi="Times New Roman" w:eastAsia="仿宋_GB2312" w:cs="Times New Roman"/>
          <w:b/>
          <w:bCs/>
          <w:sz w:val="32"/>
          <w:szCs w:val="32"/>
        </w:rPr>
        <w:t>第</w:t>
      </w:r>
      <w:r>
        <w:rPr>
          <w:rFonts w:hint="eastAsia" w:ascii="Times New Roman" w:hAnsi="Times New Roman" w:eastAsia="仿宋_GB2312" w:cs="Times New Roman"/>
          <w:b/>
          <w:bCs/>
          <w:sz w:val="32"/>
          <w:szCs w:val="32"/>
          <w:lang w:val="en-US" w:eastAsia="zh-CN"/>
        </w:rPr>
        <w:t>5</w:t>
      </w:r>
      <w:r>
        <w:rPr>
          <w:rFonts w:hint="eastAsia" w:ascii="Times New Roman" w:hAnsi="Times New Roman" w:eastAsia="仿宋_GB2312" w:cs="Times New Roman"/>
          <w:b/>
          <w:bCs/>
          <w:sz w:val="32"/>
          <w:szCs w:val="32"/>
        </w:rPr>
        <w:t>条 耕地和永久基本农田</w:t>
      </w:r>
    </w:p>
    <w:p w14:paraId="0F4CFB29">
      <w:pPr>
        <w:spacing w:line="360" w:lineRule="auto"/>
        <w:ind w:firstLine="640" w:firstLineChars="200"/>
        <w:rPr>
          <w:rFonts w:ascii="Times New Roman" w:hAnsi="Times New Roman" w:eastAsia="仿宋_GB2312" w:cs="Times New Roman"/>
        </w:rPr>
      </w:pPr>
      <w:r>
        <w:rPr>
          <w:rFonts w:hint="eastAsia" w:ascii="Times New Roman" w:hAnsi="Times New Roman" w:eastAsia="仿宋_GB2312" w:cs="Times New Roman"/>
        </w:rPr>
        <w:t>严格落实《淮北市国土空间总体规划（2021—2035年）》明确的耕地保护目标和永久基本农田控制线，乡村建设不得擅自占用或者改变永久基本农田，严格落实耕地用途管制，全面落实耕地占补平衡。</w:t>
      </w:r>
    </w:p>
    <w:p w14:paraId="48D308B3">
      <w:pPr>
        <w:pStyle w:val="26"/>
        <w:keepNext w:val="0"/>
        <w:keepLines w:val="0"/>
        <w:pageBreakBefore w:val="0"/>
        <w:widowControl w:val="0"/>
        <w:kinsoku/>
        <w:wordWrap/>
        <w:overflowPunct/>
        <w:topLinePunct w:val="0"/>
        <w:autoSpaceDE/>
        <w:autoSpaceDN/>
        <w:bidi w:val="0"/>
        <w:adjustRightInd/>
        <w:snapToGrid/>
        <w:spacing w:line="360" w:lineRule="auto"/>
        <w:ind w:left="0" w:firstLine="643" w:firstLineChars="200"/>
        <w:textAlignment w:val="auto"/>
        <w:outlineLvl w:val="1"/>
        <w:rPr>
          <w:rFonts w:ascii="Times New Roman" w:hAnsi="Times New Roman" w:eastAsia="仿宋_GB2312" w:cs="Times New Roman"/>
          <w:b/>
          <w:bCs/>
          <w:sz w:val="32"/>
          <w:szCs w:val="32"/>
        </w:rPr>
      </w:pPr>
      <w:r>
        <w:rPr>
          <w:rFonts w:hint="eastAsia" w:ascii="Times New Roman" w:hAnsi="Times New Roman" w:eastAsia="仿宋_GB2312" w:cs="Times New Roman"/>
          <w:b/>
          <w:bCs/>
          <w:sz w:val="32"/>
          <w:szCs w:val="32"/>
        </w:rPr>
        <w:t>第</w:t>
      </w:r>
      <w:r>
        <w:rPr>
          <w:rFonts w:hint="eastAsia" w:ascii="Times New Roman" w:hAnsi="Times New Roman" w:eastAsia="仿宋_GB2312" w:cs="Times New Roman"/>
          <w:b/>
          <w:bCs/>
          <w:sz w:val="32"/>
          <w:szCs w:val="32"/>
          <w:lang w:val="en-US" w:eastAsia="zh-CN"/>
        </w:rPr>
        <w:t>6</w:t>
      </w:r>
      <w:r>
        <w:rPr>
          <w:rFonts w:hint="eastAsia" w:ascii="Times New Roman" w:hAnsi="Times New Roman" w:eastAsia="仿宋_GB2312" w:cs="Times New Roman"/>
          <w:b/>
          <w:bCs/>
          <w:sz w:val="32"/>
          <w:szCs w:val="32"/>
        </w:rPr>
        <w:t>条 生态保护红线</w:t>
      </w:r>
    </w:p>
    <w:p w14:paraId="1036FBCB">
      <w:pPr>
        <w:spacing w:line="360" w:lineRule="auto"/>
        <w:ind w:firstLine="640" w:firstLineChars="200"/>
        <w:rPr>
          <w:rFonts w:ascii="Times New Roman" w:hAnsi="Times New Roman" w:eastAsia="仿宋_GB2312" w:cs="Times New Roman"/>
        </w:rPr>
      </w:pPr>
      <w:r>
        <w:rPr>
          <w:rFonts w:hint="eastAsia" w:ascii="Times New Roman" w:hAnsi="Times New Roman" w:eastAsia="仿宋_GB2312" w:cs="Times New Roman"/>
        </w:rPr>
        <w:t>本规定适用范围内涉及生态保护红线的区域，应严格落实《淮北市国土空间总体规划（2021—2035年）》及国家、省、市有关生态保护红线管控要求。除法律法规规定允许的有限人为活动和国家重大项目外，原则上禁止开发性、生产性建设活动，严禁开展不符合生态保护红线管控要求的建设活动。乡村建设项目应优先避让生态保护红线，确需在生态保护红线内实施且符合相关管控要求的，应依法依规履行审批手续，并落实相应的生态保护措施。涉及自然保护地、饮用水水源保护区等特殊区域的，按照相关法律法规及专项管控要求执行。</w:t>
      </w:r>
    </w:p>
    <w:p w14:paraId="32C9098D">
      <w:pPr>
        <w:pStyle w:val="26"/>
        <w:keepNext w:val="0"/>
        <w:keepLines w:val="0"/>
        <w:pageBreakBefore w:val="0"/>
        <w:widowControl w:val="0"/>
        <w:kinsoku/>
        <w:wordWrap/>
        <w:overflowPunct/>
        <w:topLinePunct w:val="0"/>
        <w:autoSpaceDE/>
        <w:autoSpaceDN/>
        <w:bidi w:val="0"/>
        <w:adjustRightInd/>
        <w:snapToGrid/>
        <w:spacing w:line="360" w:lineRule="auto"/>
        <w:ind w:left="0" w:firstLine="643" w:firstLineChars="200"/>
        <w:textAlignment w:val="auto"/>
        <w:outlineLvl w:val="1"/>
        <w:rPr>
          <w:rFonts w:ascii="Times New Roman" w:hAnsi="Times New Roman" w:eastAsia="仿宋_GB2312" w:cs="Times New Roman"/>
          <w:b/>
          <w:bCs/>
          <w:sz w:val="32"/>
          <w:szCs w:val="32"/>
        </w:rPr>
      </w:pPr>
      <w:bookmarkStart w:id="14" w:name="OLE_LINK320"/>
      <w:bookmarkStart w:id="15" w:name="OLE_LINK319"/>
      <w:r>
        <w:rPr>
          <w:rFonts w:hint="eastAsia" w:ascii="Times New Roman" w:hAnsi="Times New Roman" w:eastAsia="仿宋_GB2312" w:cs="Times New Roman"/>
          <w:b/>
          <w:bCs/>
          <w:sz w:val="32"/>
          <w:szCs w:val="32"/>
        </w:rPr>
        <w:t>第</w:t>
      </w:r>
      <w:r>
        <w:rPr>
          <w:rFonts w:hint="eastAsia" w:ascii="Times New Roman" w:hAnsi="Times New Roman" w:eastAsia="仿宋_GB2312" w:cs="Times New Roman"/>
          <w:b/>
          <w:bCs/>
          <w:sz w:val="32"/>
          <w:szCs w:val="32"/>
          <w:lang w:val="en-US" w:eastAsia="zh-CN"/>
        </w:rPr>
        <w:t>7</w:t>
      </w:r>
      <w:r>
        <w:rPr>
          <w:rFonts w:hint="eastAsia" w:ascii="Times New Roman" w:hAnsi="Times New Roman" w:eastAsia="仿宋_GB2312" w:cs="Times New Roman"/>
          <w:b/>
          <w:bCs/>
          <w:sz w:val="32"/>
          <w:szCs w:val="32"/>
        </w:rPr>
        <w:t>条 村庄建设边界</w:t>
      </w:r>
    </w:p>
    <w:bookmarkEnd w:id="14"/>
    <w:bookmarkEnd w:id="15"/>
    <w:p w14:paraId="4BCC035B">
      <w:pPr>
        <w:spacing w:line="360" w:lineRule="auto"/>
        <w:ind w:firstLine="640" w:firstLineChars="200"/>
        <w:rPr>
          <w:rFonts w:ascii="Times New Roman" w:hAnsi="Times New Roman" w:eastAsia="仿宋_GB2312" w:cs="Times New Roman"/>
        </w:rPr>
      </w:pPr>
      <w:r>
        <w:rPr>
          <w:rFonts w:hint="eastAsia" w:ascii="Times New Roman" w:hAnsi="Times New Roman" w:eastAsia="仿宋_GB2312" w:cs="Times New Roman"/>
        </w:rPr>
        <w:t>村庄建设边界是村庄集中建设的用地控制范围。村庄建设边界内按照“通则式”规划管理要求实施建设管理，落实国土空间规划确定的“三区三线”、耕地和永久基本农田保护、生态保护红线、历史文化保护、灾害风险防控等底线管控要求。按照自然资源部、中央农办《关于学习运用“千万工程”经验提高村庄规划编制质量和实效》（自然资发〔2024〕1号）有关要求，县域村庄建设边界规模原则上不超过2020年度国土变更调查村庄用地（203）规模，含建设用地总规模</w:t>
      </w:r>
      <w:r>
        <w:rPr>
          <w:rFonts w:ascii="Times New Roman" w:hAnsi="Times New Roman" w:eastAsia="仿宋_GB2312" w:cs="Times New Roman"/>
        </w:rPr>
        <w:t>5%</w:t>
      </w:r>
      <w:r>
        <w:rPr>
          <w:rFonts w:hint="eastAsia" w:ascii="Times New Roman" w:hAnsi="Times New Roman" w:eastAsia="仿宋_GB2312" w:cs="Times New Roman"/>
        </w:rPr>
        <w:t>的留白用地指标作为为村庄未来发展和特殊项目建设预留空间。</w:t>
      </w:r>
    </w:p>
    <w:p w14:paraId="31A7C2FC">
      <w:pPr>
        <w:spacing w:line="360" w:lineRule="auto"/>
        <w:ind w:firstLine="640" w:firstLineChars="200"/>
        <w:rPr>
          <w:rFonts w:hint="eastAsia" w:ascii="Times New Roman" w:hAnsi="Times New Roman" w:eastAsia="仿宋_GB2312" w:cs="Times New Roman"/>
        </w:rPr>
      </w:pPr>
      <w:r>
        <w:rPr>
          <w:rFonts w:hint="eastAsia" w:ascii="Times New Roman" w:hAnsi="Times New Roman" w:eastAsia="仿宋_GB2312" w:cs="Times New Roman"/>
        </w:rPr>
        <w:t>村庄建设边界内优先保障符合条件的农村村民住房建设、乡村公共服务设施和基础设施建设，以及农村一二三产业融合发展、乡村旅游等乡村产业项目建设需求。农村村民住房建设应依法依规使用农村宅基地，并严格落实“一户一宅”等宅基地管理要求；乡村公共服务设施和基础设施建设应结合村庄实际需求合理布局；乡村产业项目应符合国土空间规划、产业发展及土地用途管制要求，优先保障直接服务于农业农村发展的农产品加工、休闲农业、乡村旅游及农村一二三产业融合发展等项目用地。具体用地分类按照现行国土空间调查、规划、用途管制用地用海分类及当地国土空间规划数据库标准执行。</w:t>
      </w:r>
    </w:p>
    <w:p w14:paraId="4AB72141">
      <w:pPr>
        <w:spacing w:line="360" w:lineRule="auto"/>
        <w:ind w:firstLine="640" w:firstLineChars="200"/>
        <w:rPr>
          <w:rFonts w:hint="eastAsia" w:ascii="Times New Roman" w:hAnsi="Times New Roman" w:eastAsia="仿宋_GB2312" w:cs="Times New Roman"/>
        </w:rPr>
      </w:pPr>
      <w:r>
        <w:rPr>
          <w:rFonts w:hint="eastAsia" w:ascii="Times New Roman" w:hAnsi="Times New Roman" w:eastAsia="仿宋_GB2312" w:cs="Times New Roman"/>
        </w:rPr>
        <w:t>农村村民住房可使用的用地类型为农村宅基地（地类代码0703）；农村公共服务设施及基础设施可使用的用地类型包括农村社区服务设施用地（地类代码0704）、公共管理与公共服务用地（地类代码08）、公用设施用地（地类代码13）、交通运输用地（地类代码1207、1208、1209）、绿地与开敞空间</w:t>
      </w:r>
      <w:bookmarkStart w:id="16" w:name="OLE_LINK1"/>
      <w:r>
        <w:rPr>
          <w:rFonts w:hint="eastAsia" w:ascii="Times New Roman" w:hAnsi="Times New Roman" w:eastAsia="仿宋_GB2312" w:cs="Times New Roman"/>
        </w:rPr>
        <w:t>（地类代码14）</w:t>
      </w:r>
      <w:bookmarkEnd w:id="16"/>
      <w:r>
        <w:rPr>
          <w:rFonts w:hint="eastAsia" w:ascii="Times New Roman" w:hAnsi="Times New Roman" w:eastAsia="仿宋_GB2312" w:cs="Times New Roman"/>
        </w:rPr>
        <w:t>、特殊用地（地类代码1503、1504、1506、1507）及留白用地（地类代码16）等。乡村产业项目指符合农村一二三产业融合发展项目或乡村旅游项目，可使用的用地类型包括商业服务业用地（地类代码09）、工业用地（地类代码1001）、仓储用地（</w:t>
      </w:r>
      <w:bookmarkStart w:id="17" w:name="OLE_LINK7"/>
      <w:bookmarkStart w:id="18" w:name="OLE_LINK6"/>
      <w:r>
        <w:rPr>
          <w:rFonts w:hint="eastAsia" w:ascii="Times New Roman" w:hAnsi="Times New Roman" w:eastAsia="仿宋_GB2312" w:cs="Times New Roman"/>
        </w:rPr>
        <w:t>地类代码11</w:t>
      </w:r>
      <w:bookmarkEnd w:id="17"/>
      <w:bookmarkEnd w:id="18"/>
      <w:r>
        <w:rPr>
          <w:rFonts w:hint="eastAsia" w:ascii="Times New Roman" w:hAnsi="Times New Roman" w:eastAsia="仿宋_GB2312" w:cs="Times New Roman"/>
        </w:rPr>
        <w:t>）、农业设施建设用地（地类代码06）等。</w:t>
      </w:r>
      <w:bookmarkStart w:id="49" w:name="_GoBack"/>
      <w:bookmarkEnd w:id="49"/>
    </w:p>
    <w:p w14:paraId="3676AA54">
      <w:pPr>
        <w:pStyle w:val="26"/>
        <w:keepNext w:val="0"/>
        <w:keepLines w:val="0"/>
        <w:pageBreakBefore w:val="0"/>
        <w:widowControl w:val="0"/>
        <w:kinsoku/>
        <w:wordWrap/>
        <w:overflowPunct/>
        <w:topLinePunct w:val="0"/>
        <w:autoSpaceDE/>
        <w:autoSpaceDN/>
        <w:bidi w:val="0"/>
        <w:adjustRightInd/>
        <w:snapToGrid/>
        <w:spacing w:line="360" w:lineRule="auto"/>
        <w:ind w:left="0" w:firstLine="643" w:firstLineChars="200"/>
        <w:textAlignment w:val="auto"/>
        <w:outlineLvl w:val="1"/>
        <w:rPr>
          <w:rFonts w:hint="eastAsia" w:ascii="Times New Roman" w:hAnsi="Times New Roman" w:eastAsia="仿宋_GB2312" w:cs="Times New Roman"/>
          <w:b/>
          <w:bCs/>
          <w:sz w:val="32"/>
          <w:szCs w:val="32"/>
        </w:rPr>
      </w:pPr>
      <w:bookmarkStart w:id="19" w:name="OLE_LINK323"/>
      <w:bookmarkStart w:id="20" w:name="OLE_LINK321"/>
      <w:bookmarkStart w:id="21" w:name="OLE_LINK322"/>
      <w:r>
        <w:rPr>
          <w:rFonts w:hint="eastAsia" w:ascii="Times New Roman" w:hAnsi="Times New Roman" w:eastAsia="仿宋_GB2312" w:cs="Times New Roman"/>
          <w:b/>
          <w:bCs/>
          <w:sz w:val="32"/>
          <w:szCs w:val="32"/>
        </w:rPr>
        <w:t>第</w:t>
      </w:r>
      <w:r>
        <w:rPr>
          <w:rFonts w:hint="eastAsia" w:ascii="Times New Roman" w:hAnsi="Times New Roman" w:eastAsia="仿宋_GB2312" w:cs="Times New Roman"/>
          <w:b/>
          <w:bCs/>
          <w:sz w:val="32"/>
          <w:szCs w:val="32"/>
          <w:lang w:val="en-US" w:eastAsia="zh-CN"/>
        </w:rPr>
        <w:t>8</w:t>
      </w:r>
      <w:r>
        <w:rPr>
          <w:rFonts w:hint="eastAsia" w:ascii="Times New Roman" w:hAnsi="Times New Roman" w:eastAsia="仿宋_GB2312" w:cs="Times New Roman"/>
          <w:b/>
          <w:bCs/>
          <w:sz w:val="32"/>
          <w:szCs w:val="32"/>
        </w:rPr>
        <w:t>条 留白指标</w:t>
      </w:r>
    </w:p>
    <w:bookmarkEnd w:id="19"/>
    <w:bookmarkEnd w:id="20"/>
    <w:bookmarkEnd w:id="21"/>
    <w:p w14:paraId="14C4DD90">
      <w:pPr>
        <w:spacing w:line="360" w:lineRule="auto"/>
        <w:ind w:firstLine="640" w:firstLineChars="200"/>
        <w:rPr>
          <w:rFonts w:ascii="Times New Roman" w:hAnsi="Times New Roman" w:eastAsia="仿宋_GB2312" w:cs="Times New Roman"/>
        </w:rPr>
      </w:pPr>
      <w:r>
        <w:rPr>
          <w:rFonts w:hint="eastAsia" w:ascii="Times New Roman" w:hAnsi="Times New Roman" w:eastAsia="仿宋_GB2312" w:cs="Times New Roman"/>
        </w:rPr>
        <w:t>对于暂未明确具体项目选址、但确需布局在村庄建设边界外的新增建设用地，应符合国土空间规划及“三区三线”等管控要求，严格落实耕地保护、永久基本农田保护、生态环境保护和建设用地审批等相关规定，并纳入负面清单管理。对因特殊选址要求确需在村庄建设边界外布局的零星乡村公共服务设施和基础设施，以及符合政策要求的农村一二三产业融合发展、乡村旅游、休闲农业等项目，可结合规划“留白”机动指标等政策统筹保障。项目实施前应依法履行规划、用地等审批程序，并通过地块图则或其他规划管理方式明确用地范围、用地性质、用地规模、开发强度及其他规划管控要求。</w:t>
      </w:r>
    </w:p>
    <w:p w14:paraId="7B96C934">
      <w:pPr>
        <w:pStyle w:val="26"/>
        <w:keepNext w:val="0"/>
        <w:keepLines w:val="0"/>
        <w:pageBreakBefore w:val="0"/>
        <w:widowControl w:val="0"/>
        <w:kinsoku/>
        <w:wordWrap/>
        <w:overflowPunct/>
        <w:topLinePunct w:val="0"/>
        <w:autoSpaceDE/>
        <w:autoSpaceDN/>
        <w:bidi w:val="0"/>
        <w:adjustRightInd/>
        <w:snapToGrid/>
        <w:spacing w:line="360" w:lineRule="auto"/>
        <w:ind w:left="0" w:firstLine="643" w:firstLineChars="200"/>
        <w:textAlignment w:val="auto"/>
        <w:outlineLvl w:val="1"/>
        <w:rPr>
          <w:rFonts w:ascii="Times New Roman" w:hAnsi="Times New Roman" w:eastAsia="仿宋_GB2312" w:cs="Times New Roman"/>
          <w:b/>
          <w:bCs/>
          <w:sz w:val="32"/>
          <w:szCs w:val="32"/>
        </w:rPr>
      </w:pPr>
      <w:r>
        <w:rPr>
          <w:rFonts w:hint="eastAsia" w:ascii="Times New Roman" w:hAnsi="Times New Roman" w:eastAsia="仿宋_GB2312" w:cs="Times New Roman"/>
          <w:b/>
          <w:bCs/>
          <w:sz w:val="32"/>
          <w:szCs w:val="32"/>
        </w:rPr>
        <w:t>第</w:t>
      </w:r>
      <w:r>
        <w:rPr>
          <w:rFonts w:hint="eastAsia" w:ascii="Times New Roman" w:hAnsi="Times New Roman" w:eastAsia="仿宋_GB2312" w:cs="Times New Roman"/>
          <w:b/>
          <w:bCs/>
          <w:sz w:val="32"/>
          <w:szCs w:val="32"/>
          <w:lang w:val="en-US" w:eastAsia="zh-CN"/>
        </w:rPr>
        <w:t>9</w:t>
      </w:r>
      <w:r>
        <w:rPr>
          <w:rFonts w:hint="eastAsia" w:ascii="Times New Roman" w:hAnsi="Times New Roman" w:eastAsia="仿宋_GB2312" w:cs="Times New Roman"/>
          <w:b/>
          <w:bCs/>
          <w:sz w:val="32"/>
          <w:szCs w:val="32"/>
        </w:rPr>
        <w:t>条 零星建设用地整理</w:t>
      </w:r>
    </w:p>
    <w:p w14:paraId="63EE0DA1">
      <w:pPr>
        <w:spacing w:line="360" w:lineRule="auto"/>
        <w:ind w:firstLine="640" w:firstLineChars="200"/>
        <w:rPr>
          <w:rFonts w:ascii="Times New Roman" w:hAnsi="Times New Roman" w:eastAsia="仿宋_GB2312" w:cs="Times New Roman"/>
        </w:rPr>
      </w:pPr>
      <w:r>
        <w:rPr>
          <w:rFonts w:hint="eastAsia" w:ascii="Times New Roman" w:hAnsi="Times New Roman" w:eastAsia="仿宋_GB2312" w:cs="Times New Roman"/>
        </w:rPr>
        <w:t>对村庄建设边界外现有的存量建设用地，应坚持节约集约利用和存量盘活原则，结合全域土地综合整治、农村闲置低效建设用地盘活、宅基地整理及村庄布局优化等工作，因地制宜引导零散、低效建设用地逐步向村庄建设边界内集中。对通过土地整治、宅基地整理置换等方式腾退的原建设用地，应按照国土空间规划和土地用途管制要求，依法依规调整为符合实际的土地用途，促进农村建设用地布局优化和土地节约集约利用。</w:t>
      </w:r>
    </w:p>
    <w:p w14:paraId="487F4ADA">
      <w:pPr>
        <w:pStyle w:val="2"/>
        <w:spacing w:beforeLines="50" w:afterLines="50" w:line="360" w:lineRule="auto"/>
        <w:jc w:val="center"/>
        <w:rPr>
          <w:rFonts w:ascii="Times New Roman" w:hAnsi="Times New Roman" w:eastAsia="黑体" w:cs="Times New Roman"/>
          <w:b w:val="0"/>
          <w:sz w:val="36"/>
          <w:szCs w:val="36"/>
        </w:rPr>
      </w:pPr>
      <w:bookmarkStart w:id="22" w:name="_Toc1548"/>
      <w:bookmarkStart w:id="23" w:name="_Toc22287"/>
      <w:bookmarkStart w:id="24" w:name="_Toc10369"/>
      <w:bookmarkStart w:id="25" w:name="_Toc8720"/>
      <w:r>
        <w:rPr>
          <w:rFonts w:ascii="Times New Roman" w:hAnsi="Times New Roman" w:eastAsia="黑体" w:cs="Times New Roman"/>
          <w:b w:val="0"/>
          <w:sz w:val="36"/>
          <w:szCs w:val="36"/>
        </w:rPr>
        <w:t>第三章 规划管理要求</w:t>
      </w:r>
      <w:bookmarkEnd w:id="22"/>
      <w:bookmarkEnd w:id="23"/>
      <w:bookmarkEnd w:id="24"/>
      <w:bookmarkEnd w:id="25"/>
    </w:p>
    <w:p w14:paraId="295A28E1">
      <w:pPr>
        <w:pStyle w:val="26"/>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643" w:firstLineChars="200"/>
        <w:textAlignment w:val="auto"/>
        <w:outlineLvl w:val="1"/>
        <w:rPr>
          <w:rFonts w:ascii="Times New Roman" w:hAnsi="Times New Roman" w:eastAsia="仿宋_GB2312" w:cs="Times New Roman"/>
          <w:b/>
          <w:bCs/>
          <w:sz w:val="32"/>
          <w:szCs w:val="32"/>
        </w:rPr>
      </w:pPr>
      <w:r>
        <w:rPr>
          <w:rFonts w:hint="eastAsia" w:ascii="Times New Roman" w:hAnsi="Times New Roman" w:eastAsia="仿宋_GB2312" w:cs="Times New Roman"/>
          <w:b/>
          <w:bCs/>
          <w:kern w:val="2"/>
          <w:sz w:val="32"/>
          <w:szCs w:val="40"/>
          <w:lang w:val="en-US" w:eastAsia="zh-CN" w:bidi="ar-SA"/>
        </w:rPr>
        <w:t>第10条</w:t>
      </w:r>
      <w:r>
        <w:rPr>
          <w:rFonts w:ascii="Times New Roman" w:hAnsi="Times New Roman" w:eastAsia="仿宋_GB2312" w:cs="Times New Roman"/>
          <w:b/>
          <w:bCs/>
          <w:sz w:val="32"/>
          <w:szCs w:val="32"/>
        </w:rPr>
        <w:t xml:space="preserve"> 总体要求</w:t>
      </w:r>
    </w:p>
    <w:p w14:paraId="16644DD6">
      <w:pPr>
        <w:widowControl/>
        <w:spacing w:line="360" w:lineRule="auto"/>
        <w:ind w:firstLine="640" w:firstLineChars="200"/>
        <w:rPr>
          <w:rFonts w:ascii="Times New Roman" w:hAnsi="Times New Roman" w:eastAsia="仿宋_GB2312" w:cs="Times New Roman"/>
        </w:rPr>
      </w:pPr>
      <w:r>
        <w:rPr>
          <w:rFonts w:ascii="Times New Roman" w:hAnsi="Times New Roman" w:eastAsia="仿宋_GB2312" w:cs="Times New Roman"/>
        </w:rPr>
        <w:t>“通则式”所指村庄建设活动，原则上应位于村庄建设边界范围内。按照合理布局、集约利用、因地制宜、整体实施的原则，合理确定建设用地更新规模和范围，明确用地选址、用地标准、建设控制等方面管控要求。</w:t>
      </w:r>
    </w:p>
    <w:p w14:paraId="706149AB">
      <w:pPr>
        <w:pStyle w:val="26"/>
        <w:numPr>
          <w:ilvl w:val="0"/>
          <w:numId w:val="0"/>
        </w:numPr>
        <w:spacing w:line="360" w:lineRule="auto"/>
        <w:ind w:left="1080" w:leftChars="0" w:hanging="440" w:firstLineChars="0"/>
        <w:outlineLvl w:val="1"/>
        <w:rPr>
          <w:rFonts w:ascii="Times New Roman" w:hAnsi="Times New Roman" w:eastAsia="仿宋_GB2312" w:cs="Times New Roman"/>
          <w:b/>
          <w:bCs/>
          <w:sz w:val="32"/>
          <w:szCs w:val="32"/>
        </w:rPr>
      </w:pPr>
      <w:r>
        <w:rPr>
          <w:rFonts w:hint="eastAsia" w:ascii="Times New Roman" w:hAnsi="Times New Roman" w:eastAsia="仿宋_GB2312" w:cs="Times New Roman"/>
          <w:b/>
          <w:bCs/>
          <w:kern w:val="2"/>
          <w:sz w:val="32"/>
          <w:szCs w:val="40"/>
          <w:lang w:val="en-US" w:eastAsia="zh-CN" w:bidi="ar-SA"/>
        </w:rPr>
        <w:t>第11条</w:t>
      </w:r>
      <w:r>
        <w:rPr>
          <w:rFonts w:ascii="Times New Roman" w:hAnsi="Times New Roman" w:eastAsia="仿宋_GB2312" w:cs="Times New Roman"/>
          <w:b/>
          <w:bCs/>
          <w:sz w:val="32"/>
          <w:szCs w:val="32"/>
        </w:rPr>
        <w:t xml:space="preserve"> 用地布局</w:t>
      </w:r>
    </w:p>
    <w:p w14:paraId="329C948E">
      <w:pPr>
        <w:pStyle w:val="26"/>
        <w:spacing w:line="360" w:lineRule="auto"/>
        <w:ind w:left="0" w:firstLine="709"/>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矿山集街道、高岳街道乡村地区建设项目选址通用要求</w:t>
      </w:r>
    </w:p>
    <w:p w14:paraId="109CF3E4">
      <w:pPr>
        <w:pStyle w:val="26"/>
        <w:spacing w:line="360" w:lineRule="auto"/>
        <w:ind w:left="0" w:firstLine="709"/>
        <w:rPr>
          <w:rFonts w:ascii="Times New Roman" w:hAnsi="Times New Roman" w:eastAsia="仿宋_GB2312" w:cs="Times New Roman"/>
          <w:color w:val="auto"/>
          <w:sz w:val="32"/>
          <w:szCs w:val="32"/>
        </w:rPr>
      </w:pPr>
      <w:r>
        <w:rPr>
          <w:rFonts w:hint="eastAsia" w:ascii="Times New Roman" w:hAnsi="Times New Roman" w:eastAsia="仿宋_GB2312" w:cs="Times New Roman"/>
          <w:sz w:val="32"/>
          <w:szCs w:val="32"/>
        </w:rPr>
        <w:t>1）应当选址在地质条件稳定、环境适宜、交通便捷的地段，</w:t>
      </w:r>
      <w:r>
        <w:rPr>
          <w:rFonts w:ascii="Times New Roman" w:hAnsi="Times New Roman" w:eastAsia="仿宋_GB2312" w:cs="Times New Roman"/>
          <w:color w:val="auto"/>
          <w:sz w:val="32"/>
          <w:szCs w:val="32"/>
        </w:rPr>
        <w:t>紧扣辖区工矿废弃地盘活转型、采煤</w:t>
      </w:r>
      <w:r>
        <w:rPr>
          <w:rFonts w:hint="eastAsia" w:ascii="Times New Roman" w:hAnsi="Times New Roman" w:eastAsia="仿宋_GB2312" w:cs="Times New Roman"/>
          <w:color w:val="auto"/>
          <w:sz w:val="32"/>
          <w:szCs w:val="32"/>
        </w:rPr>
        <w:t>生态修复</w:t>
      </w:r>
      <w:r>
        <w:rPr>
          <w:rFonts w:ascii="Times New Roman" w:hAnsi="Times New Roman" w:eastAsia="仿宋_GB2312" w:cs="Times New Roman"/>
          <w:color w:val="auto"/>
          <w:sz w:val="32"/>
          <w:szCs w:val="32"/>
        </w:rPr>
        <w:t>综合治理</w:t>
      </w:r>
      <w:r>
        <w:rPr>
          <w:rFonts w:hint="eastAsia" w:ascii="Times New Roman" w:hAnsi="Times New Roman" w:eastAsia="仿宋_GB2312" w:cs="Times New Roman"/>
          <w:color w:val="auto"/>
          <w:sz w:val="32"/>
          <w:szCs w:val="32"/>
        </w:rPr>
        <w:t>情况</w:t>
      </w:r>
      <w:r>
        <w:rPr>
          <w:rFonts w:ascii="Times New Roman" w:hAnsi="Times New Roman" w:eastAsia="仿宋_GB2312" w:cs="Times New Roman"/>
          <w:color w:val="auto"/>
          <w:sz w:val="32"/>
          <w:szCs w:val="32"/>
        </w:rPr>
        <w:t>，建设项目优先选址于采煤沉陷治理</w:t>
      </w:r>
      <w:r>
        <w:rPr>
          <w:rFonts w:hint="eastAsia" w:ascii="Times New Roman" w:hAnsi="Times New Roman" w:eastAsia="仿宋_GB2312" w:cs="Times New Roman"/>
          <w:color w:val="auto"/>
          <w:sz w:val="32"/>
          <w:szCs w:val="32"/>
        </w:rPr>
        <w:t>地质</w:t>
      </w:r>
      <w:r>
        <w:rPr>
          <w:rFonts w:ascii="Times New Roman" w:hAnsi="Times New Roman" w:eastAsia="仿宋_GB2312" w:cs="Times New Roman"/>
          <w:color w:val="auto"/>
          <w:sz w:val="32"/>
          <w:szCs w:val="32"/>
        </w:rPr>
        <w:t>稳定区</w:t>
      </w:r>
      <w:r>
        <w:rPr>
          <w:rFonts w:hint="eastAsia" w:ascii="Times New Roman" w:hAnsi="Times New Roman" w:eastAsia="仿宋_GB2312" w:cs="Times New Roman"/>
          <w:color w:val="auto"/>
          <w:sz w:val="32"/>
          <w:szCs w:val="32"/>
        </w:rPr>
        <w:t>，</w:t>
      </w:r>
      <w:r>
        <w:rPr>
          <w:rFonts w:ascii="Times New Roman" w:hAnsi="Times New Roman" w:eastAsia="仿宋_GB2312" w:cs="Times New Roman"/>
          <w:color w:val="auto"/>
          <w:sz w:val="32"/>
          <w:szCs w:val="32"/>
        </w:rPr>
        <w:t>鼓励</w:t>
      </w:r>
      <w:r>
        <w:rPr>
          <w:rFonts w:hint="eastAsia" w:ascii="Times New Roman" w:hAnsi="Times New Roman" w:eastAsia="仿宋_GB2312" w:cs="Times New Roman"/>
          <w:color w:val="auto"/>
          <w:sz w:val="32"/>
          <w:szCs w:val="32"/>
        </w:rPr>
        <w:t>通过</w:t>
      </w:r>
      <w:r>
        <w:rPr>
          <w:rFonts w:ascii="Times New Roman" w:hAnsi="Times New Roman" w:eastAsia="仿宋_GB2312" w:cs="Times New Roman"/>
          <w:color w:val="auto"/>
          <w:sz w:val="32"/>
          <w:szCs w:val="32"/>
        </w:rPr>
        <w:t>矿山生态修复、土地综合整治项目统筹谋划、同步布局、协同落地</w:t>
      </w:r>
      <w:r>
        <w:rPr>
          <w:rFonts w:hint="eastAsia" w:ascii="Times New Roman" w:hAnsi="Times New Roman" w:eastAsia="仿宋_GB2312" w:cs="Times New Roman"/>
          <w:color w:val="auto"/>
          <w:sz w:val="32"/>
          <w:szCs w:val="32"/>
        </w:rPr>
        <w:t>。</w:t>
      </w:r>
    </w:p>
    <w:p w14:paraId="25D2FE1B">
      <w:pPr>
        <w:pStyle w:val="26"/>
        <w:spacing w:line="360" w:lineRule="auto"/>
        <w:ind w:left="0" w:firstLine="709"/>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）合理用地，节约用地，新建村庄住宅、公用公服设施、基础设施、村庄产业用地宜与旧宅改造、土地整理、宅基地复垦相结合，充分利用原有闲置宅基地、村内空闲地或其他未利用地，少占或不占耕地。</w:t>
      </w:r>
    </w:p>
    <w:p w14:paraId="759FCC0A">
      <w:pPr>
        <w:pStyle w:val="26"/>
        <w:spacing w:line="360" w:lineRule="auto"/>
        <w:ind w:left="0" w:firstLine="566" w:firstLineChars="177"/>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3）项目选址原则上不得占用下列区域，确需占用的，应当符合相关准入管理要求，并按照法律法规要求办理相关手续。</w:t>
      </w:r>
    </w:p>
    <w:p w14:paraId="529916BD">
      <w:pPr>
        <w:pStyle w:val="26"/>
        <w:spacing w:line="360" w:lineRule="auto"/>
        <w:ind w:left="0" w:firstLine="697" w:firstLineChars="218"/>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）永久基本农田、生态保护红线、饮用水源一级保护区、风景名胜区核心保护区等区域；</w:t>
      </w:r>
    </w:p>
    <w:p w14:paraId="1FEF778B">
      <w:pPr>
        <w:pStyle w:val="26"/>
        <w:spacing w:line="360" w:lineRule="auto"/>
        <w:ind w:left="0" w:firstLine="709"/>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）相关专项规划确定或已公布的各级各类历史文化保护线；</w:t>
      </w:r>
    </w:p>
    <w:p w14:paraId="44312F4C">
      <w:pPr>
        <w:pStyle w:val="26"/>
        <w:spacing w:line="360" w:lineRule="auto"/>
        <w:ind w:left="0" w:firstLine="697" w:firstLineChars="218"/>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w:t>
      </w:r>
      <w:r>
        <w:rPr>
          <w:rFonts w:ascii="Times New Roman" w:hAnsi="Times New Roman" w:eastAsia="仿宋_GB2312" w:cs="Times New Roman"/>
          <w:color w:val="auto"/>
          <w:sz w:val="32"/>
          <w:szCs w:val="32"/>
        </w:rPr>
        <w:t>3</w:t>
      </w:r>
      <w:r>
        <w:rPr>
          <w:rFonts w:hint="eastAsia" w:ascii="Times New Roman" w:hAnsi="Times New Roman" w:eastAsia="仿宋_GB2312" w:cs="Times New Roman"/>
          <w:color w:val="auto"/>
          <w:sz w:val="32"/>
          <w:szCs w:val="32"/>
        </w:rPr>
        <w:t>）岱河、龙河、闸沟河道管理范围线等；</w:t>
      </w:r>
    </w:p>
    <w:p w14:paraId="3CB60C7E">
      <w:pPr>
        <w:pStyle w:val="26"/>
        <w:spacing w:line="360" w:lineRule="auto"/>
        <w:ind w:left="0" w:firstLine="64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4</w:t>
      </w:r>
      <w:r>
        <w:rPr>
          <w:rFonts w:hint="eastAsia" w:ascii="Times New Roman" w:hAnsi="Times New Roman" w:eastAsia="仿宋_GB2312" w:cs="Times New Roman"/>
          <w:sz w:val="32"/>
          <w:szCs w:val="32"/>
        </w:rPr>
        <w:t>）危险化学品生产企业、危险化学品储存仓库或危房周边；</w:t>
      </w:r>
    </w:p>
    <w:p w14:paraId="7DC85573">
      <w:pPr>
        <w:pStyle w:val="26"/>
        <w:spacing w:line="360" w:lineRule="auto"/>
        <w:ind w:left="0" w:firstLine="64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5</w:t>
      </w:r>
      <w:r>
        <w:rPr>
          <w:rFonts w:hint="eastAsia" w:ascii="Times New Roman" w:hAnsi="Times New Roman" w:eastAsia="仿宋_GB2312" w:cs="Times New Roman"/>
          <w:sz w:val="32"/>
          <w:szCs w:val="32"/>
        </w:rPr>
        <w:t>）涉及洪涝风险、地质灾害、矿产资源勘查开采的安全控制范围以及高电压等级电力线路、油气长输管道、高压燃气管道、高速公路、省道等重大基础设施廊道控制范围；</w:t>
      </w:r>
    </w:p>
    <w:p w14:paraId="6D2662FF">
      <w:pPr>
        <w:pStyle w:val="26"/>
        <w:spacing w:line="360" w:lineRule="auto"/>
        <w:ind w:left="0" w:firstLine="709"/>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（6）法律法规规定的其他禁止建设区域。</w:t>
      </w:r>
    </w:p>
    <w:p w14:paraId="6E6F8070">
      <w:pPr>
        <w:spacing w:line="360" w:lineRule="auto"/>
        <w:ind w:firstLine="640" w:firstLineChars="200"/>
        <w:outlineLvl w:val="2"/>
        <w:rPr>
          <w:rFonts w:ascii="Times New Roman" w:hAnsi="Times New Roman" w:eastAsia="仿宋_GB2312" w:cs="Times New Roman"/>
        </w:rPr>
      </w:pPr>
      <w:r>
        <w:rPr>
          <w:rFonts w:hint="eastAsia" w:ascii="Times New Roman" w:hAnsi="Times New Roman" w:eastAsia="仿宋_GB2312" w:cs="Times New Roman"/>
        </w:rPr>
        <w:t>2.农村村民住房布局要求</w:t>
      </w:r>
    </w:p>
    <w:p w14:paraId="10F1EF50">
      <w:pPr>
        <w:spacing w:line="360" w:lineRule="auto"/>
        <w:ind w:firstLine="640" w:firstLineChars="200"/>
        <w:rPr>
          <w:rFonts w:ascii="Times New Roman" w:hAnsi="Times New Roman" w:eastAsia="仿宋_GB2312" w:cs="Times New Roman"/>
        </w:rPr>
      </w:pPr>
      <w:bookmarkStart w:id="26" w:name="OLE_LINK3"/>
      <w:bookmarkStart w:id="27" w:name="OLE_LINK2"/>
      <w:r>
        <w:rPr>
          <w:rFonts w:hint="eastAsia" w:ascii="Times New Roman" w:hAnsi="Times New Roman" w:eastAsia="仿宋_GB2312" w:cs="Times New Roman"/>
        </w:rPr>
        <w:t>（1）</w:t>
      </w:r>
      <w:bookmarkEnd w:id="26"/>
      <w:bookmarkEnd w:id="27"/>
      <w:r>
        <w:rPr>
          <w:rFonts w:hint="eastAsia" w:ascii="Times New Roman" w:hAnsi="Times New Roman" w:eastAsia="仿宋_GB2312" w:cs="Times New Roman"/>
        </w:rPr>
        <w:t>新建农村村民住房原则上应优先利用存量建设用地。确需新增的应结合现状居民点布局，优先选址交通出行方便、地形条件优越区域，鼓励新建区域沿城镇村道路两侧集中布局。确因确因农业生产生活需要，须在现状农村居民点外零星建设农民住宅的，应符合“一户一宅”，且具备基本市政基础设施服务条件，</w:t>
      </w:r>
      <w:r>
        <w:rPr>
          <w:rFonts w:ascii="Times New Roman" w:hAnsi="Times New Roman" w:eastAsia="仿宋_GB2312" w:cs="Times New Roman"/>
        </w:rPr>
        <w:t xml:space="preserve"> </w:t>
      </w:r>
    </w:p>
    <w:p w14:paraId="409E2371">
      <w:pPr>
        <w:spacing w:line="360" w:lineRule="auto"/>
        <w:ind w:firstLine="640" w:firstLineChars="200"/>
        <w:rPr>
          <w:rFonts w:ascii="Times New Roman" w:hAnsi="Times New Roman" w:eastAsia="仿宋_GB2312" w:cs="Times New Roman"/>
        </w:rPr>
      </w:pPr>
      <w:r>
        <w:rPr>
          <w:rFonts w:hint="eastAsia" w:ascii="Times New Roman" w:hAnsi="Times New Roman" w:eastAsia="仿宋_GB2312" w:cs="Times New Roman"/>
        </w:rPr>
        <w:t>（2）新建住宅选址应经村委会或村民小组三分之二以上成员或者三分之二以上村民代表同意。</w:t>
      </w:r>
    </w:p>
    <w:p w14:paraId="34E242B0">
      <w:pPr>
        <w:spacing w:line="360" w:lineRule="auto"/>
        <w:ind w:firstLine="640" w:firstLineChars="200"/>
        <w:rPr>
          <w:rFonts w:ascii="Times New Roman" w:hAnsi="Times New Roman" w:eastAsia="仿宋_GB2312" w:cs="Times New Roman"/>
        </w:rPr>
      </w:pPr>
      <w:r>
        <w:rPr>
          <w:rFonts w:hint="eastAsia" w:ascii="Times New Roman" w:hAnsi="Times New Roman" w:eastAsia="仿宋_GB2312" w:cs="Times New Roman"/>
        </w:rPr>
        <w:t>3.</w:t>
      </w:r>
      <w:r>
        <w:rPr>
          <w:rFonts w:hint="eastAsia" w:ascii="Times New Roman" w:hAnsi="Times New Roman" w:eastAsia="仿宋_GB2312" w:cs="Times New Roman"/>
        </w:rPr>
        <w:tab/>
      </w:r>
      <w:r>
        <w:rPr>
          <w:rFonts w:hint="eastAsia" w:ascii="Times New Roman" w:hAnsi="Times New Roman" w:eastAsia="仿宋_GB2312" w:cs="Times New Roman"/>
        </w:rPr>
        <w:t>乡村公共服务和基础服务设施选址要求</w:t>
      </w:r>
    </w:p>
    <w:p w14:paraId="4AF89633">
      <w:pPr>
        <w:spacing w:line="360" w:lineRule="auto"/>
        <w:ind w:firstLine="640" w:firstLineChars="200"/>
        <w:rPr>
          <w:rFonts w:ascii="Times New Roman" w:hAnsi="Times New Roman" w:eastAsia="仿宋_GB2312" w:cs="Times New Roman"/>
        </w:rPr>
      </w:pPr>
      <w:r>
        <w:rPr>
          <w:rFonts w:ascii="Times New Roman" w:hAnsi="Times New Roman" w:eastAsia="仿宋_GB2312" w:cs="Times New Roman"/>
        </w:rPr>
        <w:t xml:space="preserve">农村公共服务设施及基础设施配置与选址要求除了应符合国家、地方相关行业标准和本规定通用选址要求外，还应符合以下规定： </w:t>
      </w:r>
    </w:p>
    <w:p w14:paraId="56EF5351">
      <w:pPr>
        <w:pStyle w:val="5"/>
        <w:spacing w:line="360" w:lineRule="auto"/>
        <w:ind w:firstLine="640"/>
        <w:rPr>
          <w:rFonts w:ascii="Times New Roman" w:hAnsi="Times New Roman" w:eastAsia="仿宋_GB2312" w:cs="Times New Roman"/>
          <w:szCs w:val="32"/>
        </w:rPr>
      </w:pPr>
      <w:r>
        <w:rPr>
          <w:rFonts w:ascii="Times New Roman" w:hAnsi="Times New Roman" w:eastAsia="仿宋_GB2312" w:cs="Times New Roman"/>
          <w:szCs w:val="32"/>
        </w:rPr>
        <w:t>（1）应集约用地</w:t>
      </w:r>
      <w:r>
        <w:rPr>
          <w:rFonts w:hint="eastAsia" w:ascii="Times New Roman" w:hAnsi="Times New Roman" w:eastAsia="仿宋_GB2312" w:cs="Times New Roman"/>
          <w:szCs w:val="32"/>
        </w:rPr>
        <w:t>，</w:t>
      </w:r>
      <w:r>
        <w:rPr>
          <w:rFonts w:ascii="Times New Roman" w:hAnsi="Times New Roman" w:eastAsia="仿宋_GB2312" w:cs="Times New Roman"/>
          <w:szCs w:val="32"/>
        </w:rPr>
        <w:t>尽量不拆迁、少占地，尽可能利用荒地和存量建设用地建设，不得占用永久基本农田、饮用水源保护区</w:t>
      </w:r>
      <w:r>
        <w:rPr>
          <w:rFonts w:hint="eastAsia" w:ascii="Times New Roman" w:hAnsi="Times New Roman" w:eastAsia="仿宋_GB2312" w:cs="Times New Roman"/>
          <w:szCs w:val="32"/>
        </w:rPr>
        <w:t>；</w:t>
      </w:r>
    </w:p>
    <w:p w14:paraId="70116EEA">
      <w:pPr>
        <w:pStyle w:val="5"/>
        <w:spacing w:line="360" w:lineRule="auto"/>
        <w:ind w:firstLine="640"/>
        <w:rPr>
          <w:rFonts w:ascii="Times New Roman" w:hAnsi="Times New Roman" w:eastAsia="仿宋_GB2312" w:cs="Times New Roman"/>
          <w:szCs w:val="32"/>
        </w:rPr>
      </w:pPr>
      <w:r>
        <w:rPr>
          <w:rFonts w:ascii="Times New Roman" w:hAnsi="Times New Roman" w:eastAsia="仿宋_GB2312" w:cs="Times New Roman"/>
          <w:szCs w:val="32"/>
        </w:rPr>
        <w:t>（2）宜选择交通、运输、供水、供电等较方便地段</w:t>
      </w:r>
      <w:r>
        <w:rPr>
          <w:rFonts w:hint="eastAsia" w:ascii="Times New Roman" w:hAnsi="Times New Roman" w:eastAsia="仿宋_GB2312" w:cs="Times New Roman"/>
          <w:szCs w:val="32"/>
        </w:rPr>
        <w:t>；</w:t>
      </w:r>
    </w:p>
    <w:p w14:paraId="7F7699C3">
      <w:pPr>
        <w:pStyle w:val="5"/>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ascii="Times New Roman" w:hAnsi="Times New Roman" w:eastAsia="仿宋_GB2312" w:cs="Times New Roman"/>
          <w:szCs w:val="32"/>
        </w:rPr>
      </w:pPr>
      <w:r>
        <w:rPr>
          <w:rFonts w:ascii="Times New Roman" w:hAnsi="Times New Roman" w:eastAsia="仿宋_GB2312" w:cs="Times New Roman"/>
          <w:szCs w:val="32"/>
        </w:rPr>
        <w:t>（</w:t>
      </w:r>
      <w:r>
        <w:rPr>
          <w:rFonts w:hint="eastAsia" w:ascii="仿宋_GB2312" w:hAnsi="Times New Roman" w:eastAsia="仿宋_GB2312" w:cs="Times New Roman"/>
          <w:kern w:val="2"/>
          <w:sz w:val="32"/>
          <w:szCs w:val="32"/>
          <w:lang w:val="en-US" w:eastAsia="zh-CN" w:bidi="ar-SA"/>
        </w:rPr>
        <w:t>3）不宜设置在低洼易涝区</w:t>
      </w:r>
      <w:r>
        <w:rPr>
          <w:rFonts w:ascii="Times New Roman" w:hAnsi="Times New Roman" w:eastAsia="仿宋_GB2312" w:cs="Times New Roman"/>
          <w:szCs w:val="32"/>
        </w:rPr>
        <w:t>。</w:t>
      </w:r>
    </w:p>
    <w:p w14:paraId="6192AD00">
      <w:pPr>
        <w:widowControl/>
        <w:spacing w:line="360" w:lineRule="auto"/>
        <w:ind w:firstLine="641"/>
        <w:rPr>
          <w:rFonts w:ascii="Times New Roman" w:hAnsi="Times New Roman" w:eastAsia="仿宋_GB2312" w:cs="Times New Roman"/>
        </w:rPr>
      </w:pPr>
      <w:r>
        <w:rPr>
          <w:rFonts w:ascii="Times New Roman" w:hAnsi="Times New Roman" w:eastAsia="仿宋_GB2312" w:cs="Times New Roman"/>
        </w:rPr>
        <w:t>（</w:t>
      </w:r>
      <w:r>
        <w:rPr>
          <w:rFonts w:hint="eastAsia" w:ascii="Times New Roman" w:hAnsi="Times New Roman" w:eastAsia="仿宋_GB2312" w:cs="Times New Roman"/>
        </w:rPr>
        <w:t>4</w:t>
      </w:r>
      <w:r>
        <w:rPr>
          <w:rFonts w:ascii="Times New Roman" w:hAnsi="Times New Roman" w:eastAsia="仿宋_GB2312" w:cs="Times New Roman"/>
        </w:rPr>
        <w:t>）村庄公共厕所用地</w:t>
      </w:r>
      <w:r>
        <w:rPr>
          <w:rFonts w:hint="eastAsia" w:ascii="Times New Roman" w:hAnsi="Times New Roman" w:eastAsia="仿宋_GB2312" w:cs="Times New Roman"/>
        </w:rPr>
        <w:t>宜</w:t>
      </w:r>
      <w:r>
        <w:rPr>
          <w:rFonts w:ascii="Times New Roman" w:hAnsi="Times New Roman" w:eastAsia="仿宋_GB2312" w:cs="Times New Roman"/>
        </w:rPr>
        <w:t>选址</w:t>
      </w:r>
      <w:r>
        <w:rPr>
          <w:rFonts w:hint="eastAsia" w:ascii="Times New Roman" w:hAnsi="Times New Roman" w:eastAsia="仿宋_GB2312" w:cs="Times New Roman"/>
        </w:rPr>
        <w:t>在</w:t>
      </w:r>
      <w:r>
        <w:rPr>
          <w:rFonts w:ascii="Times New Roman" w:hAnsi="Times New Roman" w:eastAsia="仿宋_GB2312" w:cs="Times New Roman"/>
        </w:rPr>
        <w:t>人口较集中</w:t>
      </w:r>
      <w:r>
        <w:rPr>
          <w:rFonts w:hint="eastAsia" w:ascii="Times New Roman" w:hAnsi="Times New Roman" w:eastAsia="仿宋_GB2312" w:cs="Times New Roman"/>
        </w:rPr>
        <w:t>的</w:t>
      </w:r>
      <w:r>
        <w:rPr>
          <w:rFonts w:ascii="Times New Roman" w:hAnsi="Times New Roman" w:eastAsia="仿宋_GB2312" w:cs="Times New Roman"/>
        </w:rPr>
        <w:t>公共场所附近，村庄附式公厕可优先考虑与村委会、村民活动中心、老人活动站、卫生站等设施结合建设</w:t>
      </w:r>
      <w:r>
        <w:rPr>
          <w:rFonts w:hint="eastAsia" w:ascii="Times New Roman" w:hAnsi="Times New Roman" w:eastAsia="仿宋_GB2312" w:cs="Times New Roman"/>
        </w:rPr>
        <w:t>。</w:t>
      </w:r>
    </w:p>
    <w:p w14:paraId="14913851">
      <w:pPr>
        <w:spacing w:line="360" w:lineRule="auto"/>
        <w:ind w:firstLine="640" w:firstLineChars="200"/>
        <w:outlineLvl w:val="2"/>
        <w:rPr>
          <w:rFonts w:ascii="Times New Roman" w:hAnsi="Times New Roman" w:eastAsia="仿宋_GB2312" w:cs="Times New Roman"/>
        </w:rPr>
      </w:pPr>
      <w:r>
        <w:rPr>
          <w:rFonts w:hint="eastAsia" w:ascii="Times New Roman" w:hAnsi="Times New Roman" w:eastAsia="仿宋_GB2312" w:cs="Times New Roman"/>
        </w:rPr>
        <w:t>4.乡村产业项目布局要求</w:t>
      </w:r>
    </w:p>
    <w:p w14:paraId="05AD8639">
      <w:pPr>
        <w:widowControl/>
        <w:spacing w:line="360" w:lineRule="auto"/>
        <w:ind w:firstLine="641"/>
        <w:rPr>
          <w:rFonts w:ascii="Times New Roman" w:hAnsi="Times New Roman" w:eastAsia="仿宋_GB2312" w:cs="Times New Roman"/>
        </w:rPr>
      </w:pPr>
      <w:r>
        <w:rPr>
          <w:rFonts w:ascii="Times New Roman" w:hAnsi="Times New Roman" w:eastAsia="仿宋_GB2312" w:cs="Times New Roman"/>
        </w:rPr>
        <w:t>除通用要求外，村庄产业用地选址布局还应当符合以下要求</w:t>
      </w:r>
      <w:r>
        <w:rPr>
          <w:rFonts w:hint="eastAsia" w:ascii="Times New Roman" w:hAnsi="Times New Roman" w:eastAsia="仿宋_GB2312" w:cs="Times New Roman"/>
        </w:rPr>
        <w:t>：</w:t>
      </w:r>
    </w:p>
    <w:p w14:paraId="42497C6B">
      <w:pPr>
        <w:widowControl/>
        <w:spacing w:line="360" w:lineRule="auto"/>
        <w:ind w:firstLine="641"/>
        <w:rPr>
          <w:rFonts w:ascii="Times New Roman" w:hAnsi="Times New Roman" w:eastAsia="仿宋_GB2312" w:cs="Times New Roman"/>
          <w:color w:val="auto"/>
        </w:rPr>
      </w:pPr>
      <w:r>
        <w:rPr>
          <w:rFonts w:hint="eastAsia" w:ascii="Times New Roman" w:hAnsi="Times New Roman" w:eastAsia="仿宋_GB2312" w:cs="Times New Roman"/>
        </w:rPr>
        <w:t>（1）</w:t>
      </w:r>
      <w:r>
        <w:rPr>
          <w:rFonts w:ascii="Times New Roman" w:hAnsi="Times New Roman" w:eastAsia="仿宋_GB2312" w:cs="Times New Roman"/>
        </w:rPr>
        <w:t>乡村产业项目选址应综合考虑现状交通基础、基础设施接入条件、形态管控等要求，按照国家、省、市有关文件精神，因地制宜、统筹布局</w:t>
      </w:r>
      <w:r>
        <w:rPr>
          <w:rFonts w:hint="eastAsia" w:ascii="Times New Roman" w:hAnsi="Times New Roman" w:eastAsia="仿宋_GB2312" w:cs="Times New Roman"/>
        </w:rPr>
        <w:t>，</w:t>
      </w:r>
      <w:r>
        <w:rPr>
          <w:rFonts w:ascii="Times New Roman" w:hAnsi="Times New Roman" w:eastAsia="仿宋_GB2312" w:cs="Times New Roman"/>
          <w:color w:val="auto"/>
        </w:rPr>
        <w:t>优</w:t>
      </w:r>
      <w:r>
        <w:rPr>
          <w:rFonts w:hint="eastAsia" w:ascii="Times New Roman" w:hAnsi="Times New Roman" w:eastAsia="仿宋_GB2312" w:cs="Times New Roman"/>
          <w:color w:val="auto"/>
        </w:rPr>
        <w:t>先盘活高岳、矿山集采煤沉陷治理稳定区</w:t>
      </w:r>
      <w:r>
        <w:rPr>
          <w:rFonts w:ascii="Times New Roman" w:hAnsi="Times New Roman" w:eastAsia="仿宋_GB2312" w:cs="Times New Roman"/>
          <w:color w:val="auto"/>
        </w:rPr>
        <w:t>、工矿废弃地等存量建设用地发展乡村产业，支持 “生态修复 + 产业” 融合模式</w:t>
      </w:r>
      <w:r>
        <w:rPr>
          <w:rFonts w:hint="eastAsia" w:ascii="Times New Roman" w:hAnsi="Times New Roman" w:eastAsia="仿宋_GB2312" w:cs="Times New Roman"/>
          <w:color w:val="auto"/>
        </w:rPr>
        <w:t>。</w:t>
      </w:r>
    </w:p>
    <w:p w14:paraId="52BD8944">
      <w:pPr>
        <w:widowControl/>
        <w:spacing w:line="360" w:lineRule="auto"/>
        <w:ind w:firstLine="641"/>
        <w:rPr>
          <w:rFonts w:ascii="仿宋_GB2312" w:hAnsi="Times New Roman" w:eastAsia="仿宋_GB2312" w:cs="Times New Roman"/>
        </w:rPr>
      </w:pPr>
      <w:r>
        <w:rPr>
          <w:rFonts w:hint="eastAsia" w:ascii="仿宋_GB2312" w:hAnsi="Times New Roman" w:eastAsia="仿宋_GB2312" w:cs="Times New Roman"/>
        </w:rPr>
        <w:t>（2）符合农村一二三产业融合发展的农产品加工、电子商务、仓储保鲜冷链、产地低温直销配送等产业项目或乡村旅游项目，对因利用本村农业资源确实需要零星分布的生产配套设施建设，可在不占用永久基本农田、不突破国土空间规划建设用地指标等约束条件、不破坏生态环境和乡村风貌的前提下，在村庄建设边界外安排少量建设用地，并依法办理农用地转用审批和供地手续。</w:t>
      </w:r>
    </w:p>
    <w:p w14:paraId="331D5C9C">
      <w:pPr>
        <w:pStyle w:val="26"/>
        <w:keepNext w:val="0"/>
        <w:keepLines w:val="0"/>
        <w:pageBreakBefore w:val="0"/>
        <w:widowControl w:val="0"/>
        <w:kinsoku/>
        <w:wordWrap/>
        <w:overflowPunct/>
        <w:topLinePunct w:val="0"/>
        <w:autoSpaceDE/>
        <w:autoSpaceDN/>
        <w:bidi w:val="0"/>
        <w:adjustRightInd/>
        <w:snapToGrid/>
        <w:spacing w:line="360" w:lineRule="auto"/>
        <w:ind w:left="0" w:firstLine="640" w:firstLineChars="200"/>
        <w:textAlignment w:val="auto"/>
        <w:rPr>
          <w:rFonts w:hint="eastAsia" w:ascii="仿宋_GB2312" w:hAnsi="Times New Roman" w:eastAsia="仿宋_GB2312" w:cs="Times New Roman"/>
          <w:sz w:val="32"/>
          <w:szCs w:val="32"/>
        </w:rPr>
      </w:pPr>
      <w:bookmarkStart w:id="28" w:name="OLE_LINK311"/>
      <w:bookmarkStart w:id="29" w:name="OLE_LINK312"/>
      <w:r>
        <w:rPr>
          <w:rFonts w:hint="eastAsia" w:ascii="仿宋_GB2312" w:hAnsi="Times New Roman" w:eastAsia="仿宋_GB2312" w:cs="Times New Roman"/>
          <w:sz w:val="32"/>
          <w:szCs w:val="32"/>
        </w:rPr>
        <w:t>（3）</w:t>
      </w:r>
      <w:bookmarkEnd w:id="28"/>
      <w:bookmarkEnd w:id="29"/>
      <w:r>
        <w:rPr>
          <w:rFonts w:hint="eastAsia" w:ascii="仿宋_GB2312" w:hAnsi="Times New Roman" w:eastAsia="仿宋_GB2312" w:cs="Times New Roman"/>
          <w:sz w:val="32"/>
          <w:szCs w:val="32"/>
        </w:rPr>
        <w:t>村庄综合能源站（加油、加气、充电等）宜靠近公路布局。村庄综合能源站的选址还应符合有关规划、环境保护和防火安全等要求，并应选在交通便利、用户使用方便的地点。</w:t>
      </w:r>
    </w:p>
    <w:p w14:paraId="5EC952BC">
      <w:pPr>
        <w:pStyle w:val="26"/>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eastAsia="仿宋_GB2312" w:cs="Times New Roman"/>
          <w:sz w:val="32"/>
          <w:szCs w:val="32"/>
        </w:rPr>
      </w:pPr>
      <w:r>
        <w:rPr>
          <w:rFonts w:hint="eastAsia" w:ascii="仿宋_GB2312" w:hAnsi="Times New Roman" w:eastAsia="仿宋_GB2312" w:cs="Times New Roman"/>
          <w:sz w:val="32"/>
          <w:szCs w:val="32"/>
          <w:lang w:val="en-US" w:eastAsia="zh-CN"/>
        </w:rPr>
        <w:t>5.</w:t>
      </w:r>
      <w:r>
        <w:rPr>
          <w:rFonts w:hint="eastAsia" w:ascii="Times New Roman" w:hAnsi="Times New Roman" w:eastAsia="仿宋_GB2312" w:cs="Times New Roman"/>
          <w:sz w:val="32"/>
          <w:szCs w:val="32"/>
        </w:rPr>
        <w:t>乡村设施农用地布局要求</w:t>
      </w:r>
    </w:p>
    <w:p w14:paraId="18CAD88B">
      <w:pPr>
        <w:pStyle w:val="26"/>
        <w:keepNext w:val="0"/>
        <w:keepLines w:val="0"/>
        <w:pageBreakBefore w:val="0"/>
        <w:widowControl w:val="0"/>
        <w:kinsoku/>
        <w:wordWrap/>
        <w:overflowPunct/>
        <w:topLinePunct w:val="0"/>
        <w:autoSpaceDE/>
        <w:autoSpaceDN/>
        <w:bidi w:val="0"/>
        <w:adjustRightInd/>
        <w:snapToGrid/>
        <w:spacing w:line="360" w:lineRule="auto"/>
        <w:ind w:left="11" w:firstLine="640" w:firstLineChars="200"/>
        <w:jc w:val="left"/>
        <w:textAlignment w:val="auto"/>
        <w:rPr>
          <w:rFonts w:ascii="仿宋_GB2312" w:hAnsi="Times New Roman" w:eastAsia="仿宋_GB2312" w:cs="Times New Roman"/>
          <w:sz w:val="32"/>
          <w:szCs w:val="32"/>
        </w:rPr>
      </w:pPr>
      <w:r>
        <w:rPr>
          <w:rFonts w:hint="eastAsia" w:ascii="仿宋_GB2312" w:hAnsi="Times New Roman" w:eastAsia="仿宋_GB2312" w:cs="Times New Roman"/>
          <w:sz w:val="32"/>
          <w:szCs w:val="32"/>
        </w:rPr>
        <w:t>设施农用地按农用地管理，不属于建设用地，仅限直接服务农业生产的生产设施、附属设施；严禁借以设施农用地名义搞非农建设、废品堆场、经营性加工、永久住宅。</w:t>
      </w:r>
    </w:p>
    <w:p w14:paraId="4E8CB054">
      <w:pPr>
        <w:pStyle w:val="26"/>
        <w:keepNext w:val="0"/>
        <w:keepLines w:val="0"/>
        <w:pageBreakBefore w:val="0"/>
        <w:widowControl w:val="0"/>
        <w:kinsoku/>
        <w:wordWrap/>
        <w:overflowPunct/>
        <w:topLinePunct w:val="0"/>
        <w:autoSpaceDE/>
        <w:autoSpaceDN/>
        <w:bidi w:val="0"/>
        <w:adjustRightInd/>
        <w:snapToGrid/>
        <w:spacing w:line="360" w:lineRule="auto"/>
        <w:ind w:left="0" w:firstLine="640" w:firstLineChars="200"/>
        <w:textAlignment w:val="auto"/>
        <w:rPr>
          <w:rFonts w:ascii="仿宋_GB2312" w:hAnsi="Times New Roman" w:eastAsia="仿宋_GB2312" w:cs="Times New Roman"/>
          <w:sz w:val="32"/>
          <w:szCs w:val="32"/>
        </w:rPr>
      </w:pPr>
      <w:r>
        <w:rPr>
          <w:rFonts w:hint="eastAsia" w:ascii="仿宋_GB2312" w:hAnsi="Times New Roman" w:eastAsia="仿宋_GB2312" w:cs="Times New Roman"/>
          <w:sz w:val="32"/>
          <w:szCs w:val="32"/>
        </w:rPr>
        <w:t>选址应当符合农业产业发展规划，优先配套规模化农业生产片区，就近服务农业生产。优先选用荒山、荒坡、荒滩、低效闲置农用地、村内闲置边角地；确需占用一般耕地的，需落实耕地进出平衡。</w:t>
      </w:r>
    </w:p>
    <w:p w14:paraId="724AE91B">
      <w:pPr>
        <w:pStyle w:val="26"/>
        <w:keepNext w:val="0"/>
        <w:keepLines w:val="0"/>
        <w:pageBreakBefore w:val="0"/>
        <w:widowControl w:val="0"/>
        <w:kinsoku/>
        <w:wordWrap/>
        <w:overflowPunct/>
        <w:topLinePunct w:val="0"/>
        <w:autoSpaceDE/>
        <w:autoSpaceDN/>
        <w:bidi w:val="0"/>
        <w:adjustRightInd/>
        <w:snapToGrid/>
        <w:spacing w:line="360" w:lineRule="auto"/>
        <w:ind w:left="0" w:firstLine="640" w:firstLineChars="200"/>
        <w:textAlignment w:val="auto"/>
        <w:rPr>
          <w:rFonts w:ascii="仿宋_GB2312" w:hAnsi="Times New Roman" w:eastAsia="仿宋_GB2312" w:cs="Times New Roman"/>
          <w:sz w:val="32"/>
          <w:szCs w:val="32"/>
        </w:rPr>
      </w:pPr>
      <w:r>
        <w:rPr>
          <w:rFonts w:hint="eastAsia" w:ascii="仿宋_GB2312" w:hAnsi="Times New Roman" w:eastAsia="仿宋_GB2312" w:cs="Times New Roman"/>
          <w:sz w:val="32"/>
          <w:szCs w:val="32"/>
        </w:rPr>
        <w:t>距离村庄集中居住点、学校、医院等敏感区域距离应符合环保卫生防护距离要求，减少异味、粪污扰民。</w:t>
      </w:r>
    </w:p>
    <w:p w14:paraId="5D46F94F">
      <w:pPr>
        <w:pStyle w:val="26"/>
        <w:keepNext w:val="0"/>
        <w:keepLines w:val="0"/>
        <w:pageBreakBefore w:val="0"/>
        <w:widowControl w:val="0"/>
        <w:kinsoku/>
        <w:wordWrap/>
        <w:overflowPunct/>
        <w:topLinePunct w:val="0"/>
        <w:autoSpaceDE/>
        <w:autoSpaceDN/>
        <w:bidi w:val="0"/>
        <w:adjustRightInd/>
        <w:snapToGrid/>
        <w:spacing w:line="360" w:lineRule="auto"/>
        <w:ind w:left="0" w:firstLine="640" w:firstLineChars="200"/>
        <w:textAlignment w:val="auto"/>
        <w:rPr>
          <w:rFonts w:ascii="仿宋_GB2312" w:hAnsi="Times New Roman" w:eastAsia="仿宋_GB2312" w:cs="Times New Roman"/>
          <w:sz w:val="32"/>
          <w:szCs w:val="32"/>
        </w:rPr>
      </w:pPr>
      <w:r>
        <w:rPr>
          <w:rFonts w:hint="eastAsia" w:ascii="仿宋_GB2312" w:hAnsi="Times New Roman" w:eastAsia="仿宋_GB2312" w:cs="Times New Roman"/>
          <w:sz w:val="32"/>
          <w:szCs w:val="32"/>
        </w:rPr>
        <w:t>设施农用地规划落图不单独编制图则，其用地规模及选址意见以乡镇（街道办）农业农村部门及乡镇自然资源和规划所意见为准。涉及林业、水利、生态环境等部门的，经营者应征求相关部门意见。具体备案监管应符合《安徽省自然资源厅 安徽省农业农村厅关于做好设施农用地管理有关工作的通知》（皖自然资耕〔2026〕1号）等相关政策文件要求。</w:t>
      </w:r>
    </w:p>
    <w:p w14:paraId="2043B42A">
      <w:pPr>
        <w:widowControl/>
        <w:spacing w:line="360" w:lineRule="auto"/>
        <w:ind w:firstLine="641"/>
        <w:rPr>
          <w:rFonts w:ascii="Times New Roman" w:hAnsi="Times New Roman" w:eastAsia="仿宋_GB2312" w:cs="Times New Roman"/>
          <w:color w:val="FF0000"/>
        </w:rPr>
      </w:pPr>
      <w:r>
        <w:rPr>
          <w:rFonts w:hint="eastAsia" w:ascii="Times New Roman" w:hAnsi="Times New Roman" w:eastAsia="仿宋_GB2312" w:cs="Times New Roman"/>
          <w:color w:val="auto"/>
        </w:rPr>
        <w:t>生态文旅、休闲农业项目可依托百莲百荷景区、龙脊天路沿线、沉陷区生态养殖基地等特色资源，在生态保护红线外合理点状布局配套服务设施，严格控制建设用地规模，建筑风貌与自然生态、乡村肌理相协调。</w:t>
      </w:r>
      <w:r>
        <w:rPr>
          <w:rFonts w:hint="eastAsia" w:ascii="Times New Roman" w:hAnsi="Times New Roman" w:eastAsia="仿宋_GB2312" w:cs="Times New Roman"/>
          <w:color w:val="FF0000"/>
        </w:rPr>
        <w:t xml:space="preserve"> </w:t>
      </w:r>
    </w:p>
    <w:p w14:paraId="10F462F1">
      <w:pPr>
        <w:pStyle w:val="26"/>
        <w:numPr>
          <w:ilvl w:val="0"/>
          <w:numId w:val="0"/>
        </w:numPr>
        <w:spacing w:line="360" w:lineRule="auto"/>
        <w:ind w:left="0" w:leftChars="0" w:firstLine="643" w:firstLineChars="200"/>
        <w:outlineLvl w:val="1"/>
        <w:rPr>
          <w:rFonts w:ascii="Times New Roman" w:hAnsi="Times New Roman" w:eastAsia="仿宋_GB2312" w:cs="Times New Roman"/>
          <w:b/>
          <w:bCs/>
          <w:sz w:val="32"/>
          <w:szCs w:val="32"/>
        </w:rPr>
      </w:pPr>
      <w:r>
        <w:rPr>
          <w:rFonts w:hint="eastAsia" w:ascii="Times New Roman" w:hAnsi="Times New Roman" w:eastAsia="仿宋_GB2312" w:cs="Times New Roman"/>
          <w:b/>
          <w:bCs/>
          <w:kern w:val="2"/>
          <w:sz w:val="32"/>
          <w:szCs w:val="40"/>
          <w:lang w:val="en-US" w:eastAsia="zh-CN" w:bidi="ar-SA"/>
        </w:rPr>
        <w:t>第12条</w:t>
      </w:r>
      <w:r>
        <w:rPr>
          <w:rFonts w:ascii="Times New Roman" w:hAnsi="Times New Roman" w:eastAsia="仿宋_GB2312" w:cs="Times New Roman"/>
          <w:b/>
          <w:bCs/>
          <w:sz w:val="32"/>
          <w:szCs w:val="32"/>
        </w:rPr>
        <w:t xml:space="preserve"> 建设控制</w:t>
      </w:r>
    </w:p>
    <w:p w14:paraId="573B99F3">
      <w:pPr>
        <w:pStyle w:val="5"/>
        <w:spacing w:line="360" w:lineRule="auto"/>
        <w:ind w:firstLine="640"/>
        <w:rPr>
          <w:rFonts w:ascii="Times New Roman" w:hAnsi="Times New Roman" w:eastAsia="仿宋_GB2312" w:cs="Times New Roman"/>
        </w:rPr>
      </w:pPr>
      <w:r>
        <w:rPr>
          <w:rFonts w:hint="eastAsia" w:ascii="Times New Roman" w:hAnsi="Times New Roman" w:eastAsia="仿宋_GB2312" w:cs="Times New Roman"/>
        </w:rPr>
        <w:t>乡村地区</w:t>
      </w:r>
      <w:r>
        <w:rPr>
          <w:rFonts w:ascii="Times New Roman" w:hAnsi="Times New Roman" w:eastAsia="仿宋_GB2312" w:cs="Times New Roman"/>
        </w:rPr>
        <w:t>建设项目用地应当按照国家、省、</w:t>
      </w:r>
      <w:r>
        <w:rPr>
          <w:rFonts w:hint="eastAsia" w:ascii="Times New Roman" w:hAnsi="Times New Roman" w:eastAsia="仿宋_GB2312" w:cs="Times New Roman"/>
        </w:rPr>
        <w:t>地方</w:t>
      </w:r>
      <w:r>
        <w:rPr>
          <w:rFonts w:ascii="Times New Roman" w:hAnsi="Times New Roman" w:eastAsia="仿宋_GB2312" w:cs="Times New Roman"/>
        </w:rPr>
        <w:t>等相关规定，符合相应建筑退让、建筑高度、容积率、建筑风貌、建筑形式、</w:t>
      </w:r>
      <w:r>
        <w:rPr>
          <w:rFonts w:hint="eastAsia" w:ascii="Times New Roman" w:hAnsi="Times New Roman" w:eastAsia="仿宋_GB2312" w:cs="Times New Roman"/>
          <w:szCs w:val="32"/>
        </w:rPr>
        <w:t>配建设施等控制要求。</w:t>
      </w:r>
    </w:p>
    <w:p w14:paraId="6E356091">
      <w:pPr>
        <w:pStyle w:val="5"/>
        <w:spacing w:line="360" w:lineRule="auto"/>
        <w:ind w:firstLine="640"/>
        <w:rPr>
          <w:rFonts w:ascii="Times New Roman" w:hAnsi="Times New Roman" w:eastAsia="仿宋_GB2312" w:cs="Times New Roman"/>
          <w:szCs w:val="32"/>
        </w:rPr>
      </w:pPr>
      <w:r>
        <w:rPr>
          <w:rFonts w:ascii="Times New Roman" w:hAnsi="Times New Roman" w:eastAsia="仿宋_GB2312" w:cs="Times New Roman"/>
        </w:rPr>
        <w:t>1.</w:t>
      </w:r>
      <w:r>
        <w:rPr>
          <w:rFonts w:hint="eastAsia" w:ascii="Times New Roman" w:hAnsi="Times New Roman" w:eastAsia="仿宋_GB2312" w:cs="Times New Roman"/>
          <w:szCs w:val="32"/>
        </w:rPr>
        <w:t>建筑间距控制。</w:t>
      </w:r>
    </w:p>
    <w:p w14:paraId="702D3BFB">
      <w:pPr>
        <w:pStyle w:val="5"/>
        <w:spacing w:line="360" w:lineRule="auto"/>
        <w:ind w:firstLine="640"/>
        <w:rPr>
          <w:rFonts w:ascii="Times New Roman" w:hAnsi="Times New Roman" w:eastAsia="仿宋_GB2312" w:cs="Times New Roman"/>
          <w:szCs w:val="32"/>
        </w:rPr>
      </w:pPr>
      <w:r>
        <w:rPr>
          <w:rFonts w:hint="eastAsia" w:ascii="Times New Roman" w:hAnsi="Times New Roman" w:eastAsia="仿宋_GB2312" w:cs="Times New Roman"/>
          <w:szCs w:val="32"/>
        </w:rPr>
        <w:t>建筑间距应不妨害周边地块相关权益，应保证相邻房屋的正常采光和通行要求，并符合《农村防火规范》（</w:t>
      </w:r>
      <w:r>
        <w:rPr>
          <w:rFonts w:ascii="Times New Roman" w:hAnsi="Times New Roman" w:eastAsia="仿宋_GB2312" w:cs="Times New Roman"/>
          <w:szCs w:val="32"/>
        </w:rPr>
        <w:t>GB 50039-2010</w:t>
      </w:r>
      <w:r>
        <w:rPr>
          <w:rFonts w:hint="eastAsia" w:ascii="Times New Roman" w:hAnsi="Times New Roman" w:eastAsia="仿宋_GB2312" w:cs="Times New Roman"/>
          <w:szCs w:val="32"/>
        </w:rPr>
        <w:t>）、《建筑防火通用规范》（</w:t>
      </w:r>
      <w:r>
        <w:rPr>
          <w:rFonts w:ascii="Times New Roman" w:hAnsi="Times New Roman" w:eastAsia="仿宋_GB2312" w:cs="Times New Roman"/>
          <w:szCs w:val="32"/>
        </w:rPr>
        <w:t>GB 50037-2022</w:t>
      </w:r>
      <w:r>
        <w:rPr>
          <w:rFonts w:hint="eastAsia" w:ascii="Times New Roman" w:hAnsi="Times New Roman" w:eastAsia="仿宋_GB2312" w:cs="Times New Roman"/>
          <w:szCs w:val="32"/>
        </w:rPr>
        <w:t>）、《建筑设计防火规范》（</w:t>
      </w:r>
      <w:r>
        <w:rPr>
          <w:rFonts w:ascii="Times New Roman" w:hAnsi="Times New Roman" w:eastAsia="仿宋_GB2312" w:cs="Times New Roman"/>
          <w:szCs w:val="32"/>
        </w:rPr>
        <w:t>GB50016-2014</w:t>
      </w:r>
      <w:r>
        <w:rPr>
          <w:rFonts w:hint="eastAsia" w:ascii="Times New Roman" w:hAnsi="Times New Roman" w:eastAsia="仿宋_GB2312" w:cs="Times New Roman"/>
          <w:szCs w:val="32"/>
        </w:rPr>
        <w:t>〔</w:t>
      </w:r>
      <w:r>
        <w:rPr>
          <w:rFonts w:ascii="Times New Roman" w:hAnsi="Times New Roman" w:eastAsia="仿宋_GB2312" w:cs="Times New Roman"/>
          <w:szCs w:val="32"/>
        </w:rPr>
        <w:t xml:space="preserve">2018 </w:t>
      </w:r>
      <w:r>
        <w:rPr>
          <w:rFonts w:hint="eastAsia" w:ascii="Times New Roman" w:hAnsi="Times New Roman" w:eastAsia="仿宋_GB2312" w:cs="Times New Roman"/>
          <w:szCs w:val="32"/>
        </w:rPr>
        <w:t>年版〕）等相关要求和建设标准。</w:t>
      </w:r>
    </w:p>
    <w:p w14:paraId="1BD9A58F">
      <w:pPr>
        <w:pStyle w:val="5"/>
        <w:spacing w:line="360" w:lineRule="auto"/>
        <w:ind w:firstLine="640"/>
        <w:outlineLvl w:val="2"/>
        <w:rPr>
          <w:rFonts w:ascii="Times New Roman" w:hAnsi="Times New Roman" w:eastAsia="仿宋_GB2312" w:cs="Times New Roman"/>
        </w:rPr>
      </w:pPr>
      <w:r>
        <w:rPr>
          <w:rFonts w:ascii="Times New Roman" w:hAnsi="Times New Roman" w:eastAsia="仿宋_GB2312" w:cs="Times New Roman"/>
          <w:szCs w:val="32"/>
        </w:rPr>
        <w:t>2.</w:t>
      </w:r>
      <w:r>
        <w:rPr>
          <w:rFonts w:hint="eastAsia" w:ascii="Times New Roman" w:hAnsi="Times New Roman" w:eastAsia="仿宋_GB2312" w:cs="Times New Roman"/>
          <w:szCs w:val="32"/>
        </w:rPr>
        <w:t>建筑退让距离控制</w:t>
      </w:r>
    </w:p>
    <w:p w14:paraId="4514E89C">
      <w:pPr>
        <w:pStyle w:val="5"/>
        <w:spacing w:line="360" w:lineRule="auto"/>
        <w:ind w:firstLine="640"/>
        <w:rPr>
          <w:rFonts w:ascii="Times New Roman" w:hAnsi="Times New Roman" w:eastAsia="仿宋_GB2312" w:cs="Times New Roman"/>
          <w:szCs w:val="32"/>
        </w:rPr>
      </w:pPr>
      <w:r>
        <w:rPr>
          <w:rFonts w:hint="eastAsia" w:ascii="Times New Roman" w:hAnsi="Times New Roman" w:eastAsia="仿宋_GB2312" w:cs="Times New Roman"/>
          <w:szCs w:val="32"/>
        </w:rPr>
        <w:t>建筑后退铁路、公路、城市道路、河道、架空电力线路、</w:t>
      </w:r>
      <w:r>
        <w:rPr>
          <w:rFonts w:hint="eastAsia" w:ascii="Times New Roman" w:hAnsi="Times New Roman" w:eastAsia="仿宋_GB2312" w:cs="Times New Roman"/>
          <w:szCs w:val="32"/>
          <w:lang w:eastAsia="zh-CN"/>
        </w:rPr>
        <w:t>天然气</w:t>
      </w:r>
      <w:r>
        <w:rPr>
          <w:rFonts w:hint="eastAsia" w:ascii="Times New Roman" w:hAnsi="Times New Roman" w:eastAsia="仿宋_GB2312" w:cs="Times New Roman"/>
          <w:szCs w:val="32"/>
        </w:rPr>
        <w:t>管道等的距在符合底线管控以及消防、施工、安全等要求的前提下，建筑后退用地边界可不作要求，涉及城镇道路的参照《淮北市国土空间详细规划技术管理导则》执行。</w:t>
      </w:r>
    </w:p>
    <w:p w14:paraId="1A975ABB">
      <w:pPr>
        <w:pStyle w:val="5"/>
        <w:spacing w:line="360" w:lineRule="auto"/>
        <w:ind w:firstLine="640"/>
        <w:rPr>
          <w:rFonts w:ascii="Times New Roman" w:hAnsi="Times New Roman" w:eastAsia="仿宋_GB2312" w:cs="Times New Roman"/>
          <w:szCs w:val="32"/>
          <w:highlight w:val="yellow"/>
        </w:rPr>
      </w:pPr>
      <w:r>
        <w:rPr>
          <w:rFonts w:hint="eastAsia" w:ascii="Times New Roman" w:hAnsi="Times New Roman" w:eastAsia="仿宋_GB2312" w:cs="Times New Roman"/>
          <w:szCs w:val="32"/>
        </w:rPr>
        <w:t>建筑退让铁路应满足《铁路安全管理条例》要求。建筑退让公路应满足《安徽省公路安全保护条例》要求。新建农村建筑退村内部道路宜</w:t>
      </w:r>
      <w:r>
        <w:rPr>
          <w:rFonts w:ascii="Times New Roman" w:hAnsi="Times New Roman" w:eastAsia="仿宋_GB2312" w:cs="Times New Roman"/>
          <w:szCs w:val="32"/>
        </w:rPr>
        <w:t>1</w:t>
      </w:r>
      <w:r>
        <w:rPr>
          <w:rFonts w:hint="eastAsia" w:ascii="Times New Roman" w:hAnsi="Times New Roman" w:eastAsia="仿宋_GB2312" w:cs="Times New Roman"/>
          <w:szCs w:val="32"/>
        </w:rPr>
        <w:t>米以上，临路方向后退距离如村内有约定的，按照约定退让距离执行。建筑退让河道应满足《安徽省河道管理范围内建设项目管理办法》及河道保护专项规划要求，未明确保护要求沿河道建设的，建设前需征求河道管理部门意见。</w:t>
      </w:r>
    </w:p>
    <w:p w14:paraId="57847854">
      <w:pPr>
        <w:pStyle w:val="5"/>
        <w:spacing w:line="360" w:lineRule="auto"/>
        <w:ind w:firstLine="640"/>
        <w:rPr>
          <w:rFonts w:ascii="Times New Roman" w:hAnsi="Times New Roman" w:eastAsia="仿宋_GB2312" w:cs="Times New Roman"/>
          <w:szCs w:val="32"/>
        </w:rPr>
      </w:pPr>
      <w:r>
        <w:rPr>
          <w:rFonts w:ascii="Times New Roman" w:hAnsi="Times New Roman" w:eastAsia="仿宋_GB2312" w:cs="Times New Roman"/>
          <w:szCs w:val="32"/>
        </w:rPr>
        <w:t>新建</w:t>
      </w:r>
      <w:r>
        <w:rPr>
          <w:rFonts w:hint="eastAsia" w:ascii="Times New Roman" w:hAnsi="Times New Roman" w:eastAsia="仿宋_GB2312" w:cs="Times New Roman"/>
          <w:szCs w:val="32"/>
        </w:rPr>
        <w:t>建筑</w:t>
      </w:r>
      <w:r>
        <w:rPr>
          <w:rFonts w:ascii="Times New Roman" w:hAnsi="Times New Roman" w:eastAsia="仿宋_GB2312" w:cs="Times New Roman"/>
          <w:szCs w:val="32"/>
        </w:rPr>
        <w:t>间距应不妨害相邻权、地役权，应保证相邻房屋的正常采光和通行要求，并符合现行农村防火规范、建筑设计防火规范等相关要求和建设标准。</w:t>
      </w:r>
    </w:p>
    <w:p w14:paraId="58F75A8C">
      <w:pPr>
        <w:pStyle w:val="5"/>
        <w:spacing w:line="360" w:lineRule="auto"/>
        <w:ind w:firstLine="640"/>
        <w:outlineLvl w:val="2"/>
        <w:rPr>
          <w:rFonts w:ascii="Times New Roman" w:hAnsi="Times New Roman" w:eastAsia="仿宋_GB2312" w:cs="Times New Roman"/>
        </w:rPr>
      </w:pPr>
      <w:r>
        <w:rPr>
          <w:rFonts w:ascii="Times New Roman" w:hAnsi="Times New Roman" w:eastAsia="仿宋_GB2312" w:cs="Times New Roman"/>
          <w:szCs w:val="32"/>
        </w:rPr>
        <w:t>3.</w:t>
      </w:r>
      <w:r>
        <w:rPr>
          <w:rFonts w:hint="eastAsia" w:ascii="Times New Roman" w:hAnsi="Times New Roman" w:eastAsia="仿宋_GB2312" w:cs="Times New Roman"/>
          <w:szCs w:val="32"/>
        </w:rPr>
        <w:t>建筑高度</w:t>
      </w:r>
    </w:p>
    <w:p w14:paraId="66A54CFF">
      <w:pPr>
        <w:pStyle w:val="5"/>
        <w:spacing w:line="360" w:lineRule="auto"/>
        <w:ind w:firstLine="640"/>
        <w:rPr>
          <w:rFonts w:ascii="Times New Roman" w:hAnsi="Times New Roman" w:eastAsia="仿宋_GB2312" w:cs="Times New Roman"/>
          <w:szCs w:val="32"/>
        </w:rPr>
      </w:pPr>
      <w:r>
        <w:rPr>
          <w:rFonts w:hint="eastAsia" w:ascii="Times New Roman" w:hAnsi="Times New Roman" w:eastAsia="仿宋_GB2312" w:cs="Times New Roman"/>
          <w:szCs w:val="32"/>
        </w:rPr>
        <w:t>矿山集街道、高岳街道乡村地区</w:t>
      </w:r>
      <w:r>
        <w:rPr>
          <w:rFonts w:ascii="Times New Roman" w:hAnsi="Times New Roman" w:eastAsia="仿宋_GB2312" w:cs="Times New Roman"/>
          <w:szCs w:val="32"/>
        </w:rPr>
        <w:t>建设的建筑高度应符合以下规定</w:t>
      </w:r>
      <w:r>
        <w:rPr>
          <w:rFonts w:hint="eastAsia" w:ascii="Times New Roman" w:hAnsi="Times New Roman" w:eastAsia="仿宋_GB2312" w:cs="Times New Roman"/>
          <w:szCs w:val="32"/>
        </w:rPr>
        <w:t>：</w:t>
      </w:r>
    </w:p>
    <w:p w14:paraId="196BAD2B">
      <w:pPr>
        <w:pStyle w:val="5"/>
        <w:spacing w:line="360" w:lineRule="auto"/>
        <w:ind w:firstLine="640"/>
        <w:rPr>
          <w:rFonts w:ascii="Times New Roman" w:hAnsi="Times New Roman" w:eastAsia="仿宋_GB2312" w:cs="Times New Roman"/>
          <w:szCs w:val="32"/>
        </w:rPr>
      </w:pPr>
      <w:r>
        <w:rPr>
          <w:rFonts w:ascii="Times New Roman" w:hAnsi="Times New Roman" w:eastAsia="仿宋_GB2312" w:cs="Times New Roman"/>
          <w:szCs w:val="32"/>
        </w:rPr>
        <w:t>（1）</w:t>
      </w:r>
      <w:r>
        <w:rPr>
          <w:rFonts w:ascii="Times New Roman" w:hAnsi="Times New Roman" w:eastAsia="仿宋_GB2312" w:cs="Times New Roman"/>
          <w:szCs w:val="32"/>
        </w:rPr>
        <w:tab/>
      </w:r>
      <w:r>
        <w:rPr>
          <w:rFonts w:ascii="Times New Roman" w:hAnsi="Times New Roman" w:eastAsia="仿宋_GB2312" w:cs="Times New Roman"/>
          <w:szCs w:val="32"/>
        </w:rPr>
        <w:t>农村村民住宅一般为2层，原则上不超过3层，层高不超过4米，引导错落有致布局</w:t>
      </w:r>
      <w:r>
        <w:rPr>
          <w:rFonts w:hint="eastAsia" w:ascii="Times New Roman" w:hAnsi="Times New Roman" w:eastAsia="仿宋_GB2312" w:cs="Times New Roman"/>
          <w:szCs w:val="32"/>
        </w:rPr>
        <w:t>；</w:t>
      </w:r>
    </w:p>
    <w:p w14:paraId="6BDDDF81">
      <w:pPr>
        <w:pStyle w:val="5"/>
        <w:spacing w:line="360" w:lineRule="auto"/>
        <w:ind w:firstLine="640"/>
        <w:rPr>
          <w:rFonts w:ascii="Times New Roman" w:hAnsi="Times New Roman" w:eastAsia="仿宋_GB2312" w:cs="Times New Roman"/>
        </w:rPr>
      </w:pPr>
      <w:r>
        <w:rPr>
          <w:rFonts w:hint="eastAsia" w:ascii="Times New Roman" w:hAnsi="Times New Roman" w:eastAsia="仿宋_GB2312" w:cs="Times New Roman"/>
          <w:szCs w:val="32"/>
        </w:rPr>
        <w:t>（</w:t>
      </w:r>
      <w:r>
        <w:rPr>
          <w:rFonts w:ascii="Times New Roman" w:hAnsi="Times New Roman" w:eastAsia="仿宋_GB2312" w:cs="Times New Roman"/>
          <w:szCs w:val="32"/>
        </w:rPr>
        <w:t>2</w:t>
      </w:r>
      <w:r>
        <w:rPr>
          <w:rFonts w:hint="eastAsia" w:ascii="Times New Roman" w:hAnsi="Times New Roman" w:eastAsia="仿宋_GB2312" w:cs="Times New Roman"/>
          <w:szCs w:val="32"/>
        </w:rPr>
        <w:t>）农村公共服务设施及基础设施建筑高度宜控制在</w:t>
      </w:r>
      <w:r>
        <w:rPr>
          <w:rFonts w:ascii="Times New Roman" w:hAnsi="Times New Roman" w:eastAsia="仿宋_GB2312" w:cs="Times New Roman"/>
          <w:szCs w:val="32"/>
        </w:rPr>
        <w:t>24</w:t>
      </w:r>
      <w:r>
        <w:rPr>
          <w:rFonts w:hint="eastAsia" w:ascii="Times New Roman" w:hAnsi="Times New Roman" w:eastAsia="仿宋_GB2312" w:cs="Times New Roman"/>
          <w:szCs w:val="32"/>
        </w:rPr>
        <w:t>米以下，农村小学、幼儿园的主要教学用房不应设在四层以上。</w:t>
      </w:r>
    </w:p>
    <w:p w14:paraId="16BC8E66">
      <w:pPr>
        <w:pStyle w:val="5"/>
        <w:spacing w:line="360" w:lineRule="auto"/>
        <w:ind w:firstLine="640"/>
        <w:rPr>
          <w:rFonts w:ascii="Times New Roman" w:hAnsi="Times New Roman" w:eastAsia="仿宋_GB2312" w:cs="Times New Roman"/>
          <w:szCs w:val="32"/>
        </w:rPr>
      </w:pPr>
      <w:r>
        <w:rPr>
          <w:rFonts w:hint="eastAsia" w:ascii="Times New Roman" w:hAnsi="Times New Roman" w:eastAsia="仿宋_GB2312" w:cs="Times New Roman"/>
          <w:szCs w:val="32"/>
        </w:rPr>
        <w:t>（</w:t>
      </w:r>
      <w:r>
        <w:rPr>
          <w:rFonts w:ascii="Times New Roman" w:hAnsi="Times New Roman" w:eastAsia="仿宋_GB2312" w:cs="Times New Roman"/>
          <w:szCs w:val="32"/>
        </w:rPr>
        <w:t>3</w:t>
      </w:r>
      <w:r>
        <w:rPr>
          <w:rFonts w:hint="eastAsia" w:ascii="Times New Roman" w:hAnsi="Times New Roman" w:eastAsia="仿宋_GB2312" w:cs="Times New Roman"/>
          <w:szCs w:val="32"/>
        </w:rPr>
        <w:t>）工业、仓储、商业服务业项目项目建筑高度宜控制在</w:t>
      </w:r>
      <w:r>
        <w:rPr>
          <w:rFonts w:ascii="Times New Roman" w:hAnsi="Times New Roman" w:eastAsia="仿宋_GB2312" w:cs="Times New Roman"/>
          <w:szCs w:val="32"/>
        </w:rPr>
        <w:t>24</w:t>
      </w:r>
      <w:r>
        <w:rPr>
          <w:rFonts w:hint="eastAsia" w:ascii="Times New Roman" w:hAnsi="Times New Roman" w:eastAsia="仿宋_GB2312" w:cs="Times New Roman"/>
          <w:szCs w:val="32"/>
        </w:rPr>
        <w:t>米以下，结合项目类型确需提高建筑高度的，在符合行业安全、消防管理要求的前提下，可以适当提高。</w:t>
      </w:r>
    </w:p>
    <w:p w14:paraId="4ECEEF7A">
      <w:pPr>
        <w:pStyle w:val="5"/>
        <w:spacing w:line="360" w:lineRule="auto"/>
        <w:ind w:firstLine="640"/>
        <w:rPr>
          <w:rFonts w:ascii="Times New Roman" w:hAnsi="Times New Roman" w:eastAsia="仿宋_GB2312" w:cs="Times New Roman"/>
          <w:szCs w:val="32"/>
        </w:rPr>
      </w:pPr>
      <w:r>
        <w:rPr>
          <w:rFonts w:ascii="Times New Roman" w:hAnsi="Times New Roman" w:eastAsia="仿宋_GB2312" w:cs="Times New Roman"/>
          <w:szCs w:val="32"/>
        </w:rPr>
        <w:t>4.</w:t>
      </w:r>
      <w:r>
        <w:rPr>
          <w:rFonts w:hint="eastAsia" w:ascii="Times New Roman" w:hAnsi="Times New Roman" w:eastAsia="仿宋_GB2312" w:cs="Times New Roman"/>
          <w:szCs w:val="32"/>
        </w:rPr>
        <w:t>容积率</w:t>
      </w:r>
    </w:p>
    <w:p w14:paraId="6EB1ECC0">
      <w:pPr>
        <w:pStyle w:val="5"/>
        <w:spacing w:line="360" w:lineRule="auto"/>
        <w:ind w:firstLine="640"/>
        <w:rPr>
          <w:rFonts w:ascii="Times New Roman" w:hAnsi="Times New Roman" w:eastAsia="仿宋_GB2312" w:cs="Times New Roman"/>
          <w:szCs w:val="32"/>
        </w:rPr>
      </w:pPr>
      <w:r>
        <w:rPr>
          <w:rFonts w:hint="eastAsia" w:ascii="Times New Roman" w:hAnsi="Times New Roman" w:eastAsia="仿宋_GB2312" w:cs="Times New Roman"/>
          <w:szCs w:val="32"/>
        </w:rPr>
        <w:t>项目容积率应依据立项的产业类型及建设规模，严格执行《安徽省建设用地使用标准》（以自然资源主管部门认可的现行有效版本为准）。</w:t>
      </w:r>
    </w:p>
    <w:p w14:paraId="07CCBF63">
      <w:pPr>
        <w:pStyle w:val="5"/>
        <w:spacing w:line="360" w:lineRule="auto"/>
        <w:ind w:firstLine="640"/>
        <w:rPr>
          <w:rFonts w:ascii="Times New Roman" w:hAnsi="Times New Roman" w:eastAsia="仿宋_GB2312" w:cs="Times New Roman"/>
          <w:szCs w:val="32"/>
        </w:rPr>
      </w:pPr>
      <w:r>
        <w:rPr>
          <w:rFonts w:ascii="Times New Roman" w:hAnsi="Times New Roman" w:eastAsia="仿宋_GB2312" w:cs="Times New Roman"/>
          <w:szCs w:val="32"/>
        </w:rPr>
        <w:t>5</w:t>
      </w:r>
      <w:r>
        <w:rPr>
          <w:rFonts w:hint="eastAsia" w:ascii="Times New Roman" w:hAnsi="Times New Roman" w:eastAsia="仿宋_GB2312" w:cs="Times New Roman"/>
          <w:szCs w:val="32"/>
        </w:rPr>
        <w:t>.建筑风貌指引</w:t>
      </w:r>
    </w:p>
    <w:p w14:paraId="0E3F8B6F">
      <w:pPr>
        <w:pStyle w:val="17"/>
        <w:widowControl w:val="0"/>
        <w:spacing w:before="0" w:beforeAutospacing="0" w:after="0" w:afterAutospacing="0" w:line="600" w:lineRule="exact"/>
        <w:ind w:firstLine="640" w:firstLineChars="200"/>
        <w:jc w:val="both"/>
        <w:rPr>
          <w:rFonts w:ascii="仿宋_GB2312" w:hAnsi="Calibri" w:eastAsia="仿宋_GB2312" w:cs="仿宋_GB2312"/>
          <w:color w:val="FF0000"/>
          <w:sz w:val="32"/>
          <w:szCs w:val="32"/>
        </w:rPr>
      </w:pPr>
      <w:r>
        <w:rPr>
          <w:rFonts w:hint="eastAsia" w:ascii="仿宋_GB2312" w:hAnsi="Calibri" w:eastAsia="仿宋_GB2312" w:cs="仿宋_GB2312"/>
          <w:color w:val="auto"/>
          <w:sz w:val="32"/>
          <w:szCs w:val="32"/>
        </w:rPr>
        <w:t>保护延续皖北平原村落传统风貌与工矿历史肌理，引导推进村庄有机更新。在维持村庄传统空间形态的基础上，对老旧民居、闲置工矿配套建筑及乡村公共设施实施改造升级、功能转型；鼓励村庄有机更新与采煤沉陷区综合治理、矿山生态修复、工矿废弃地复垦项目协同推进、同步实施。农村住宅应体现皖北平原地域乡土特色，契合矿乡融合整体风貌管控要求，并符合《安徽省乡村风貌保护和提升导则（试行）》相关规定。</w:t>
      </w:r>
    </w:p>
    <w:p w14:paraId="1A157BEF">
      <w:pPr>
        <w:pStyle w:val="17"/>
        <w:widowControl w:val="0"/>
        <w:spacing w:before="0" w:beforeAutospacing="0" w:after="0" w:afterAutospacing="0" w:line="600" w:lineRule="exact"/>
        <w:ind w:firstLine="640" w:firstLineChars="200"/>
        <w:jc w:val="both"/>
        <w:rPr>
          <w:rFonts w:ascii="仿宋_GB2312" w:hAnsi="Calibri" w:eastAsia="仿宋_GB2312" w:cs="仿宋_GB2312"/>
          <w:sz w:val="32"/>
          <w:szCs w:val="32"/>
        </w:rPr>
      </w:pPr>
      <w:r>
        <w:rPr>
          <w:rFonts w:ascii="仿宋_GB2312" w:hAnsi="Calibri" w:eastAsia="仿宋_GB2312" w:cs="仿宋_GB2312"/>
          <w:sz w:val="32"/>
          <w:szCs w:val="32"/>
        </w:rPr>
        <w:t>6</w:t>
      </w:r>
      <w:r>
        <w:rPr>
          <w:rFonts w:hint="eastAsia" w:ascii="仿宋_GB2312" w:hAnsi="Calibri" w:eastAsia="仿宋_GB2312" w:cs="仿宋_GB2312"/>
          <w:sz w:val="32"/>
          <w:szCs w:val="32"/>
        </w:rPr>
        <w:t>.人居环境指引</w:t>
      </w:r>
    </w:p>
    <w:p w14:paraId="0F9AC730">
      <w:pPr>
        <w:pStyle w:val="17"/>
        <w:widowControl w:val="0"/>
        <w:spacing w:before="0" w:beforeAutospacing="0" w:after="0" w:afterAutospacing="0" w:line="600" w:lineRule="exact"/>
        <w:ind w:firstLine="640" w:firstLineChars="200"/>
        <w:jc w:val="both"/>
        <w:rPr>
          <w:rFonts w:ascii="仿宋_GB2312" w:hAnsi="Calibri" w:eastAsia="仿宋_GB2312" w:cs="仿宋_GB2312"/>
          <w:sz w:val="32"/>
          <w:szCs w:val="32"/>
        </w:rPr>
      </w:pPr>
      <w:r>
        <w:rPr>
          <w:rFonts w:hint="eastAsia" w:ascii="仿宋_GB2312" w:hAnsi="Calibri" w:eastAsia="仿宋_GB2312" w:cs="仿宋_GB2312"/>
          <w:sz w:val="32"/>
          <w:szCs w:val="32"/>
        </w:rPr>
        <w:t>村庄建设宜参照《安徽省清洁村庄标准》，实现村民房前屋后、庭院、居室内外、厕所干净整洁，确保农村人居环境卫生得到长效维护和保持。中心村宜参照《安徽省和美乡村中心村建设验收办法》，着力推进垃圾处理、饮水安全巩固提升、卫生改厕、房前屋后环境整治、道路畅通、污水处理、河沟渠塘疏浚清淤、村庄绿化、村庄亮化等工作。</w:t>
      </w:r>
    </w:p>
    <w:p w14:paraId="2E9B1D02">
      <w:pPr>
        <w:pStyle w:val="7"/>
        <w:ind w:firstLine="643" w:firstLineChars="200"/>
        <w:rPr>
          <w:rFonts w:ascii="仿宋_GB2312" w:hAnsi="楷体" w:eastAsia="仿宋_GB2312" w:cs="楷体"/>
          <w:b/>
          <w:sz w:val="32"/>
          <w:szCs w:val="30"/>
        </w:rPr>
      </w:pPr>
      <w:r>
        <w:rPr>
          <w:rFonts w:hint="eastAsia" w:ascii="仿宋_GB2312" w:hAnsi="楷体" w:eastAsia="仿宋_GB2312" w:cs="楷体"/>
          <w:b/>
          <w:sz w:val="32"/>
          <w:szCs w:val="30"/>
        </w:rPr>
        <w:t>第</w:t>
      </w:r>
      <w:r>
        <w:rPr>
          <w:rFonts w:ascii="仿宋_GB2312" w:hAnsi="楷体" w:eastAsia="仿宋_GB2312" w:cs="楷体"/>
          <w:b/>
          <w:sz w:val="32"/>
          <w:szCs w:val="30"/>
        </w:rPr>
        <w:t>1</w:t>
      </w:r>
      <w:r>
        <w:rPr>
          <w:rFonts w:hint="eastAsia" w:ascii="仿宋_GB2312" w:hAnsi="楷体" w:eastAsia="仿宋_GB2312" w:cs="楷体"/>
          <w:b/>
          <w:sz w:val="32"/>
          <w:szCs w:val="30"/>
          <w:lang w:val="en-US" w:eastAsia="zh-CN"/>
        </w:rPr>
        <w:t>3</w:t>
      </w:r>
      <w:r>
        <w:rPr>
          <w:rFonts w:hint="eastAsia" w:ascii="仿宋_GB2312" w:hAnsi="楷体" w:eastAsia="仿宋_GB2312" w:cs="楷体"/>
          <w:b/>
          <w:sz w:val="32"/>
          <w:szCs w:val="30"/>
        </w:rPr>
        <w:t>条</w:t>
      </w:r>
      <w:r>
        <w:rPr>
          <w:rFonts w:hint="eastAsia" w:ascii="仿宋_GB2312" w:hAnsi="楷体" w:eastAsia="仿宋_GB2312" w:cs="楷体"/>
          <w:b/>
          <w:sz w:val="32"/>
          <w:szCs w:val="30"/>
          <w:lang w:val="en-US" w:eastAsia="zh-CN"/>
        </w:rPr>
        <w:t xml:space="preserve"> </w:t>
      </w:r>
      <w:r>
        <w:rPr>
          <w:rFonts w:hint="eastAsia" w:ascii="仿宋_GB2312" w:hAnsi="楷体" w:eastAsia="仿宋_GB2312" w:cs="楷体"/>
          <w:b/>
          <w:sz w:val="32"/>
          <w:szCs w:val="30"/>
        </w:rPr>
        <w:t>重点地块图则</w:t>
      </w:r>
    </w:p>
    <w:p w14:paraId="3E210FF6">
      <w:pPr>
        <w:pStyle w:val="17"/>
        <w:widowControl w:val="0"/>
        <w:spacing w:before="0" w:beforeAutospacing="0" w:after="0" w:afterAutospacing="0" w:line="600" w:lineRule="exact"/>
        <w:ind w:firstLine="640" w:firstLineChars="200"/>
        <w:jc w:val="both"/>
        <w:rPr>
          <w:rFonts w:ascii="仿宋_GB2312" w:hAnsi="Calibri" w:eastAsia="仿宋_GB2312" w:cs="仿宋_GB2312"/>
          <w:sz w:val="32"/>
          <w:szCs w:val="32"/>
        </w:rPr>
      </w:pPr>
      <w:bookmarkStart w:id="30" w:name="OLE_LINK318"/>
      <w:bookmarkStart w:id="31" w:name="OLE_LINK317"/>
      <w:r>
        <w:rPr>
          <w:rFonts w:hint="eastAsia" w:ascii="仿宋_GB2312" w:hAnsi="Calibri" w:eastAsia="仿宋_GB2312" w:cs="仿宋_GB2312"/>
          <w:sz w:val="32"/>
          <w:szCs w:val="32"/>
        </w:rPr>
        <w:t>除村民单独申请住房建设外，根据规划实施和许可管理需要，可将项目单宗地或若干高度关联的多个宗地(区域)作为重点地块，编制重点地块图则，</w:t>
      </w:r>
      <w:bookmarkEnd w:id="30"/>
      <w:bookmarkEnd w:id="31"/>
      <w:r>
        <w:rPr>
          <w:rFonts w:hint="eastAsia" w:ascii="仿宋_GB2312" w:hAnsi="Calibri" w:eastAsia="仿宋_GB2312" w:cs="仿宋_GB2312"/>
          <w:sz w:val="32"/>
          <w:szCs w:val="32"/>
        </w:rPr>
        <w:t>地块图则需明确土地位置、用途、用地规模等控制要求，加强对建筑风貌的引导为适应乡村地区发展变化，提高规划实施效能，规划管控图则可适时动态增补。</w:t>
      </w:r>
    </w:p>
    <w:p w14:paraId="698663B0">
      <w:pPr>
        <w:pStyle w:val="7"/>
        <w:ind w:firstLine="643" w:firstLineChars="200"/>
        <w:rPr>
          <w:rFonts w:ascii="仿宋_GB2312" w:hAnsi="楷体" w:eastAsia="仿宋_GB2312" w:cs="楷体"/>
          <w:b/>
          <w:sz w:val="32"/>
          <w:szCs w:val="30"/>
        </w:rPr>
      </w:pPr>
      <w:r>
        <w:rPr>
          <w:rFonts w:hint="eastAsia" w:ascii="仿宋_GB2312" w:hAnsi="楷体" w:eastAsia="仿宋_GB2312" w:cs="楷体"/>
          <w:b/>
          <w:sz w:val="32"/>
          <w:szCs w:val="30"/>
        </w:rPr>
        <w:t>第1</w:t>
      </w:r>
      <w:r>
        <w:rPr>
          <w:rFonts w:hint="eastAsia" w:ascii="仿宋_GB2312" w:hAnsi="楷体" w:eastAsia="仿宋_GB2312" w:cs="楷体"/>
          <w:b/>
          <w:sz w:val="32"/>
          <w:szCs w:val="30"/>
          <w:lang w:val="en-US" w:eastAsia="zh-CN"/>
        </w:rPr>
        <w:t>4</w:t>
      </w:r>
      <w:r>
        <w:rPr>
          <w:rFonts w:hint="eastAsia" w:ascii="仿宋_GB2312" w:hAnsi="楷体" w:eastAsia="仿宋_GB2312" w:cs="楷体"/>
          <w:b/>
          <w:sz w:val="32"/>
          <w:szCs w:val="30"/>
        </w:rPr>
        <w:t>条 规划许可管理</w:t>
      </w:r>
    </w:p>
    <w:p w14:paraId="53F009D1">
      <w:pPr>
        <w:spacing w:line="360" w:lineRule="auto"/>
        <w:ind w:firstLine="640" w:firstLineChars="200"/>
        <w:rPr>
          <w:rFonts w:ascii="Times New Roman" w:hAnsi="Times New Roman" w:eastAsia="仿宋_GB2312" w:cs="Times New Roman"/>
        </w:rPr>
      </w:pPr>
      <w:r>
        <w:rPr>
          <w:rFonts w:hint="eastAsia" w:ascii="仿宋_GB2312" w:hAnsi="仓耳渔阳体 W03" w:eastAsia="仿宋_GB2312" w:cs="Times New Roman"/>
          <w:color w:val="000000"/>
          <w:szCs w:val="28"/>
        </w:rPr>
        <w:t>适用“通则式”规划技术管理规定的项目，</w:t>
      </w:r>
      <w:r>
        <w:rPr>
          <w:rFonts w:hint="eastAsia" w:ascii="仿宋_GB2312" w:hAnsi="仓耳渔阳体 W03" w:eastAsia="仿宋_GB2312" w:cs="Times New Roman"/>
          <w:szCs w:val="28"/>
        </w:rPr>
        <w:t>按照上文建设指标控制办理规划许可。</w:t>
      </w:r>
      <w:r>
        <w:rPr>
          <w:rFonts w:hint="eastAsia" w:ascii="仿宋_GB2312" w:hAnsi="Calibri" w:eastAsia="仿宋_GB2312" w:cs="仿宋_GB2312"/>
        </w:rPr>
        <w:t>经审定的重点地块图则，应按相关要求标准形成矢量数据，纳入镇级国土空间总体规划数据库，同步叠加至国土空间规划“一张图”后，作为办理用地审批和乡村建设规划许可的依据。</w:t>
      </w:r>
    </w:p>
    <w:p w14:paraId="14BD3169">
      <w:pPr>
        <w:pStyle w:val="26"/>
        <w:spacing w:beforeLines="50" w:afterLines="50" w:line="360" w:lineRule="auto"/>
        <w:ind w:left="0" w:firstLine="720" w:firstLineChars="200"/>
        <w:jc w:val="center"/>
        <w:rPr>
          <w:rFonts w:ascii="Times New Roman" w:hAnsi="Times New Roman" w:eastAsia="黑体" w:cs="Times New Roman"/>
          <w:sz w:val="36"/>
          <w:szCs w:val="36"/>
        </w:rPr>
      </w:pPr>
      <w:bookmarkStart w:id="32" w:name="_Toc23434"/>
      <w:bookmarkStart w:id="33" w:name="_Toc13311"/>
      <w:bookmarkStart w:id="34" w:name="_Toc7406"/>
      <w:bookmarkStart w:id="35" w:name="_Toc9454"/>
      <w:r>
        <w:rPr>
          <w:rFonts w:ascii="Times New Roman" w:hAnsi="Times New Roman" w:eastAsia="黑体" w:cs="Times New Roman"/>
          <w:sz w:val="36"/>
          <w:szCs w:val="36"/>
        </w:rPr>
        <w:t>第四章 用地兼容管控</w:t>
      </w:r>
      <w:bookmarkEnd w:id="32"/>
      <w:bookmarkEnd w:id="33"/>
      <w:bookmarkEnd w:id="34"/>
      <w:bookmarkEnd w:id="35"/>
    </w:p>
    <w:p w14:paraId="0C135332">
      <w:pPr>
        <w:spacing w:line="360" w:lineRule="auto"/>
        <w:ind w:left="710"/>
        <w:outlineLvl w:val="1"/>
        <w:rPr>
          <w:rFonts w:ascii="Times New Roman" w:hAnsi="Times New Roman" w:eastAsia="仿宋_GB2312" w:cs="Times New Roman"/>
          <w:b/>
          <w:bCs/>
        </w:rPr>
      </w:pPr>
      <w:r>
        <w:rPr>
          <w:rFonts w:hint="eastAsia" w:ascii="Times New Roman" w:hAnsi="Times New Roman" w:eastAsia="仿宋_GB2312" w:cs="Times New Roman"/>
          <w:b/>
          <w:bCs/>
        </w:rPr>
        <w:t>第1</w:t>
      </w:r>
      <w:r>
        <w:rPr>
          <w:rFonts w:hint="eastAsia" w:ascii="Times New Roman" w:hAnsi="Times New Roman" w:eastAsia="仿宋_GB2312" w:cs="Times New Roman"/>
          <w:b/>
          <w:bCs/>
          <w:lang w:val="en-US" w:eastAsia="zh-CN"/>
        </w:rPr>
        <w:t>5</w:t>
      </w:r>
      <w:r>
        <w:rPr>
          <w:rFonts w:hint="eastAsia" w:ascii="Times New Roman" w:hAnsi="Times New Roman" w:eastAsia="仿宋_GB2312" w:cs="Times New Roman"/>
          <w:b/>
          <w:bCs/>
        </w:rPr>
        <w:t xml:space="preserve">条 </w:t>
      </w:r>
      <w:r>
        <w:rPr>
          <w:rFonts w:ascii="Times New Roman" w:hAnsi="Times New Roman" w:eastAsia="仿宋_GB2312" w:cs="Times New Roman"/>
          <w:b/>
          <w:bCs/>
        </w:rPr>
        <w:t>总体要求</w:t>
      </w:r>
    </w:p>
    <w:p w14:paraId="207B9BFA">
      <w:pPr>
        <w:spacing w:line="360" w:lineRule="auto"/>
        <w:ind w:firstLine="640" w:firstLineChars="200"/>
        <w:rPr>
          <w:rFonts w:ascii="Times New Roman" w:hAnsi="Times New Roman" w:eastAsia="仿宋_GB2312" w:cs="Times New Roman"/>
        </w:rPr>
      </w:pPr>
      <w:r>
        <w:rPr>
          <w:rFonts w:hint="eastAsia" w:ascii="Times New Roman" w:hAnsi="Times New Roman" w:eastAsia="仿宋_GB2312" w:cs="Times New Roman"/>
        </w:rPr>
        <w:t>在不突破国土空间底线管控和规划强制性内容、不涉及村庄安全问题、不影响村庄公共利益及村庄整体风貌的前提下，允许同一地块内不同使用功能的兼容，增加土地管控弹性。</w:t>
      </w:r>
      <w:r>
        <w:rPr>
          <w:rFonts w:ascii="Times New Roman" w:hAnsi="Times New Roman" w:eastAsia="仿宋_GB2312" w:cs="Times New Roman"/>
        </w:rPr>
        <w:t>建设用地因改变主导功能确需转变用途且符合用地兼容管理要求的，应编制重要地块图则，并按照相关程序执行。</w:t>
      </w:r>
    </w:p>
    <w:p w14:paraId="4FDB2A0B">
      <w:pPr>
        <w:keepNext w:val="0"/>
        <w:keepLines w:val="0"/>
        <w:pageBreakBefore w:val="0"/>
        <w:widowControl w:val="0"/>
        <w:kinsoku/>
        <w:wordWrap/>
        <w:overflowPunct/>
        <w:topLinePunct w:val="0"/>
        <w:autoSpaceDE/>
        <w:autoSpaceDN/>
        <w:bidi w:val="0"/>
        <w:adjustRightInd/>
        <w:snapToGrid/>
        <w:ind w:firstLine="640" w:firstLineChars="200"/>
        <w:textAlignment w:val="auto"/>
        <w:rPr>
          <w:rFonts w:ascii="Times New Roman" w:hAnsi="Times New Roman" w:eastAsia="仿宋_GB2312" w:cs="Times New Roman"/>
        </w:rPr>
        <w:sectPr>
          <w:footerReference r:id="rId7" w:type="default"/>
          <w:pgSz w:w="11906" w:h="16838"/>
          <w:pgMar w:top="1230" w:right="1440" w:bottom="1230" w:left="1440" w:header="851" w:footer="907" w:gutter="0"/>
          <w:pgNumType w:start="1"/>
          <w:cols w:space="425" w:num="1"/>
          <w:docGrid w:type="lines" w:linePitch="435" w:charSpace="0"/>
        </w:sectPr>
      </w:pPr>
      <w:r>
        <w:rPr>
          <w:rFonts w:hint="eastAsia" w:ascii="Times New Roman" w:hAnsi="Times New Roman" w:eastAsia="仿宋_GB2312" w:cs="Times New Roman"/>
        </w:rPr>
        <w:t>在符合相关产业政策、生态环保及消防安全的的前提下，经村民会议及地块周边权属人同意的情况下，允许以上第7条各类规划地类用途之间相互兼容。</w:t>
      </w:r>
    </w:p>
    <w:p w14:paraId="37247F4F">
      <w:pPr>
        <w:pStyle w:val="2"/>
        <w:spacing w:beforeLines="50" w:afterLines="50" w:line="360" w:lineRule="auto"/>
        <w:jc w:val="center"/>
        <w:rPr>
          <w:rFonts w:ascii="Times New Roman" w:hAnsi="Times New Roman" w:eastAsia="黑体" w:cs="Times New Roman"/>
          <w:b w:val="0"/>
          <w:sz w:val="36"/>
          <w:szCs w:val="36"/>
        </w:rPr>
      </w:pPr>
      <w:bookmarkStart w:id="36" w:name="_Toc17308"/>
      <w:bookmarkStart w:id="37" w:name="_Toc6624"/>
      <w:bookmarkStart w:id="38" w:name="_Toc5525"/>
      <w:bookmarkStart w:id="39" w:name="_Toc7045"/>
      <w:r>
        <w:rPr>
          <w:rFonts w:ascii="Times New Roman" w:hAnsi="Times New Roman" w:eastAsia="黑体" w:cs="Times New Roman"/>
          <w:b w:val="0"/>
          <w:sz w:val="36"/>
          <w:szCs w:val="36"/>
        </w:rPr>
        <w:t>第五章 实施保障</w:t>
      </w:r>
      <w:bookmarkEnd w:id="36"/>
      <w:bookmarkEnd w:id="37"/>
      <w:bookmarkEnd w:id="38"/>
      <w:bookmarkEnd w:id="39"/>
    </w:p>
    <w:p w14:paraId="5CA2449E">
      <w:pPr>
        <w:spacing w:line="360" w:lineRule="auto"/>
        <w:ind w:left="710"/>
        <w:outlineLvl w:val="1"/>
        <w:rPr>
          <w:rFonts w:ascii="Times New Roman" w:hAnsi="Times New Roman" w:eastAsia="仿宋_GB2312" w:cs="Times New Roman"/>
          <w:b/>
          <w:bCs/>
        </w:rPr>
      </w:pPr>
      <w:r>
        <w:rPr>
          <w:rFonts w:hint="eastAsia" w:ascii="Times New Roman" w:hAnsi="Times New Roman" w:eastAsia="仿宋_GB2312" w:cs="Times New Roman"/>
          <w:b/>
          <w:bCs/>
        </w:rPr>
        <w:t>第1</w:t>
      </w:r>
      <w:r>
        <w:rPr>
          <w:rFonts w:hint="eastAsia" w:ascii="Times New Roman" w:hAnsi="Times New Roman" w:eastAsia="仿宋_GB2312" w:cs="Times New Roman"/>
          <w:b/>
          <w:bCs/>
          <w:lang w:val="en-US" w:eastAsia="zh-CN"/>
        </w:rPr>
        <w:t>6</w:t>
      </w:r>
      <w:r>
        <w:rPr>
          <w:rFonts w:hint="eastAsia" w:ascii="Times New Roman" w:hAnsi="Times New Roman" w:eastAsia="仿宋_GB2312" w:cs="Times New Roman"/>
          <w:b/>
          <w:bCs/>
        </w:rPr>
        <w:t xml:space="preserve">条 </w:t>
      </w:r>
      <w:r>
        <w:rPr>
          <w:rFonts w:ascii="Times New Roman" w:hAnsi="Times New Roman" w:eastAsia="仿宋_GB2312" w:cs="Times New Roman"/>
          <w:b/>
          <w:bCs/>
        </w:rPr>
        <w:t>评估调整</w:t>
      </w:r>
    </w:p>
    <w:p w14:paraId="4E4908AD">
      <w:pPr>
        <w:widowControl/>
        <w:spacing w:line="360" w:lineRule="auto"/>
        <w:ind w:firstLine="640" w:firstLineChars="200"/>
        <w:rPr>
          <w:rFonts w:ascii="Times New Roman" w:hAnsi="Times New Roman" w:eastAsia="仿宋_GB2312" w:cs="Times New Roman"/>
        </w:rPr>
      </w:pPr>
      <w:r>
        <w:rPr>
          <w:rFonts w:hint="eastAsia" w:ascii="Times New Roman" w:hAnsi="Times New Roman" w:eastAsia="仿宋_GB2312" w:cs="Times New Roman"/>
        </w:rPr>
        <w:t>本</w:t>
      </w:r>
      <w:r>
        <w:rPr>
          <w:rFonts w:ascii="Times New Roman" w:hAnsi="Times New Roman" w:eastAsia="仿宋_GB2312" w:cs="Times New Roman"/>
        </w:rPr>
        <w:t>规定批准实施后，因国家政策调整、乡村振兴项目建设需要，经评估无需修改的，可按照本文件有关规定，对</w:t>
      </w:r>
      <w:r>
        <w:rPr>
          <w:rFonts w:hint="eastAsia" w:ascii="Times New Roman" w:hAnsi="Times New Roman" w:eastAsia="仿宋_GB2312" w:cs="Times New Roman"/>
        </w:rPr>
        <w:t>本</w:t>
      </w:r>
      <w:r>
        <w:rPr>
          <w:rFonts w:ascii="Times New Roman" w:hAnsi="Times New Roman" w:eastAsia="仿宋_GB2312" w:cs="Times New Roman"/>
        </w:rPr>
        <w:t>规定通则、重点地块图则适时动态增补。因经济社会发展、</w:t>
      </w:r>
      <w:r>
        <w:rPr>
          <w:rFonts w:hint="eastAsia" w:ascii="Times New Roman" w:hAnsi="Times New Roman" w:eastAsia="仿宋_GB2312" w:cs="Times New Roman"/>
        </w:rPr>
        <w:t>乡村地区</w:t>
      </w:r>
      <w:r>
        <w:rPr>
          <w:rFonts w:ascii="Times New Roman" w:hAnsi="Times New Roman" w:eastAsia="仿宋_GB2312" w:cs="Times New Roman"/>
        </w:rPr>
        <w:t>开发保护利用需要，以及审批机关确定的其他情形确需修改的，经征求村民自治组织及利害关系人意见后，按照原审批程序组织修改。原则上不</w:t>
      </w:r>
      <w:r>
        <w:rPr>
          <w:rFonts w:hint="eastAsia" w:ascii="Times New Roman" w:hAnsi="Times New Roman" w:eastAsia="仿宋_GB2312" w:cs="Times New Roman"/>
        </w:rPr>
        <w:t>得</w:t>
      </w:r>
      <w:r>
        <w:rPr>
          <w:rFonts w:ascii="Times New Roman" w:hAnsi="Times New Roman" w:eastAsia="仿宋_GB2312" w:cs="Times New Roman"/>
        </w:rPr>
        <w:t>突破</w:t>
      </w:r>
      <w:r>
        <w:rPr>
          <w:rFonts w:hint="eastAsia" w:ascii="Times New Roman" w:hAnsi="Times New Roman" w:eastAsia="仿宋_GB2312" w:cs="Times New Roman"/>
        </w:rPr>
        <w:t>《淮北市国土空间总体规划（2021—2035年）》</w:t>
      </w:r>
      <w:r>
        <w:rPr>
          <w:rFonts w:ascii="Times New Roman" w:hAnsi="Times New Roman" w:eastAsia="仿宋_GB2312" w:cs="Times New Roman"/>
        </w:rPr>
        <w:t>确定的强制性内容、约束性指标，确需突破的，按照法定程序先修改相应层级的国土空间总体规划。</w:t>
      </w:r>
    </w:p>
    <w:p w14:paraId="26375058">
      <w:pPr>
        <w:spacing w:line="360" w:lineRule="auto"/>
        <w:ind w:left="710"/>
        <w:outlineLvl w:val="1"/>
        <w:rPr>
          <w:rFonts w:ascii="Times New Roman" w:hAnsi="Times New Roman" w:eastAsia="仿宋_GB2312" w:cs="Times New Roman"/>
          <w:b/>
          <w:bCs/>
        </w:rPr>
      </w:pPr>
      <w:r>
        <w:rPr>
          <w:rFonts w:hint="eastAsia" w:ascii="Times New Roman" w:hAnsi="Times New Roman" w:eastAsia="仿宋_GB2312" w:cs="Times New Roman"/>
          <w:b/>
          <w:bCs/>
        </w:rPr>
        <w:t>第1</w:t>
      </w:r>
      <w:r>
        <w:rPr>
          <w:rFonts w:hint="eastAsia" w:ascii="Times New Roman" w:hAnsi="Times New Roman" w:eastAsia="仿宋_GB2312" w:cs="Times New Roman"/>
          <w:b/>
          <w:bCs/>
          <w:lang w:val="en-US" w:eastAsia="zh-CN"/>
        </w:rPr>
        <w:t>7</w:t>
      </w:r>
      <w:r>
        <w:rPr>
          <w:rFonts w:hint="eastAsia" w:ascii="Times New Roman" w:hAnsi="Times New Roman" w:eastAsia="仿宋_GB2312" w:cs="Times New Roman"/>
          <w:b/>
          <w:bCs/>
        </w:rPr>
        <w:t xml:space="preserve">条 </w:t>
      </w:r>
      <w:r>
        <w:rPr>
          <w:rFonts w:ascii="Times New Roman" w:hAnsi="Times New Roman" w:eastAsia="仿宋_GB2312" w:cs="Times New Roman"/>
          <w:b/>
          <w:bCs/>
        </w:rPr>
        <w:t>程序要求</w:t>
      </w:r>
    </w:p>
    <w:p w14:paraId="469B45E3">
      <w:pPr>
        <w:spacing w:line="360" w:lineRule="auto"/>
        <w:ind w:firstLine="640" w:firstLineChars="200"/>
        <w:rPr>
          <w:rFonts w:ascii="Times New Roman" w:hAnsi="Times New Roman" w:eastAsia="仿宋_GB2312" w:cs="Times New Roman"/>
        </w:rPr>
      </w:pPr>
      <w:r>
        <w:rPr>
          <w:rFonts w:ascii="Times New Roman" w:hAnsi="Times New Roman" w:eastAsia="仿宋_GB2312" w:cs="Times New Roman"/>
        </w:rPr>
        <w:t>依据本规定</w:t>
      </w:r>
      <w:r>
        <w:rPr>
          <w:rFonts w:hint="eastAsia" w:ascii="Times New Roman" w:hAnsi="Times New Roman" w:eastAsia="仿宋_GB2312" w:cs="Times New Roman"/>
        </w:rPr>
        <w:t>动态增补</w:t>
      </w:r>
      <w:r>
        <w:rPr>
          <w:rFonts w:ascii="Times New Roman" w:hAnsi="Times New Roman" w:eastAsia="仿宋_GB2312" w:cs="Times New Roman"/>
        </w:rPr>
        <w:t>重点地块图则的乡村建设项目，由</w:t>
      </w:r>
      <w:r>
        <w:rPr>
          <w:rFonts w:hint="eastAsia" w:ascii="Times New Roman" w:hAnsi="Times New Roman" w:eastAsia="仿宋_GB2312" w:cs="Times New Roman"/>
        </w:rPr>
        <w:t>矿山集街道、高岳街道办</w:t>
      </w:r>
      <w:r>
        <w:rPr>
          <w:rFonts w:ascii="Times New Roman" w:hAnsi="Times New Roman" w:eastAsia="仿宋_GB2312" w:cs="Times New Roman"/>
        </w:rPr>
        <w:t>组织编制相应图则</w:t>
      </w:r>
      <w:r>
        <w:rPr>
          <w:rFonts w:hint="eastAsia" w:ascii="Times New Roman" w:hAnsi="Times New Roman" w:eastAsia="仿宋_GB2312" w:cs="Times New Roman"/>
        </w:rPr>
        <w:t>，经村（居）民会议或村（居）民代表会议审议通过，报淮北市自然资源和规划局杜集分局审查，审查通过后将重点地块图则在村（居）委会公开栏和政府网站公示，公示期不少于</w:t>
      </w:r>
      <w:r>
        <w:rPr>
          <w:rFonts w:ascii="Times New Roman" w:hAnsi="Times New Roman" w:eastAsia="仿宋_GB2312" w:cs="Times New Roman"/>
        </w:rPr>
        <w:t>30</w:t>
      </w:r>
      <w:r>
        <w:rPr>
          <w:rFonts w:hint="eastAsia" w:ascii="Times New Roman" w:hAnsi="Times New Roman" w:eastAsia="仿宋_GB2312" w:cs="Times New Roman"/>
        </w:rPr>
        <w:t>日，公示无异议后报杜集区人民政府批准实施</w:t>
      </w:r>
      <w:r>
        <w:rPr>
          <w:rFonts w:ascii="Times New Roman" w:hAnsi="Times New Roman" w:eastAsia="仿宋_GB2312" w:cs="Times New Roman"/>
        </w:rPr>
        <w:t>。</w:t>
      </w:r>
    </w:p>
    <w:p w14:paraId="09D8C119">
      <w:pPr>
        <w:spacing w:line="360" w:lineRule="auto"/>
        <w:ind w:left="710"/>
        <w:outlineLvl w:val="1"/>
        <w:rPr>
          <w:rFonts w:ascii="Times New Roman" w:hAnsi="Times New Roman" w:eastAsia="仿宋_GB2312" w:cs="Times New Roman"/>
          <w:b/>
          <w:bCs/>
        </w:rPr>
      </w:pPr>
      <w:r>
        <w:rPr>
          <w:rFonts w:hint="eastAsia" w:ascii="Times New Roman" w:hAnsi="Times New Roman" w:eastAsia="仿宋_GB2312" w:cs="Times New Roman"/>
          <w:b/>
          <w:bCs/>
        </w:rPr>
        <w:t>第1</w:t>
      </w:r>
      <w:r>
        <w:rPr>
          <w:rFonts w:hint="eastAsia" w:ascii="Times New Roman" w:hAnsi="Times New Roman" w:eastAsia="仿宋_GB2312" w:cs="Times New Roman"/>
          <w:b/>
          <w:bCs/>
          <w:lang w:val="en-US" w:eastAsia="zh-CN"/>
        </w:rPr>
        <w:t>8</w:t>
      </w:r>
      <w:r>
        <w:rPr>
          <w:rFonts w:hint="eastAsia" w:ascii="Times New Roman" w:hAnsi="Times New Roman" w:eastAsia="仿宋_GB2312" w:cs="Times New Roman"/>
          <w:b/>
          <w:bCs/>
        </w:rPr>
        <w:t xml:space="preserve">条 </w:t>
      </w:r>
      <w:r>
        <w:rPr>
          <w:rFonts w:ascii="Times New Roman" w:hAnsi="Times New Roman" w:eastAsia="仿宋_GB2312" w:cs="Times New Roman"/>
          <w:b/>
          <w:bCs/>
        </w:rPr>
        <w:t>其他事项</w:t>
      </w:r>
    </w:p>
    <w:p w14:paraId="4802FB08">
      <w:pPr>
        <w:spacing w:line="360" w:lineRule="auto"/>
        <w:ind w:firstLine="640" w:firstLineChars="200"/>
        <w:rPr>
          <w:rFonts w:ascii="Times New Roman" w:hAnsi="Times New Roman" w:eastAsia="仿宋_GB2312" w:cs="Times New Roman"/>
        </w:rPr>
      </w:pPr>
      <w:r>
        <w:rPr>
          <w:rFonts w:hint="eastAsia" w:ascii="Times New Roman" w:hAnsi="Times New Roman" w:eastAsia="仿宋_GB2312" w:cs="Times New Roman"/>
        </w:rPr>
        <w:t>矿山集街道、高岳街道乡村地区</w:t>
      </w:r>
      <w:r>
        <w:rPr>
          <w:rFonts w:ascii="Times New Roman" w:hAnsi="Times New Roman" w:eastAsia="仿宋_GB2312" w:cs="Times New Roman"/>
        </w:rPr>
        <w:t>的规划管理除符合本规定外，还应符合国家、省、市发布的其他有关要求。</w:t>
      </w:r>
    </w:p>
    <w:p w14:paraId="071BAD31">
      <w:pPr>
        <w:spacing w:beforeLines="50" w:afterLines="50" w:line="360" w:lineRule="auto"/>
        <w:ind w:firstLine="723" w:firstLineChars="200"/>
        <w:jc w:val="center"/>
        <w:rPr>
          <w:rFonts w:ascii="Times New Roman" w:hAnsi="Times New Roman" w:eastAsia="黑体" w:cs="Times New Roman"/>
          <w:sz w:val="36"/>
        </w:rPr>
      </w:pPr>
      <w:bookmarkStart w:id="40" w:name="_Toc22685"/>
      <w:bookmarkStart w:id="41" w:name="_Toc6946"/>
      <w:bookmarkStart w:id="42" w:name="_Toc20354"/>
      <w:bookmarkStart w:id="43" w:name="_Toc3571"/>
      <w:r>
        <w:rPr>
          <w:rFonts w:ascii="Times New Roman" w:hAnsi="Times New Roman" w:eastAsia="黑体" w:cs="Times New Roman"/>
          <w:b/>
          <w:sz w:val="36"/>
        </w:rPr>
        <w:t>第六章 附则</w:t>
      </w:r>
      <w:bookmarkEnd w:id="40"/>
      <w:bookmarkEnd w:id="41"/>
      <w:bookmarkEnd w:id="42"/>
      <w:bookmarkEnd w:id="43"/>
    </w:p>
    <w:p w14:paraId="6158274E">
      <w:pPr>
        <w:spacing w:line="360" w:lineRule="auto"/>
        <w:ind w:left="710"/>
        <w:outlineLvl w:val="1"/>
        <w:rPr>
          <w:rFonts w:ascii="Times New Roman" w:hAnsi="Times New Roman" w:eastAsia="仿宋_GB2312" w:cs="Times New Roman"/>
          <w:b/>
          <w:bCs/>
        </w:rPr>
      </w:pPr>
      <w:r>
        <w:rPr>
          <w:rFonts w:hint="eastAsia" w:ascii="Times New Roman" w:hAnsi="Times New Roman" w:eastAsia="仿宋_GB2312" w:cs="Times New Roman"/>
          <w:b/>
          <w:bCs/>
        </w:rPr>
        <w:t>第</w:t>
      </w:r>
      <w:r>
        <w:rPr>
          <w:rFonts w:hint="eastAsia" w:ascii="Times New Roman" w:hAnsi="Times New Roman" w:eastAsia="仿宋_GB2312" w:cs="Times New Roman"/>
          <w:b/>
          <w:bCs/>
          <w:lang w:val="en-US" w:eastAsia="zh-CN"/>
        </w:rPr>
        <w:t>19</w:t>
      </w:r>
      <w:r>
        <w:rPr>
          <w:rFonts w:hint="eastAsia" w:ascii="Times New Roman" w:hAnsi="Times New Roman" w:eastAsia="仿宋_GB2312" w:cs="Times New Roman"/>
          <w:b/>
          <w:bCs/>
        </w:rPr>
        <w:t>条</w:t>
      </w:r>
      <w:r>
        <w:rPr>
          <w:rFonts w:ascii="Times New Roman" w:hAnsi="Times New Roman" w:eastAsia="仿宋_GB2312" w:cs="Times New Roman"/>
          <w:b/>
          <w:bCs/>
        </w:rPr>
        <w:t xml:space="preserve"> 本规定自公布之日起施行。</w:t>
      </w:r>
    </w:p>
    <w:p w14:paraId="2FE6883A">
      <w:pPr>
        <w:pStyle w:val="26"/>
        <w:spacing w:line="360" w:lineRule="auto"/>
        <w:ind w:left="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本规定由矿山集街道、高岳街道办负责解释，自杜集区人民政府批准之日起施行。</w:t>
      </w:r>
    </w:p>
    <w:p w14:paraId="021CAC7C">
      <w:pPr>
        <w:pStyle w:val="5"/>
        <w:ind w:firstLine="640"/>
        <w:rPr>
          <w:rFonts w:ascii="Times New Roman" w:hAnsi="Times New Roman" w:eastAsia="仿宋_GB2312" w:cs="Times New Roman"/>
        </w:rPr>
        <w:sectPr>
          <w:pgSz w:w="11906" w:h="16838"/>
          <w:pgMar w:top="1230" w:right="1440" w:bottom="1230" w:left="1440" w:header="851" w:footer="907" w:gutter="0"/>
          <w:cols w:space="425" w:num="1"/>
          <w:docGrid w:type="lines" w:linePitch="435" w:charSpace="0"/>
        </w:sectPr>
      </w:pPr>
    </w:p>
    <w:p w14:paraId="250DD9E3">
      <w:pPr>
        <w:pStyle w:val="2"/>
        <w:spacing w:beforeLines="50" w:afterLines="50" w:line="360" w:lineRule="auto"/>
        <w:jc w:val="left"/>
        <w:rPr>
          <w:rFonts w:ascii="Times New Roman" w:hAnsi="Times New Roman" w:eastAsia="黑体" w:cs="Times New Roman"/>
          <w:b w:val="0"/>
          <w:sz w:val="36"/>
        </w:rPr>
      </w:pPr>
      <w:r>
        <w:rPr>
          <w:rFonts w:ascii="Times New Roman" w:hAnsi="Times New Roman" w:eastAsia="黑体" w:cs="Times New Roman"/>
          <w:b w:val="0"/>
          <w:sz w:val="36"/>
        </w:rPr>
        <w:t>附</w:t>
      </w:r>
      <w:r>
        <w:rPr>
          <w:rFonts w:hint="eastAsia" w:ascii="Times New Roman" w:hAnsi="Times New Roman" w:eastAsia="黑体" w:cs="Times New Roman"/>
          <w:b w:val="0"/>
          <w:sz w:val="36"/>
        </w:rPr>
        <w:t>件</w:t>
      </w:r>
    </w:p>
    <w:p w14:paraId="2943DABB">
      <w:pPr>
        <w:shd w:val="clear" w:color="auto" w:fill="FFFFFF"/>
        <w:snapToGrid w:val="0"/>
        <w:spacing w:beforeLines="100"/>
        <w:jc w:val="center"/>
        <w:outlineLvl w:val="0"/>
        <w:rPr>
          <w:rFonts w:ascii="黑体" w:hAnsi="黑体" w:eastAsia="黑体" w:cs="黑体"/>
          <w:color w:val="000000"/>
          <w:spacing w:val="-4"/>
          <w:sz w:val="36"/>
          <w:shd w:val="clear" w:color="auto" w:fill="FFFFFF"/>
        </w:rPr>
      </w:pPr>
      <w:r>
        <w:rPr>
          <w:rFonts w:hint="eastAsia" w:ascii="黑体" w:hAnsi="黑体" w:eastAsia="黑体" w:cs="黑体"/>
          <w:color w:val="000000"/>
          <w:spacing w:val="-4"/>
          <w:sz w:val="36"/>
          <w:shd w:val="clear" w:color="auto" w:fill="FFFFFF"/>
        </w:rPr>
        <w:t>乡村地区国土空间用途管制负面清单</w:t>
      </w:r>
    </w:p>
    <w:p w14:paraId="2D5E8039">
      <w:pPr>
        <w:pStyle w:val="17"/>
        <w:shd w:val="clear" w:color="auto" w:fill="FFFFFF"/>
        <w:snapToGrid w:val="0"/>
        <w:spacing w:before="0" w:beforeAutospacing="0" w:after="0" w:afterAutospacing="0" w:line="600" w:lineRule="exact"/>
        <w:ind w:firstLine="640" w:firstLineChars="200"/>
        <w:rPr>
          <w:rFonts w:ascii="黑体" w:eastAsia="黑体" w:cs="黑体"/>
          <w:color w:val="000000"/>
          <w:sz w:val="32"/>
          <w:shd w:val="clear" w:color="auto" w:fill="FFFFFF"/>
        </w:rPr>
      </w:pPr>
      <w:bookmarkStart w:id="44" w:name="_Toc21471"/>
      <w:r>
        <w:rPr>
          <w:rFonts w:hint="eastAsia" w:ascii="黑体" w:eastAsia="黑体" w:cs="黑体"/>
          <w:color w:val="000000"/>
          <w:sz w:val="32"/>
          <w:shd w:val="clear" w:color="auto" w:fill="FFFFFF"/>
        </w:rPr>
        <w:t>一、永久基本农田占用负面清单</w:t>
      </w:r>
      <w:bookmarkEnd w:id="44"/>
    </w:p>
    <w:p w14:paraId="1F4A438B">
      <w:pPr>
        <w:snapToGrid w:val="0"/>
        <w:spacing w:line="600" w:lineRule="exact"/>
        <w:ind w:firstLine="640" w:firstLineChars="200"/>
        <w:rPr>
          <w:rFonts w:ascii="仿宋_GB2312" w:eastAsia="仿宋_GB2312" w:cs="仿宋_GB2312"/>
        </w:rPr>
      </w:pPr>
      <w:r>
        <w:rPr>
          <w:rFonts w:hint="eastAsia" w:ascii="仿宋_GB2312" w:hAnsi="Calibri" w:eastAsia="仿宋_GB2312" w:cs="仿宋_GB2312"/>
        </w:rPr>
        <w:t>1.永久基本农田不得转为林地、草地、园地等其他农用地及农业设施建设用地；</w:t>
      </w:r>
    </w:p>
    <w:p w14:paraId="158101F0">
      <w:pPr>
        <w:snapToGrid w:val="0"/>
        <w:spacing w:line="600" w:lineRule="exact"/>
        <w:ind w:firstLine="640" w:firstLineChars="200"/>
        <w:rPr>
          <w:rFonts w:ascii="仿宋_GB2312" w:eastAsia="仿宋_GB2312" w:cs="仿宋_GB2312"/>
        </w:rPr>
      </w:pPr>
      <w:r>
        <w:rPr>
          <w:rFonts w:hint="eastAsia" w:ascii="仿宋_GB2312" w:hAnsi="Calibri" w:eastAsia="仿宋_GB2312" w:cs="仿宋_GB2312"/>
        </w:rPr>
        <w:t>2.严禁占用永久基本农田发展林果业和挖塘养鱼；</w:t>
      </w:r>
    </w:p>
    <w:p w14:paraId="424D46BA">
      <w:pPr>
        <w:snapToGrid w:val="0"/>
        <w:spacing w:line="600" w:lineRule="exact"/>
        <w:ind w:firstLine="640" w:firstLineChars="200"/>
        <w:rPr>
          <w:rFonts w:ascii="仿宋_GB2312" w:eastAsia="仿宋_GB2312" w:cs="仿宋_GB2312"/>
        </w:rPr>
      </w:pPr>
      <w:r>
        <w:rPr>
          <w:rFonts w:hint="eastAsia" w:ascii="仿宋_GB2312" w:hAnsi="Calibri" w:eastAsia="仿宋_GB2312" w:cs="仿宋_GB2312"/>
        </w:rPr>
        <w:t>3.严禁占用永久基本农田种植苗木、草皮等用于绿化装饰以及其他破坏耕作层的植物；</w:t>
      </w:r>
    </w:p>
    <w:p w14:paraId="08A0EBE4">
      <w:pPr>
        <w:snapToGrid w:val="0"/>
        <w:spacing w:line="600" w:lineRule="exact"/>
        <w:ind w:firstLine="640" w:firstLineChars="200"/>
        <w:rPr>
          <w:rFonts w:ascii="仿宋_GB2312" w:eastAsia="仿宋_GB2312" w:cs="仿宋_GB2312"/>
        </w:rPr>
      </w:pPr>
      <w:r>
        <w:rPr>
          <w:rFonts w:hint="eastAsia" w:ascii="仿宋_GB2312" w:hAnsi="Calibri" w:eastAsia="仿宋_GB2312" w:cs="仿宋_GB2312"/>
        </w:rPr>
        <w:t>4.严禁占用永久基本农田挖湖造景、建设绿化带；</w:t>
      </w:r>
    </w:p>
    <w:p w14:paraId="6B37CA6D">
      <w:pPr>
        <w:snapToGrid w:val="0"/>
        <w:spacing w:line="600" w:lineRule="exact"/>
        <w:ind w:firstLine="640" w:firstLineChars="200"/>
        <w:rPr>
          <w:rFonts w:ascii="仿宋_GB2312" w:eastAsia="仿宋_GB2312" w:cs="仿宋_GB2312"/>
        </w:rPr>
      </w:pPr>
      <w:r>
        <w:rPr>
          <w:rFonts w:hint="eastAsia" w:ascii="仿宋_GB2312" w:hAnsi="Calibri" w:eastAsia="仿宋_GB2312" w:cs="仿宋_GB2312"/>
        </w:rPr>
        <w:t>5.严禁新增占用永久基本农田建设畜禽养殖设施、水产养殖设施和破坏耕作层的种植业设施；</w:t>
      </w:r>
    </w:p>
    <w:p w14:paraId="3EB319DE">
      <w:pPr>
        <w:snapToGrid w:val="0"/>
        <w:spacing w:line="600" w:lineRule="exact"/>
        <w:ind w:firstLine="640" w:firstLineChars="200"/>
        <w:rPr>
          <w:rFonts w:ascii="仿宋_GB2312" w:eastAsia="仿宋_GB2312" w:cs="仿宋_GB2312"/>
        </w:rPr>
      </w:pPr>
      <w:r>
        <w:rPr>
          <w:rFonts w:hint="eastAsia" w:ascii="仿宋_GB2312" w:hAnsi="Calibri" w:eastAsia="仿宋_GB2312" w:cs="仿宋_GB2312"/>
        </w:rPr>
        <w:t>6.严禁任何单位和个人在永久基本农田上建窑、建房、建坟、挖砂、采石、取土、堆放固体废弃物或者进行其他破坏永久基本农田的活动；</w:t>
      </w:r>
    </w:p>
    <w:p w14:paraId="2629E5A4">
      <w:pPr>
        <w:snapToGrid w:val="0"/>
        <w:spacing w:line="600" w:lineRule="exact"/>
        <w:ind w:firstLine="640" w:firstLineChars="200"/>
        <w:rPr>
          <w:rFonts w:ascii="仿宋_GB2312" w:eastAsia="仿宋_GB2312" w:cs="仿宋_GB2312"/>
        </w:rPr>
      </w:pPr>
      <w:r>
        <w:rPr>
          <w:rFonts w:hint="eastAsia" w:ascii="仿宋_GB2312" w:hAnsi="Calibri" w:eastAsia="仿宋_GB2312" w:cs="仿宋_GB2312"/>
        </w:rPr>
        <w:t>7.严禁在城乡建设中以单个项目占用为目的擅自调整永久基本农田；</w:t>
      </w:r>
    </w:p>
    <w:p w14:paraId="6F594BA4">
      <w:pPr>
        <w:snapToGrid w:val="0"/>
        <w:spacing w:line="600" w:lineRule="exact"/>
        <w:ind w:firstLine="640" w:firstLineChars="200"/>
        <w:rPr>
          <w:rFonts w:ascii="仿宋_GB2312" w:eastAsia="仿宋_GB2312" w:cs="仿宋_GB2312"/>
        </w:rPr>
      </w:pPr>
      <w:r>
        <w:rPr>
          <w:rFonts w:hint="eastAsia" w:ascii="仿宋_GB2312" w:hAnsi="Calibri" w:eastAsia="仿宋_GB2312" w:cs="仿宋_GB2312"/>
        </w:rPr>
        <w:t>8.其他法律、法规、国家政策文件规定的限制和禁止情形。</w:t>
      </w:r>
    </w:p>
    <w:p w14:paraId="77DFF5EB">
      <w:pPr>
        <w:pStyle w:val="17"/>
        <w:shd w:val="clear" w:color="auto" w:fill="FFFFFF"/>
        <w:snapToGrid w:val="0"/>
        <w:spacing w:before="0" w:beforeAutospacing="0" w:after="0" w:afterAutospacing="0" w:line="600" w:lineRule="exact"/>
        <w:ind w:firstLine="640" w:firstLineChars="200"/>
        <w:rPr>
          <w:rFonts w:ascii="黑体" w:eastAsia="黑体" w:cs="黑体"/>
          <w:color w:val="000000"/>
          <w:sz w:val="32"/>
          <w:shd w:val="clear" w:color="auto" w:fill="FFFFFF"/>
        </w:rPr>
      </w:pPr>
      <w:bookmarkStart w:id="45" w:name="_Toc25850"/>
      <w:r>
        <w:rPr>
          <w:rFonts w:hint="eastAsia" w:ascii="黑体" w:eastAsia="黑体" w:cs="黑体"/>
          <w:color w:val="000000"/>
          <w:sz w:val="32"/>
          <w:shd w:val="clear" w:color="auto" w:fill="FFFFFF"/>
        </w:rPr>
        <w:t>二、一般耕地占用负面清单</w:t>
      </w:r>
      <w:bookmarkEnd w:id="45"/>
    </w:p>
    <w:p w14:paraId="6A5EC3E5">
      <w:pPr>
        <w:snapToGrid w:val="0"/>
        <w:spacing w:line="600" w:lineRule="exact"/>
        <w:ind w:firstLine="640" w:firstLineChars="200"/>
        <w:rPr>
          <w:rFonts w:ascii="仿宋_GB2312" w:eastAsia="仿宋_GB2312" w:cs="仿宋_GB2312"/>
        </w:rPr>
      </w:pPr>
      <w:r>
        <w:rPr>
          <w:rFonts w:hint="eastAsia" w:ascii="仿宋_GB2312" w:hAnsi="Calibri" w:eastAsia="仿宋_GB2312" w:cs="仿宋_GB2312"/>
        </w:rPr>
        <w:t>1.不得在一般耕地上挖湖造景、种植草皮；</w:t>
      </w:r>
    </w:p>
    <w:p w14:paraId="181166DD">
      <w:pPr>
        <w:snapToGrid w:val="0"/>
        <w:spacing w:line="600" w:lineRule="exact"/>
        <w:ind w:firstLine="640" w:firstLineChars="200"/>
        <w:rPr>
          <w:rFonts w:ascii="仿宋_GB2312" w:eastAsia="仿宋_GB2312" w:cs="仿宋_GB2312"/>
        </w:rPr>
      </w:pPr>
      <w:r>
        <w:rPr>
          <w:rFonts w:hint="eastAsia" w:ascii="仿宋_GB2312" w:hAnsi="Calibri" w:eastAsia="仿宋_GB2312" w:cs="仿宋_GB2312"/>
        </w:rPr>
        <w:t>2.不得在国家批准的生态退耕规划和计划外擅自扩大退耕还林还草还湿还湖规模；</w:t>
      </w:r>
    </w:p>
    <w:p w14:paraId="6B0068B4">
      <w:pPr>
        <w:snapToGrid w:val="0"/>
        <w:spacing w:line="600" w:lineRule="exact"/>
        <w:ind w:firstLine="640" w:firstLineChars="200"/>
        <w:rPr>
          <w:rFonts w:ascii="仿宋_GB2312" w:eastAsia="仿宋_GB2312" w:cs="仿宋_GB2312"/>
        </w:rPr>
      </w:pPr>
      <w:r>
        <w:rPr>
          <w:rFonts w:hint="eastAsia" w:ascii="仿宋_GB2312" w:hAnsi="Calibri" w:eastAsia="仿宋_GB2312" w:cs="仿宋_GB2312"/>
        </w:rPr>
        <w:t>3.不得违规超标准在铁路、公路等用地红线外，以及河渠两侧、水库周边占用一般耕地种树建设绿化带；</w:t>
      </w:r>
    </w:p>
    <w:p w14:paraId="2F74986F">
      <w:pPr>
        <w:snapToGrid w:val="0"/>
        <w:spacing w:line="600" w:lineRule="exact"/>
        <w:ind w:firstLine="640" w:firstLineChars="200"/>
        <w:rPr>
          <w:rFonts w:ascii="仿宋_GB2312" w:eastAsia="仿宋_GB2312" w:cs="仿宋_GB2312"/>
        </w:rPr>
      </w:pPr>
      <w:r>
        <w:rPr>
          <w:rFonts w:hint="eastAsia" w:ascii="仿宋_GB2312" w:hAnsi="Calibri" w:eastAsia="仿宋_GB2312" w:cs="仿宋_GB2312"/>
        </w:rPr>
        <w:t>4.未经批准不得占用一般耕地实施国土绿化；</w:t>
      </w:r>
    </w:p>
    <w:p w14:paraId="435E3BE7">
      <w:pPr>
        <w:snapToGrid w:val="0"/>
        <w:spacing w:line="600" w:lineRule="exact"/>
        <w:ind w:firstLine="640" w:firstLineChars="200"/>
        <w:rPr>
          <w:rFonts w:ascii="仿宋_GB2312" w:eastAsia="仿宋_GB2312" w:cs="仿宋_GB2312"/>
        </w:rPr>
      </w:pPr>
      <w:r>
        <w:rPr>
          <w:rFonts w:hint="eastAsia" w:ascii="仿宋_GB2312" w:hAnsi="Calibri" w:eastAsia="仿宋_GB2312" w:cs="仿宋_GB2312"/>
        </w:rPr>
        <w:t>5.未经批准工商企业等社会资本不得将通过流转获得土地经营权的一般耕地转为林地、园地等其他农用地；</w:t>
      </w:r>
    </w:p>
    <w:p w14:paraId="304E175E">
      <w:pPr>
        <w:snapToGrid w:val="0"/>
        <w:spacing w:line="600" w:lineRule="exact"/>
        <w:ind w:firstLine="640" w:firstLineChars="200"/>
        <w:rPr>
          <w:rFonts w:ascii="仿宋_GB2312" w:eastAsia="仿宋_GB2312" w:cs="仿宋_GB2312"/>
        </w:rPr>
      </w:pPr>
      <w:r>
        <w:rPr>
          <w:rFonts w:hint="eastAsia" w:ascii="仿宋_GB2312" w:hAnsi="Calibri" w:eastAsia="仿宋_GB2312" w:cs="仿宋_GB2312"/>
        </w:rPr>
        <w:t>6.禁止占用耕地建窑、建坟或者擅自在耕地上建房、挖砂、采石、采矿、取土等；</w:t>
      </w:r>
    </w:p>
    <w:p w14:paraId="3CD41E31">
      <w:pPr>
        <w:snapToGrid w:val="0"/>
        <w:spacing w:line="600" w:lineRule="exact"/>
        <w:ind w:firstLine="640" w:firstLineChars="200"/>
        <w:rPr>
          <w:rFonts w:ascii="仿宋_GB2312" w:eastAsia="仿宋_GB2312" w:cs="仿宋_GB2312"/>
        </w:rPr>
      </w:pPr>
      <w:r>
        <w:rPr>
          <w:rFonts w:hint="eastAsia" w:ascii="仿宋_GB2312" w:hAnsi="Calibri" w:eastAsia="仿宋_GB2312" w:cs="仿宋_GB2312"/>
        </w:rPr>
        <w:t>7.严禁以设施农业为名占用耕地违法违规建设与农业发展无关的设施；</w:t>
      </w:r>
    </w:p>
    <w:p w14:paraId="062A6B28">
      <w:pPr>
        <w:snapToGrid w:val="0"/>
        <w:spacing w:line="600" w:lineRule="exact"/>
        <w:ind w:firstLine="640" w:firstLineChars="200"/>
        <w:rPr>
          <w:rFonts w:ascii="仿宋_GB2312" w:eastAsia="仿宋_GB2312" w:cs="仿宋_GB2312"/>
        </w:rPr>
      </w:pPr>
      <w:r>
        <w:rPr>
          <w:rFonts w:hint="eastAsia" w:ascii="仿宋_GB2312" w:hAnsi="Calibri" w:eastAsia="仿宋_GB2312" w:cs="仿宋_GB2312"/>
        </w:rPr>
        <w:t>8.严禁在农业大棚内违法违规占用耕地建设住宅、餐饮、娱乐等非农设施；</w:t>
      </w:r>
    </w:p>
    <w:p w14:paraId="1C50FA36">
      <w:pPr>
        <w:snapToGrid w:val="0"/>
        <w:spacing w:line="600" w:lineRule="exact"/>
        <w:ind w:firstLine="640" w:firstLineChars="200"/>
        <w:rPr>
          <w:rFonts w:ascii="仿宋_GB2312" w:eastAsia="仿宋_GB2312" w:cs="仿宋_GB2312"/>
        </w:rPr>
      </w:pPr>
      <w:r>
        <w:rPr>
          <w:rFonts w:hint="eastAsia" w:ascii="仿宋_GB2312" w:hAnsi="Calibri" w:eastAsia="仿宋_GB2312" w:cs="仿宋_GB2312"/>
        </w:rPr>
        <w:t>9.其他法律、法规、国家政策文件规定的限制和禁止情形。</w:t>
      </w:r>
    </w:p>
    <w:p w14:paraId="4F3E6B64">
      <w:pPr>
        <w:pStyle w:val="17"/>
        <w:shd w:val="clear" w:color="auto" w:fill="FFFFFF"/>
        <w:snapToGrid w:val="0"/>
        <w:spacing w:before="0" w:beforeAutospacing="0" w:after="0" w:afterAutospacing="0" w:line="600" w:lineRule="exact"/>
        <w:ind w:firstLine="640" w:firstLineChars="200"/>
        <w:rPr>
          <w:rFonts w:ascii="黑体" w:eastAsia="黑体" w:cs="黑体"/>
          <w:color w:val="000000"/>
          <w:sz w:val="32"/>
          <w:shd w:val="clear" w:color="auto" w:fill="FFFFFF"/>
        </w:rPr>
      </w:pPr>
      <w:bookmarkStart w:id="46" w:name="_Toc25097"/>
      <w:r>
        <w:rPr>
          <w:rFonts w:hint="eastAsia" w:ascii="黑体" w:eastAsia="黑体" w:cs="黑体"/>
          <w:color w:val="000000"/>
          <w:sz w:val="32"/>
          <w:shd w:val="clear" w:color="auto" w:fill="FFFFFF"/>
        </w:rPr>
        <w:t>三、生态空间管控负面清单</w:t>
      </w:r>
      <w:bookmarkEnd w:id="46"/>
    </w:p>
    <w:p w14:paraId="001D8F29">
      <w:pPr>
        <w:snapToGrid w:val="0"/>
        <w:spacing w:line="600" w:lineRule="exact"/>
        <w:ind w:firstLine="640" w:firstLineChars="200"/>
        <w:rPr>
          <w:rFonts w:ascii="仿宋_GB2312" w:eastAsia="仿宋_GB2312" w:cs="仿宋_GB2312"/>
        </w:rPr>
      </w:pPr>
      <w:r>
        <w:rPr>
          <w:rFonts w:hint="eastAsia" w:ascii="仿宋_GB2312" w:hAnsi="Calibri" w:eastAsia="仿宋_GB2312" w:cs="仿宋_GB2312"/>
        </w:rPr>
        <w:t>1.严禁以土地综合整治名义调整生态保护红线；</w:t>
      </w:r>
    </w:p>
    <w:p w14:paraId="45672154">
      <w:pPr>
        <w:snapToGrid w:val="0"/>
        <w:spacing w:line="600" w:lineRule="exact"/>
        <w:ind w:firstLine="640" w:firstLineChars="200"/>
        <w:rPr>
          <w:rFonts w:ascii="仿宋_GB2312" w:eastAsia="仿宋_GB2312" w:cs="仿宋_GB2312"/>
        </w:rPr>
      </w:pPr>
      <w:r>
        <w:rPr>
          <w:rFonts w:hint="eastAsia" w:ascii="仿宋_GB2312" w:hAnsi="Calibri" w:eastAsia="仿宋_GB2312" w:cs="仿宋_GB2312"/>
        </w:rPr>
        <w:t>2.严禁破坏生态环境砍树挖山填湖，严禁违法占用林地、湿地、草地，不得采伐古树名木，不得以整治名义擅自毁林开垦；</w:t>
      </w:r>
    </w:p>
    <w:p w14:paraId="05A62527">
      <w:pPr>
        <w:snapToGrid w:val="0"/>
        <w:spacing w:line="600" w:lineRule="exact"/>
        <w:ind w:firstLine="640" w:firstLineChars="200"/>
        <w:rPr>
          <w:rFonts w:ascii="仿宋_GB2312" w:eastAsia="仿宋_GB2312" w:cs="仿宋_GB2312"/>
        </w:rPr>
      </w:pPr>
      <w:r>
        <w:rPr>
          <w:rFonts w:hint="eastAsia" w:ascii="仿宋_GB2312" w:hAnsi="Calibri" w:eastAsia="仿宋_GB2312" w:cs="仿宋_GB2312"/>
        </w:rPr>
        <w:t>3.禁止毁坏森林、草原开垦耕地，禁止围湖造田和侵占江河滩地；</w:t>
      </w:r>
    </w:p>
    <w:p w14:paraId="5E3417D9">
      <w:pPr>
        <w:snapToGrid w:val="0"/>
        <w:spacing w:line="600" w:lineRule="exact"/>
        <w:ind w:firstLine="640" w:firstLineChars="200"/>
        <w:rPr>
          <w:rFonts w:ascii="仿宋_GB2312" w:eastAsia="仿宋_GB2312" w:cs="仿宋_GB2312"/>
        </w:rPr>
      </w:pPr>
      <w:r>
        <w:rPr>
          <w:rFonts w:hint="eastAsia" w:ascii="仿宋_GB2312" w:hAnsi="Calibri" w:eastAsia="仿宋_GB2312" w:cs="仿宋_GB2312"/>
        </w:rPr>
        <w:t>4.其他法律、法规、国家政策文件规定的限制和禁止情形。</w:t>
      </w:r>
    </w:p>
    <w:p w14:paraId="5ACC52A6">
      <w:pPr>
        <w:pStyle w:val="17"/>
        <w:shd w:val="clear" w:color="auto" w:fill="FFFFFF"/>
        <w:snapToGrid w:val="0"/>
        <w:spacing w:before="0" w:beforeAutospacing="0" w:after="0" w:afterAutospacing="0" w:line="600" w:lineRule="exact"/>
        <w:ind w:firstLine="640" w:firstLineChars="200"/>
        <w:rPr>
          <w:rFonts w:ascii="黑体" w:eastAsia="黑体" w:cs="黑体"/>
          <w:color w:val="000000"/>
          <w:sz w:val="32"/>
          <w:shd w:val="clear" w:color="auto" w:fill="FFFFFF"/>
        </w:rPr>
      </w:pPr>
      <w:bookmarkStart w:id="47" w:name="_Toc13611"/>
      <w:r>
        <w:rPr>
          <w:rFonts w:hint="eastAsia" w:ascii="黑体" w:eastAsia="黑体" w:cs="黑体"/>
          <w:color w:val="000000"/>
          <w:sz w:val="32"/>
          <w:shd w:val="clear" w:color="auto" w:fill="FFFFFF"/>
        </w:rPr>
        <w:t>四、农村建房负面清单</w:t>
      </w:r>
      <w:bookmarkEnd w:id="47"/>
    </w:p>
    <w:p w14:paraId="755DC7F6">
      <w:pPr>
        <w:snapToGrid w:val="0"/>
        <w:spacing w:line="600" w:lineRule="exact"/>
        <w:ind w:firstLine="640" w:firstLineChars="200"/>
        <w:rPr>
          <w:rFonts w:ascii="仿宋_GB2312" w:eastAsia="仿宋_GB2312" w:cs="仿宋_GB2312"/>
        </w:rPr>
      </w:pPr>
      <w:r>
        <w:rPr>
          <w:rFonts w:hint="eastAsia" w:ascii="仿宋_GB2312" w:hAnsi="Calibri" w:eastAsia="仿宋_GB2312" w:cs="仿宋_GB2312"/>
        </w:rPr>
        <w:t>1.不准占用永久基本农田建房；</w:t>
      </w:r>
    </w:p>
    <w:p w14:paraId="0EEC4CAC">
      <w:pPr>
        <w:snapToGrid w:val="0"/>
        <w:spacing w:line="600" w:lineRule="exact"/>
        <w:ind w:firstLine="640" w:firstLineChars="200"/>
        <w:rPr>
          <w:rFonts w:ascii="仿宋_GB2312" w:eastAsia="仿宋_GB2312" w:cs="仿宋_GB2312"/>
        </w:rPr>
      </w:pPr>
      <w:r>
        <w:rPr>
          <w:rFonts w:hint="eastAsia" w:ascii="仿宋_GB2312" w:hAnsi="Calibri" w:eastAsia="仿宋_GB2312" w:cs="仿宋_GB2312"/>
        </w:rPr>
        <w:t>2.不准强占多占耕地建房；</w:t>
      </w:r>
    </w:p>
    <w:p w14:paraId="63BF23ED">
      <w:pPr>
        <w:snapToGrid w:val="0"/>
        <w:spacing w:line="600" w:lineRule="exact"/>
        <w:ind w:firstLine="640" w:firstLineChars="200"/>
        <w:rPr>
          <w:rFonts w:ascii="仿宋_GB2312" w:eastAsia="仿宋_GB2312" w:cs="仿宋_GB2312"/>
        </w:rPr>
      </w:pPr>
      <w:r>
        <w:rPr>
          <w:rFonts w:hint="eastAsia" w:ascii="仿宋_GB2312" w:hAnsi="Calibri" w:eastAsia="仿宋_GB2312" w:cs="仿宋_GB2312"/>
        </w:rPr>
        <w:t>3.不准买卖、流转耕地违法建房；</w:t>
      </w:r>
    </w:p>
    <w:p w14:paraId="43B47360">
      <w:pPr>
        <w:snapToGrid w:val="0"/>
        <w:spacing w:line="600" w:lineRule="exact"/>
        <w:ind w:firstLine="640" w:firstLineChars="200"/>
        <w:rPr>
          <w:rFonts w:ascii="仿宋_GB2312" w:eastAsia="仿宋_GB2312" w:cs="仿宋_GB2312"/>
        </w:rPr>
      </w:pPr>
      <w:r>
        <w:rPr>
          <w:rFonts w:hint="eastAsia" w:ascii="仿宋_GB2312" w:hAnsi="Calibri" w:eastAsia="仿宋_GB2312" w:cs="仿宋_GB2312"/>
        </w:rPr>
        <w:t>4.不准在承包耕地上违法建房；</w:t>
      </w:r>
    </w:p>
    <w:p w14:paraId="16EB5C1A">
      <w:pPr>
        <w:snapToGrid w:val="0"/>
        <w:spacing w:line="600" w:lineRule="exact"/>
        <w:ind w:firstLine="640" w:firstLineChars="200"/>
        <w:rPr>
          <w:rFonts w:ascii="仿宋_GB2312" w:eastAsia="仿宋_GB2312" w:cs="仿宋_GB2312"/>
        </w:rPr>
      </w:pPr>
      <w:r>
        <w:rPr>
          <w:rFonts w:hint="eastAsia" w:ascii="仿宋_GB2312" w:hAnsi="Calibri" w:eastAsia="仿宋_GB2312" w:cs="仿宋_GB2312"/>
        </w:rPr>
        <w:t>5.不准巧立名目违法占用耕地建房；</w:t>
      </w:r>
    </w:p>
    <w:p w14:paraId="4C3C3CA1">
      <w:pPr>
        <w:snapToGrid w:val="0"/>
        <w:spacing w:line="600" w:lineRule="exact"/>
        <w:ind w:firstLine="640" w:firstLineChars="200"/>
        <w:rPr>
          <w:rFonts w:ascii="仿宋_GB2312" w:eastAsia="仿宋_GB2312" w:cs="仿宋_GB2312"/>
        </w:rPr>
      </w:pPr>
      <w:r>
        <w:rPr>
          <w:rFonts w:hint="eastAsia" w:ascii="仿宋_GB2312" w:hAnsi="Calibri" w:eastAsia="仿宋_GB2312" w:cs="仿宋_GB2312"/>
        </w:rPr>
        <w:t>6.不准违反“一户一宅”规定占用耕地建房；</w:t>
      </w:r>
    </w:p>
    <w:p w14:paraId="40EAD242">
      <w:pPr>
        <w:snapToGrid w:val="0"/>
        <w:spacing w:line="600" w:lineRule="exact"/>
        <w:ind w:firstLine="640" w:firstLineChars="200"/>
        <w:rPr>
          <w:rFonts w:ascii="仿宋_GB2312" w:eastAsia="仿宋_GB2312" w:cs="仿宋_GB2312"/>
        </w:rPr>
      </w:pPr>
      <w:r>
        <w:rPr>
          <w:rFonts w:hint="eastAsia" w:ascii="仿宋_GB2312" w:hAnsi="Calibri" w:eastAsia="仿宋_GB2312" w:cs="仿宋_GB2312"/>
        </w:rPr>
        <w:t>7.不准非法出售占用耕地建设的房屋；</w:t>
      </w:r>
    </w:p>
    <w:p w14:paraId="584E7E94">
      <w:pPr>
        <w:snapToGrid w:val="0"/>
        <w:spacing w:line="600" w:lineRule="exact"/>
        <w:ind w:firstLine="640" w:firstLineChars="200"/>
        <w:rPr>
          <w:rFonts w:ascii="仿宋_GB2312" w:eastAsia="仿宋_GB2312" w:cs="仿宋_GB2312"/>
        </w:rPr>
      </w:pPr>
      <w:r>
        <w:rPr>
          <w:rFonts w:hint="eastAsia" w:ascii="仿宋_GB2312" w:hAnsi="Calibri" w:eastAsia="仿宋_GB2312" w:cs="仿宋_GB2312"/>
        </w:rPr>
        <w:t>8.不准违法审批占用耕地建房；</w:t>
      </w:r>
    </w:p>
    <w:p w14:paraId="3335909B">
      <w:pPr>
        <w:snapToGrid w:val="0"/>
        <w:spacing w:line="600" w:lineRule="exact"/>
        <w:ind w:firstLine="640" w:firstLineChars="200"/>
        <w:rPr>
          <w:rFonts w:ascii="仿宋_GB2312" w:eastAsia="仿宋_GB2312" w:cs="仿宋_GB2312"/>
        </w:rPr>
      </w:pPr>
      <w:r>
        <w:rPr>
          <w:rFonts w:hint="eastAsia" w:ascii="仿宋_GB2312" w:hAnsi="Calibri" w:eastAsia="仿宋_GB2312" w:cs="仿宋_GB2312"/>
        </w:rPr>
        <w:t>9.严禁下乡利用农村宅基地建设别墅大院和私人会馆。严禁随意撤并村庄搞大社区、违背农民意愿大拆大建；</w:t>
      </w:r>
    </w:p>
    <w:p w14:paraId="382B4B2D">
      <w:pPr>
        <w:snapToGrid w:val="0"/>
        <w:spacing w:line="600" w:lineRule="exact"/>
        <w:ind w:firstLine="640" w:firstLineChars="200"/>
        <w:rPr>
          <w:rFonts w:ascii="仿宋_GB2312" w:eastAsia="仿宋_GB2312" w:cs="仿宋_GB2312"/>
        </w:rPr>
      </w:pPr>
      <w:r>
        <w:rPr>
          <w:rFonts w:hint="eastAsia" w:ascii="仿宋_GB2312" w:hAnsi="Calibri" w:eastAsia="仿宋_GB2312" w:cs="仿宋_GB2312"/>
        </w:rPr>
        <w:t>10.禁止违背农村村民意愿强制流转宅基地，禁止违法收回农村村民依法取得的宅基地，禁止以退出宅基地作为农村村民进城落户的条件，不得强制农民搬迁和上楼居住；</w:t>
      </w:r>
    </w:p>
    <w:p w14:paraId="03E4475F">
      <w:pPr>
        <w:snapToGrid w:val="0"/>
        <w:spacing w:line="600" w:lineRule="exact"/>
        <w:ind w:firstLine="640" w:firstLineChars="200"/>
        <w:rPr>
          <w:rFonts w:ascii="仿宋_GB2312" w:eastAsia="仿宋_GB2312" w:cs="仿宋_GB2312"/>
        </w:rPr>
      </w:pPr>
      <w:r>
        <w:rPr>
          <w:rFonts w:hint="eastAsia" w:ascii="仿宋_GB2312" w:hAnsi="Calibri" w:eastAsia="仿宋_GB2312" w:cs="仿宋_GB2312"/>
        </w:rPr>
        <w:t>11.其他法律、法规、国家政策文件规定的限制和禁止情形。</w:t>
      </w:r>
    </w:p>
    <w:p w14:paraId="6CD08BE9">
      <w:pPr>
        <w:pStyle w:val="17"/>
        <w:shd w:val="clear" w:color="auto" w:fill="FFFFFF"/>
        <w:snapToGrid w:val="0"/>
        <w:spacing w:before="0" w:beforeAutospacing="0" w:after="0" w:afterAutospacing="0" w:line="600" w:lineRule="exact"/>
        <w:ind w:firstLine="640" w:firstLineChars="200"/>
        <w:rPr>
          <w:rFonts w:ascii="黑体" w:eastAsia="黑体" w:cs="黑体"/>
          <w:color w:val="000000"/>
          <w:sz w:val="32"/>
          <w:shd w:val="clear" w:color="auto" w:fill="FFFFFF"/>
        </w:rPr>
      </w:pPr>
      <w:bookmarkStart w:id="48" w:name="_Toc2693"/>
      <w:r>
        <w:rPr>
          <w:rFonts w:hint="eastAsia" w:ascii="黑体" w:eastAsia="黑体" w:cs="黑体"/>
          <w:color w:val="000000"/>
          <w:sz w:val="32"/>
          <w:shd w:val="clear" w:color="auto" w:fill="FFFFFF"/>
        </w:rPr>
        <w:t>五、农村产业用地负面清单</w:t>
      </w:r>
      <w:bookmarkEnd w:id="48"/>
    </w:p>
    <w:p w14:paraId="2DD8DDC7">
      <w:pPr>
        <w:snapToGrid w:val="0"/>
        <w:spacing w:line="600" w:lineRule="exact"/>
        <w:ind w:firstLine="640" w:firstLineChars="200"/>
        <w:rPr>
          <w:rFonts w:ascii="仿宋_GB2312" w:eastAsia="仿宋_GB2312" w:cs="仿宋_GB2312"/>
        </w:rPr>
      </w:pPr>
      <w:r>
        <w:rPr>
          <w:rFonts w:hint="eastAsia" w:ascii="仿宋_GB2312" w:hAnsi="Calibri" w:eastAsia="仿宋_GB2312" w:cs="仿宋_GB2312"/>
        </w:rPr>
        <w:t>1.农村产业融合发展用地不得用于商品住宅、别墅、酒店、公寓等房地产开发，不得擅自改变用途或分割转让转租；</w:t>
      </w:r>
    </w:p>
    <w:p w14:paraId="7EB9E2AE">
      <w:pPr>
        <w:snapToGrid w:val="0"/>
        <w:spacing w:line="600" w:lineRule="exact"/>
        <w:ind w:firstLine="640" w:firstLineChars="200"/>
        <w:rPr>
          <w:rFonts w:ascii="仿宋_GB2312" w:hAnsi="Calibri" w:eastAsia="仿宋_GB2312" w:cs="仿宋_GB2312"/>
        </w:rPr>
      </w:pPr>
      <w:r>
        <w:rPr>
          <w:rFonts w:hint="eastAsia" w:ascii="仿宋_GB2312" w:hAnsi="Calibri" w:eastAsia="仿宋_GB2312" w:cs="仿宋_GB2312"/>
        </w:rPr>
        <w:t>2.不得用于国家明令淘汰的落后产能、列入国家禁止类产业目录的、污染环境的项目建设；</w:t>
      </w:r>
    </w:p>
    <w:p w14:paraId="3857121E">
      <w:pPr>
        <w:snapToGrid w:val="0"/>
        <w:spacing w:line="600" w:lineRule="exact"/>
        <w:ind w:firstLine="640" w:firstLineChars="200"/>
        <w:rPr>
          <w:rFonts w:ascii="仿宋_GB2312" w:eastAsia="仿宋_GB2312" w:cs="仿宋_GB2312"/>
        </w:rPr>
      </w:pPr>
      <w:r>
        <w:rPr>
          <w:rFonts w:hint="eastAsia" w:ascii="仿宋_GB2312" w:eastAsia="仿宋_GB2312" w:cs="仿宋_GB2312"/>
        </w:rPr>
        <w:t>3.不得利用未达到安全使用条件的污染地块用于农村产业、居住、公共服务等用途</w:t>
      </w:r>
      <w:r>
        <w:rPr>
          <w:rFonts w:hint="eastAsia" w:ascii="仿宋_GB2312" w:hAnsi="Calibri" w:eastAsia="仿宋_GB2312" w:cs="仿宋_GB2312"/>
        </w:rPr>
        <w:t>；</w:t>
      </w:r>
    </w:p>
    <w:p w14:paraId="04F9FCE4">
      <w:pPr>
        <w:snapToGrid w:val="0"/>
        <w:spacing w:line="600" w:lineRule="exact"/>
        <w:rPr>
          <w:rFonts w:ascii="Times New Roman" w:hAnsi="Times New Roman" w:cs="Times New Roman"/>
          <w:bCs/>
        </w:rPr>
      </w:pPr>
      <w:r>
        <w:rPr>
          <w:rFonts w:hint="eastAsia" w:ascii="仿宋_GB2312" w:hAnsi="Calibri" w:eastAsia="仿宋_GB2312" w:cs="仿宋_GB2312"/>
        </w:rPr>
        <w:t>4.其他法律、法规、国家政策文件规定的限制和禁止情形。</w:t>
      </w:r>
    </w:p>
    <w:sectPr>
      <w:headerReference r:id="rId8" w:type="default"/>
      <w:footerReference r:id="rId9" w:type="default"/>
      <w:pgSz w:w="11906" w:h="16838"/>
      <w:pgMar w:top="1230" w:right="1440" w:bottom="1230" w:left="1440" w:header="851" w:footer="907" w:gutter="0"/>
      <w:cols w:space="425" w:num="1"/>
      <w:docGrid w:type="lines" w:linePitch="43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AE395BE-D50D-4539-8C75-EBE61A59195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AEDD563A-7926-490F-8FCD-4FDDDC88C76D}"/>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EFF" w:usb1="C000785B" w:usb2="00000009" w:usb3="00000000" w:csb0="400001FF" w:csb1="FFFF0000"/>
  </w:font>
  <w:font w:name="楷体">
    <w:panose1 w:val="02010609060101010101"/>
    <w:charset w:val="86"/>
    <w:family w:val="modern"/>
    <w:pitch w:val="default"/>
    <w:sig w:usb0="800002BF" w:usb1="38CF7CFA" w:usb2="00000016" w:usb3="00000000" w:csb0="00040001" w:csb1="00000000"/>
    <w:embedRegular r:id="rId3" w:fontKey="{610D1839-C4AB-4A04-964A-1F38B5D8891B}"/>
  </w:font>
  <w:font w:name="Calibri Light">
    <w:panose1 w:val="020F0302020204030204"/>
    <w:charset w:val="00"/>
    <w:family w:val="roman"/>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embedRegular r:id="rId4" w:fontKey="{4B67FFA8-7F90-4899-980C-75D2F666222D}"/>
  </w:font>
  <w:font w:name="方正小标宋简体">
    <w:panose1 w:val="02000000000000000000"/>
    <w:charset w:val="86"/>
    <w:family w:val="script"/>
    <w:pitch w:val="default"/>
    <w:sig w:usb0="00000001" w:usb1="08000000" w:usb2="00000000" w:usb3="00000000" w:csb0="00040000" w:csb1="00000000"/>
    <w:embedRegular r:id="rId5" w:fontKey="{76C7B60B-FAA1-4D61-BD2F-B693D8811CA9}"/>
  </w:font>
  <w:font w:name="楷体_GB2312">
    <w:altName w:val="楷体"/>
    <w:panose1 w:val="02010609030101010101"/>
    <w:charset w:val="86"/>
    <w:family w:val="modern"/>
    <w:pitch w:val="default"/>
    <w:sig w:usb0="00000000" w:usb1="00000000" w:usb2="00000010" w:usb3="00000000" w:csb0="00040000" w:csb1="00000000"/>
    <w:embedRegular r:id="rId6" w:fontKey="{54B1F038-A13E-4C60-A2B3-F1E509686ECA}"/>
  </w:font>
  <w:font w:name="仓耳渔阳体 W03">
    <w:panose1 w:val="02020400000000000000"/>
    <w:charset w:val="86"/>
    <w:family w:val="auto"/>
    <w:pitch w:val="default"/>
    <w:sig w:usb0="80000023" w:usb1="08C10458" w:usb2="00000012" w:usb3="00000000" w:csb0="00020001" w:csb1="00000000"/>
    <w:embedRegular r:id="rId7" w:fontKey="{A8C90139-4FC1-469E-952D-08FBB7F4D975}"/>
  </w:font>
  <w:font w:name="WPSEMBED1">
    <w:panose1 w:val="02010609030101010101"/>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04D5AE">
    <w:pPr>
      <w:pStyle w:val="32"/>
      <w:ind w:firstLine="64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64FE06C">
                          <w:pPr>
                            <w:pStyle w:val="1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A0c4AgAAb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g7W1fuq&#10;e4AptCxs9NbymCZK5e3yECBtUjwK1KmCTsUD5jD17LIzcdD/PKeop/+JxS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z8DRzgCAABvBAAADgAAAAAAAAABACAAAAAfAQAAZHJzL2Uyb0RvYy54&#10;bWxQSwUGAAAAAAYABgBZAQAAyQUAAAAA&#10;">
              <v:fill on="f" focussize="0,0"/>
              <v:stroke on="f" weight="0.5pt"/>
              <v:imagedata o:title=""/>
              <o:lock v:ext="edit" aspectratio="f"/>
              <v:textbox inset="0mm,0mm,0mm,0mm" style="mso-fit-shape-to-text:t;">
                <w:txbxContent>
                  <w:p w14:paraId="564FE06C">
                    <w:pPr>
                      <w:pStyle w:val="13"/>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8F7DB5">
    <w:pPr>
      <w:pStyle w:val="13"/>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sdt>
                          <w:sdtPr>
                            <w:id w:val="147452157"/>
                          </w:sdtPr>
                          <w:sdtContent>
                            <w:p w14:paraId="71895839">
                              <w:pPr>
                                <w:pStyle w:val="13"/>
                                <w:jc w:val="center"/>
                              </w:pPr>
                              <w:r>
                                <w:fldChar w:fldCharType="begin"/>
                              </w:r>
                              <w:r>
                                <w:instrText xml:space="preserve">PAGE   \* MERGEFORMAT</w:instrText>
                              </w:r>
                              <w:r>
                                <w:fldChar w:fldCharType="separate"/>
                              </w:r>
                              <w:r>
                                <w:rPr>
                                  <w:lang w:val="zh-CN"/>
                                </w:rPr>
                                <w:t>19</w:t>
                              </w:r>
                              <w:r>
                                <w:rPr>
                                  <w:lang w:val="zh-CN"/>
                                </w:rPr>
                                <w:fldChar w:fldCharType="end"/>
                              </w:r>
                            </w:p>
                          </w:sdtContent>
                        </w:sdt>
                        <w:p w14:paraId="1236CD20"/>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DajL89NwIAAG8EAAAOAAAAAAAAAAEAIAAAAB8BAABkcnMvZTJvRG9jLnht&#10;bFBLBQYAAAAABgAGAFkBAADIBQAAAAA=&#10;">
              <v:fill on="f" focussize="0,0"/>
              <v:stroke on="f" weight="0.5pt"/>
              <v:imagedata o:title=""/>
              <o:lock v:ext="edit" aspectratio="f"/>
              <v:textbox inset="0mm,0mm,0mm,0mm" style="mso-fit-shape-to-text:t;">
                <w:txbxContent>
                  <w:sdt>
                    <w:sdtPr>
                      <w:id w:val="147452157"/>
                    </w:sdtPr>
                    <w:sdtContent>
                      <w:p w14:paraId="71895839">
                        <w:pPr>
                          <w:pStyle w:val="13"/>
                          <w:jc w:val="center"/>
                        </w:pPr>
                        <w:r>
                          <w:fldChar w:fldCharType="begin"/>
                        </w:r>
                        <w:r>
                          <w:instrText xml:space="preserve">PAGE   \* MERGEFORMAT</w:instrText>
                        </w:r>
                        <w:r>
                          <w:fldChar w:fldCharType="separate"/>
                        </w:r>
                        <w:r>
                          <w:rPr>
                            <w:lang w:val="zh-CN"/>
                          </w:rPr>
                          <w:t>19</w:t>
                        </w:r>
                        <w:r>
                          <w:rPr>
                            <w:lang w:val="zh-CN"/>
                          </w:rPr>
                          <w:fldChar w:fldCharType="end"/>
                        </w:r>
                      </w:p>
                    </w:sdtContent>
                  </w:sdt>
                  <w:p w14:paraId="1236CD20"/>
                </w:txbxContent>
              </v:textbox>
            </v:shape>
          </w:pict>
        </mc:Fallback>
      </mc:AlternateContent>
    </w:r>
  </w:p>
  <w:p w14:paraId="712D2073">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B7B084">
    <w:pPr>
      <w:spacing w:line="231" w:lineRule="auto"/>
      <w:rPr>
        <w:rFonts w:ascii="Times New Roman" w:hAnsi="Times New Roman" w:eastAsia="宋体" w:cs="Times New Roman"/>
        <w:sz w:val="27"/>
        <w:szCs w:val="27"/>
      </w:rPr>
    </w:pPr>
    <w:r>
      <w:rPr>
        <w:sz w:val="27"/>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58EAC6D">
                          <w:pPr>
                            <w:pStyle w:val="13"/>
                          </w:pPr>
                          <w:r>
                            <w:fldChar w:fldCharType="begin"/>
                          </w:r>
                          <w:r>
                            <w:instrText xml:space="preserve"> PAGE  \* MERGEFORMAT </w:instrText>
                          </w:r>
                          <w:r>
                            <w:fldChar w:fldCharType="separate"/>
                          </w:r>
                          <w:r>
                            <w:t>21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tVl6sjgCAABvBAAADgAAAAAAAAABACAAAAAfAQAAZHJzL2Uyb0RvYy54&#10;bWxQSwUGAAAAAAYABgBZAQAAyQUAAAAA&#10;">
              <v:fill on="f" focussize="0,0"/>
              <v:stroke on="f" weight="0.5pt"/>
              <v:imagedata o:title=""/>
              <o:lock v:ext="edit" aspectratio="f"/>
              <v:textbox inset="0mm,0mm,0mm,0mm" style="mso-fit-shape-to-text:t;">
                <w:txbxContent>
                  <w:p w14:paraId="758EAC6D">
                    <w:pPr>
                      <w:pStyle w:val="13"/>
                    </w:pPr>
                    <w:r>
                      <w:fldChar w:fldCharType="begin"/>
                    </w:r>
                    <w:r>
                      <w:instrText xml:space="preserve"> PAGE  \* MERGEFORMAT </w:instrText>
                    </w:r>
                    <w:r>
                      <w:fldChar w:fldCharType="separate"/>
                    </w:r>
                    <w:r>
                      <w:t>21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9879BD">
    <w:pPr>
      <w:pStyle w:val="1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BB5FA0">
    <w:pPr>
      <w:pStyle w:val="8"/>
      <w:spacing w:line="46" w:lineRule="auto"/>
      <w:rPr>
        <w:rFonts w:hint="default"/>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D075142"/>
    <w:multiLevelType w:val="multilevel"/>
    <w:tmpl w:val="4D075142"/>
    <w:lvl w:ilvl="0" w:tentative="0">
      <w:start w:val="1"/>
      <w:numFmt w:val="japaneseCounting"/>
      <w:lvlText w:val="第%1章"/>
      <w:lvlJc w:val="left"/>
      <w:pPr>
        <w:ind w:left="1116" w:hanging="1116"/>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988"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5F7D0CE6"/>
    <w:multiLevelType w:val="multilevel"/>
    <w:tmpl w:val="5F7D0CE6"/>
    <w:lvl w:ilvl="0" w:tentative="0">
      <w:start w:val="1"/>
      <w:numFmt w:val="decimal"/>
      <w:lvlText w:val="第%1条"/>
      <w:lvlJc w:val="left"/>
      <w:pPr>
        <w:ind w:left="1080" w:hanging="440"/>
      </w:pPr>
      <w:rPr>
        <w:rFonts w:hint="eastAsia"/>
        <w:b/>
        <w:bCs/>
        <w:sz w:val="32"/>
        <w:szCs w:val="40"/>
      </w:rPr>
    </w:lvl>
    <w:lvl w:ilvl="1" w:tentative="0">
      <w:start w:val="1"/>
      <w:numFmt w:val="lowerLetter"/>
      <w:lvlText w:val="%2)"/>
      <w:lvlJc w:val="left"/>
      <w:pPr>
        <w:ind w:left="1520" w:hanging="440"/>
      </w:pPr>
    </w:lvl>
    <w:lvl w:ilvl="2" w:tentative="0">
      <w:start w:val="1"/>
      <w:numFmt w:val="lowerRoman"/>
      <w:lvlText w:val="%3."/>
      <w:lvlJc w:val="right"/>
      <w:pPr>
        <w:ind w:left="1960" w:hanging="440"/>
      </w:pPr>
    </w:lvl>
    <w:lvl w:ilvl="3" w:tentative="0">
      <w:start w:val="1"/>
      <w:numFmt w:val="decimal"/>
      <w:lvlText w:val="%4."/>
      <w:lvlJc w:val="left"/>
      <w:pPr>
        <w:ind w:left="2400" w:hanging="440"/>
      </w:pPr>
    </w:lvl>
    <w:lvl w:ilvl="4" w:tentative="0">
      <w:start w:val="1"/>
      <w:numFmt w:val="lowerLetter"/>
      <w:lvlText w:val="%5)"/>
      <w:lvlJc w:val="left"/>
      <w:pPr>
        <w:ind w:left="2840" w:hanging="440"/>
      </w:pPr>
    </w:lvl>
    <w:lvl w:ilvl="5" w:tentative="0">
      <w:start w:val="1"/>
      <w:numFmt w:val="lowerRoman"/>
      <w:lvlText w:val="%6."/>
      <w:lvlJc w:val="right"/>
      <w:pPr>
        <w:ind w:left="3280" w:hanging="440"/>
      </w:pPr>
    </w:lvl>
    <w:lvl w:ilvl="6" w:tentative="0">
      <w:start w:val="1"/>
      <w:numFmt w:val="decimal"/>
      <w:lvlText w:val="%7."/>
      <w:lvlJc w:val="left"/>
      <w:pPr>
        <w:ind w:left="3720" w:hanging="440"/>
      </w:pPr>
    </w:lvl>
    <w:lvl w:ilvl="7" w:tentative="0">
      <w:start w:val="1"/>
      <w:numFmt w:val="lowerLetter"/>
      <w:lvlText w:val="%8)"/>
      <w:lvlJc w:val="left"/>
      <w:pPr>
        <w:ind w:left="4160" w:hanging="440"/>
      </w:pPr>
    </w:lvl>
    <w:lvl w:ilvl="8" w:tentative="0">
      <w:start w:val="1"/>
      <w:numFmt w:val="lowerRoman"/>
      <w:lvlText w:val="%9."/>
      <w:lvlJc w:val="right"/>
      <w:pPr>
        <w:ind w:left="4600" w:hanging="44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0"/>
  <w:drawingGridHorizontalSpacing w:val="160"/>
  <w:drawingGridVerticalSpacing w:val="225"/>
  <w:noPunctuationKerning w:val="1"/>
  <w:characterSpacingControl w:val="compressPunctuation"/>
  <w:hdrShapeDefaults>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M5MWRjZWI4YWNkZTA0NTdiMGM3ZGUzOTY3MzY5MDcifQ=="/>
  </w:docVars>
  <w:rsids>
    <w:rsidRoot w:val="00311BB8"/>
    <w:rsid w:val="000004C6"/>
    <w:rsid w:val="00001862"/>
    <w:rsid w:val="00001DEA"/>
    <w:rsid w:val="0000222A"/>
    <w:rsid w:val="00002338"/>
    <w:rsid w:val="00010D61"/>
    <w:rsid w:val="0001114E"/>
    <w:rsid w:val="0001367C"/>
    <w:rsid w:val="000136E6"/>
    <w:rsid w:val="00013B39"/>
    <w:rsid w:val="000226D1"/>
    <w:rsid w:val="00025782"/>
    <w:rsid w:val="00037E87"/>
    <w:rsid w:val="00040EDE"/>
    <w:rsid w:val="00040F88"/>
    <w:rsid w:val="000411AC"/>
    <w:rsid w:val="00042FD6"/>
    <w:rsid w:val="000443F0"/>
    <w:rsid w:val="00053A7A"/>
    <w:rsid w:val="0005702C"/>
    <w:rsid w:val="0005733D"/>
    <w:rsid w:val="00057733"/>
    <w:rsid w:val="000630ED"/>
    <w:rsid w:val="0007106A"/>
    <w:rsid w:val="00072DEA"/>
    <w:rsid w:val="00076760"/>
    <w:rsid w:val="0008223C"/>
    <w:rsid w:val="00085A56"/>
    <w:rsid w:val="00086573"/>
    <w:rsid w:val="00087799"/>
    <w:rsid w:val="0009071A"/>
    <w:rsid w:val="00090ED2"/>
    <w:rsid w:val="00090F5F"/>
    <w:rsid w:val="00094D36"/>
    <w:rsid w:val="000A014F"/>
    <w:rsid w:val="000A2748"/>
    <w:rsid w:val="000A483C"/>
    <w:rsid w:val="000A69F4"/>
    <w:rsid w:val="000A6C6A"/>
    <w:rsid w:val="000B14E7"/>
    <w:rsid w:val="000B4369"/>
    <w:rsid w:val="000B46FA"/>
    <w:rsid w:val="000C02AC"/>
    <w:rsid w:val="000C07E4"/>
    <w:rsid w:val="000C09D7"/>
    <w:rsid w:val="000C35C2"/>
    <w:rsid w:val="000C4035"/>
    <w:rsid w:val="000C76DA"/>
    <w:rsid w:val="000C7E4D"/>
    <w:rsid w:val="000D0966"/>
    <w:rsid w:val="000D0CE8"/>
    <w:rsid w:val="000D1EB6"/>
    <w:rsid w:val="000D3283"/>
    <w:rsid w:val="000D76DB"/>
    <w:rsid w:val="000E1F7B"/>
    <w:rsid w:val="000E43A6"/>
    <w:rsid w:val="000E5B52"/>
    <w:rsid w:val="000F0232"/>
    <w:rsid w:val="000F0FAF"/>
    <w:rsid w:val="000F18AC"/>
    <w:rsid w:val="000F25DC"/>
    <w:rsid w:val="000F282C"/>
    <w:rsid w:val="000F2A4E"/>
    <w:rsid w:val="000F32A0"/>
    <w:rsid w:val="000F555A"/>
    <w:rsid w:val="001025E4"/>
    <w:rsid w:val="0010503F"/>
    <w:rsid w:val="0010538A"/>
    <w:rsid w:val="00110289"/>
    <w:rsid w:val="00115E3E"/>
    <w:rsid w:val="0012070C"/>
    <w:rsid w:val="001215F5"/>
    <w:rsid w:val="00124E64"/>
    <w:rsid w:val="00125AF3"/>
    <w:rsid w:val="00125EDE"/>
    <w:rsid w:val="00130129"/>
    <w:rsid w:val="001326A0"/>
    <w:rsid w:val="00132E53"/>
    <w:rsid w:val="001352D6"/>
    <w:rsid w:val="00135E2B"/>
    <w:rsid w:val="001425C0"/>
    <w:rsid w:val="00144D71"/>
    <w:rsid w:val="00145585"/>
    <w:rsid w:val="0014682E"/>
    <w:rsid w:val="00146A2E"/>
    <w:rsid w:val="00150211"/>
    <w:rsid w:val="00153154"/>
    <w:rsid w:val="00153755"/>
    <w:rsid w:val="00153A66"/>
    <w:rsid w:val="00154D79"/>
    <w:rsid w:val="00154ED5"/>
    <w:rsid w:val="001627EB"/>
    <w:rsid w:val="00162CC6"/>
    <w:rsid w:val="00162EA9"/>
    <w:rsid w:val="001679C3"/>
    <w:rsid w:val="00172F0F"/>
    <w:rsid w:val="0017354C"/>
    <w:rsid w:val="00176EA8"/>
    <w:rsid w:val="00177F09"/>
    <w:rsid w:val="00182CDE"/>
    <w:rsid w:val="00183FBB"/>
    <w:rsid w:val="001853ED"/>
    <w:rsid w:val="00191A68"/>
    <w:rsid w:val="001927FA"/>
    <w:rsid w:val="0019518C"/>
    <w:rsid w:val="00195F9A"/>
    <w:rsid w:val="0019630C"/>
    <w:rsid w:val="00196B24"/>
    <w:rsid w:val="001A4D4D"/>
    <w:rsid w:val="001B2D5B"/>
    <w:rsid w:val="001B5A0A"/>
    <w:rsid w:val="001B5B98"/>
    <w:rsid w:val="001B7DE0"/>
    <w:rsid w:val="001C009E"/>
    <w:rsid w:val="001C311D"/>
    <w:rsid w:val="001C6C0F"/>
    <w:rsid w:val="001D1248"/>
    <w:rsid w:val="001D3991"/>
    <w:rsid w:val="001D4382"/>
    <w:rsid w:val="001D530D"/>
    <w:rsid w:val="001D70D6"/>
    <w:rsid w:val="001D741A"/>
    <w:rsid w:val="001E1D65"/>
    <w:rsid w:val="001E3001"/>
    <w:rsid w:val="001E3ABE"/>
    <w:rsid w:val="001E5C64"/>
    <w:rsid w:val="001E67C6"/>
    <w:rsid w:val="001E7485"/>
    <w:rsid w:val="001F0E18"/>
    <w:rsid w:val="001F209C"/>
    <w:rsid w:val="001F5406"/>
    <w:rsid w:val="00200D7B"/>
    <w:rsid w:val="00206A1E"/>
    <w:rsid w:val="00207858"/>
    <w:rsid w:val="0021048B"/>
    <w:rsid w:val="0021145A"/>
    <w:rsid w:val="00211B42"/>
    <w:rsid w:val="00211FDA"/>
    <w:rsid w:val="002130BA"/>
    <w:rsid w:val="00213F9A"/>
    <w:rsid w:val="00214019"/>
    <w:rsid w:val="00215EBA"/>
    <w:rsid w:val="002202D4"/>
    <w:rsid w:val="00222E6F"/>
    <w:rsid w:val="00227877"/>
    <w:rsid w:val="00233D23"/>
    <w:rsid w:val="00236227"/>
    <w:rsid w:val="00240998"/>
    <w:rsid w:val="00241850"/>
    <w:rsid w:val="0024253A"/>
    <w:rsid w:val="002452C5"/>
    <w:rsid w:val="00246E5A"/>
    <w:rsid w:val="00247317"/>
    <w:rsid w:val="0025352E"/>
    <w:rsid w:val="00254985"/>
    <w:rsid w:val="0025535C"/>
    <w:rsid w:val="00255E98"/>
    <w:rsid w:val="00257AE0"/>
    <w:rsid w:val="00263CFC"/>
    <w:rsid w:val="00267BC6"/>
    <w:rsid w:val="00272EB5"/>
    <w:rsid w:val="00273114"/>
    <w:rsid w:val="002758CB"/>
    <w:rsid w:val="002759E4"/>
    <w:rsid w:val="002839D4"/>
    <w:rsid w:val="00285B46"/>
    <w:rsid w:val="00292252"/>
    <w:rsid w:val="00292D32"/>
    <w:rsid w:val="002945CB"/>
    <w:rsid w:val="002A159F"/>
    <w:rsid w:val="002A5024"/>
    <w:rsid w:val="002A6872"/>
    <w:rsid w:val="002B03F2"/>
    <w:rsid w:val="002B1006"/>
    <w:rsid w:val="002B1F37"/>
    <w:rsid w:val="002B223E"/>
    <w:rsid w:val="002B3EBC"/>
    <w:rsid w:val="002B449C"/>
    <w:rsid w:val="002B582C"/>
    <w:rsid w:val="002B597B"/>
    <w:rsid w:val="002B6C2F"/>
    <w:rsid w:val="002B7E8F"/>
    <w:rsid w:val="002C052F"/>
    <w:rsid w:val="002C11D5"/>
    <w:rsid w:val="002C1785"/>
    <w:rsid w:val="002C3524"/>
    <w:rsid w:val="002C3D25"/>
    <w:rsid w:val="002C43E0"/>
    <w:rsid w:val="002C4896"/>
    <w:rsid w:val="002C4FE4"/>
    <w:rsid w:val="002C53C3"/>
    <w:rsid w:val="002D758C"/>
    <w:rsid w:val="002E3795"/>
    <w:rsid w:val="002E5FC0"/>
    <w:rsid w:val="002E622C"/>
    <w:rsid w:val="002F4E7B"/>
    <w:rsid w:val="002F56FB"/>
    <w:rsid w:val="0030321E"/>
    <w:rsid w:val="00310F1E"/>
    <w:rsid w:val="0031159B"/>
    <w:rsid w:val="00311BB8"/>
    <w:rsid w:val="0031220B"/>
    <w:rsid w:val="00314045"/>
    <w:rsid w:val="003156FA"/>
    <w:rsid w:val="00316B22"/>
    <w:rsid w:val="00316F43"/>
    <w:rsid w:val="00321332"/>
    <w:rsid w:val="00326A4B"/>
    <w:rsid w:val="00326BC0"/>
    <w:rsid w:val="00327A0A"/>
    <w:rsid w:val="00331803"/>
    <w:rsid w:val="003321F4"/>
    <w:rsid w:val="003349E7"/>
    <w:rsid w:val="00334B72"/>
    <w:rsid w:val="00335C82"/>
    <w:rsid w:val="00336D3E"/>
    <w:rsid w:val="003457C0"/>
    <w:rsid w:val="003457EB"/>
    <w:rsid w:val="00347DA9"/>
    <w:rsid w:val="00350860"/>
    <w:rsid w:val="00354002"/>
    <w:rsid w:val="003564E1"/>
    <w:rsid w:val="00356BBF"/>
    <w:rsid w:val="00356F59"/>
    <w:rsid w:val="003622FD"/>
    <w:rsid w:val="0036284B"/>
    <w:rsid w:val="00365F0E"/>
    <w:rsid w:val="00366C6A"/>
    <w:rsid w:val="0037070A"/>
    <w:rsid w:val="00372212"/>
    <w:rsid w:val="00372AFF"/>
    <w:rsid w:val="0037394B"/>
    <w:rsid w:val="003766B2"/>
    <w:rsid w:val="00377BDE"/>
    <w:rsid w:val="00383240"/>
    <w:rsid w:val="00383848"/>
    <w:rsid w:val="00384841"/>
    <w:rsid w:val="00384B68"/>
    <w:rsid w:val="00385519"/>
    <w:rsid w:val="003862DB"/>
    <w:rsid w:val="00387F94"/>
    <w:rsid w:val="003A0A20"/>
    <w:rsid w:val="003A1EDD"/>
    <w:rsid w:val="003A202D"/>
    <w:rsid w:val="003A2F21"/>
    <w:rsid w:val="003A359B"/>
    <w:rsid w:val="003A3C5C"/>
    <w:rsid w:val="003A5AA3"/>
    <w:rsid w:val="003A68E9"/>
    <w:rsid w:val="003B22D4"/>
    <w:rsid w:val="003B2DD8"/>
    <w:rsid w:val="003B2F98"/>
    <w:rsid w:val="003B39E3"/>
    <w:rsid w:val="003B46CE"/>
    <w:rsid w:val="003B65BA"/>
    <w:rsid w:val="003C0067"/>
    <w:rsid w:val="003C0472"/>
    <w:rsid w:val="003C061F"/>
    <w:rsid w:val="003C0658"/>
    <w:rsid w:val="003C10FE"/>
    <w:rsid w:val="003C1486"/>
    <w:rsid w:val="003C19E0"/>
    <w:rsid w:val="003C4DA6"/>
    <w:rsid w:val="003C6A6C"/>
    <w:rsid w:val="003D0753"/>
    <w:rsid w:val="003D1780"/>
    <w:rsid w:val="003D19C0"/>
    <w:rsid w:val="003D1DCD"/>
    <w:rsid w:val="003D25F1"/>
    <w:rsid w:val="003D3B2E"/>
    <w:rsid w:val="003D550A"/>
    <w:rsid w:val="003D7906"/>
    <w:rsid w:val="003E171D"/>
    <w:rsid w:val="003E17FE"/>
    <w:rsid w:val="003E24A0"/>
    <w:rsid w:val="003E34F6"/>
    <w:rsid w:val="003F4FFF"/>
    <w:rsid w:val="0040134A"/>
    <w:rsid w:val="004017CE"/>
    <w:rsid w:val="00412A0B"/>
    <w:rsid w:val="00412A7F"/>
    <w:rsid w:val="00420872"/>
    <w:rsid w:val="004229CB"/>
    <w:rsid w:val="00423B73"/>
    <w:rsid w:val="00424F2D"/>
    <w:rsid w:val="00426AA2"/>
    <w:rsid w:val="0042722F"/>
    <w:rsid w:val="00431406"/>
    <w:rsid w:val="00434404"/>
    <w:rsid w:val="0043788E"/>
    <w:rsid w:val="00440369"/>
    <w:rsid w:val="0044276C"/>
    <w:rsid w:val="00442A41"/>
    <w:rsid w:val="00454B72"/>
    <w:rsid w:val="00454CF8"/>
    <w:rsid w:val="00461D94"/>
    <w:rsid w:val="00463B4B"/>
    <w:rsid w:val="004646C3"/>
    <w:rsid w:val="00465C4D"/>
    <w:rsid w:val="00466DA2"/>
    <w:rsid w:val="004679AB"/>
    <w:rsid w:val="0047215D"/>
    <w:rsid w:val="00473849"/>
    <w:rsid w:val="00474064"/>
    <w:rsid w:val="00474088"/>
    <w:rsid w:val="00475FFE"/>
    <w:rsid w:val="004760AB"/>
    <w:rsid w:val="004776C4"/>
    <w:rsid w:val="00480273"/>
    <w:rsid w:val="004822C0"/>
    <w:rsid w:val="00490EE4"/>
    <w:rsid w:val="0049335D"/>
    <w:rsid w:val="00493917"/>
    <w:rsid w:val="00493ED4"/>
    <w:rsid w:val="00494217"/>
    <w:rsid w:val="004977FB"/>
    <w:rsid w:val="004A0562"/>
    <w:rsid w:val="004A25C4"/>
    <w:rsid w:val="004A31E5"/>
    <w:rsid w:val="004A4D33"/>
    <w:rsid w:val="004A72B7"/>
    <w:rsid w:val="004B04C8"/>
    <w:rsid w:val="004B13DC"/>
    <w:rsid w:val="004B3480"/>
    <w:rsid w:val="004B544A"/>
    <w:rsid w:val="004B792A"/>
    <w:rsid w:val="004C047D"/>
    <w:rsid w:val="004C20AF"/>
    <w:rsid w:val="004D03CC"/>
    <w:rsid w:val="004D03F4"/>
    <w:rsid w:val="004D2D9C"/>
    <w:rsid w:val="004D4330"/>
    <w:rsid w:val="004D6336"/>
    <w:rsid w:val="004E2F5B"/>
    <w:rsid w:val="004E3D0A"/>
    <w:rsid w:val="004E5299"/>
    <w:rsid w:val="004E5510"/>
    <w:rsid w:val="004E7887"/>
    <w:rsid w:val="004F1B33"/>
    <w:rsid w:val="004F672D"/>
    <w:rsid w:val="00501190"/>
    <w:rsid w:val="00505253"/>
    <w:rsid w:val="005105D9"/>
    <w:rsid w:val="0051258E"/>
    <w:rsid w:val="00513135"/>
    <w:rsid w:val="0051489C"/>
    <w:rsid w:val="00521396"/>
    <w:rsid w:val="005219D5"/>
    <w:rsid w:val="00522A6F"/>
    <w:rsid w:val="00523A59"/>
    <w:rsid w:val="00523C13"/>
    <w:rsid w:val="005262DA"/>
    <w:rsid w:val="00527BA3"/>
    <w:rsid w:val="00530902"/>
    <w:rsid w:val="00532472"/>
    <w:rsid w:val="00533008"/>
    <w:rsid w:val="00534921"/>
    <w:rsid w:val="00534E70"/>
    <w:rsid w:val="00535AE5"/>
    <w:rsid w:val="00535FF9"/>
    <w:rsid w:val="00536066"/>
    <w:rsid w:val="00536710"/>
    <w:rsid w:val="00536BBB"/>
    <w:rsid w:val="005504FD"/>
    <w:rsid w:val="00553FB4"/>
    <w:rsid w:val="00555A45"/>
    <w:rsid w:val="00560AA0"/>
    <w:rsid w:val="005626E1"/>
    <w:rsid w:val="00562E43"/>
    <w:rsid w:val="00562EBE"/>
    <w:rsid w:val="005670D7"/>
    <w:rsid w:val="0057269D"/>
    <w:rsid w:val="00572CB9"/>
    <w:rsid w:val="00576308"/>
    <w:rsid w:val="00576F4E"/>
    <w:rsid w:val="005772A2"/>
    <w:rsid w:val="00585B0F"/>
    <w:rsid w:val="00585C3D"/>
    <w:rsid w:val="005872A1"/>
    <w:rsid w:val="00590071"/>
    <w:rsid w:val="00593A3F"/>
    <w:rsid w:val="00594BE7"/>
    <w:rsid w:val="00596FEF"/>
    <w:rsid w:val="005A0587"/>
    <w:rsid w:val="005A0DEC"/>
    <w:rsid w:val="005A36EB"/>
    <w:rsid w:val="005B0882"/>
    <w:rsid w:val="005B1BE2"/>
    <w:rsid w:val="005B54CA"/>
    <w:rsid w:val="005C067C"/>
    <w:rsid w:val="005C0C09"/>
    <w:rsid w:val="005C1A92"/>
    <w:rsid w:val="005C1C18"/>
    <w:rsid w:val="005C2756"/>
    <w:rsid w:val="005C78FD"/>
    <w:rsid w:val="005C7C07"/>
    <w:rsid w:val="005D0D32"/>
    <w:rsid w:val="005D32E7"/>
    <w:rsid w:val="005D53A2"/>
    <w:rsid w:val="005D6686"/>
    <w:rsid w:val="005E0A51"/>
    <w:rsid w:val="005E2E55"/>
    <w:rsid w:val="005E3838"/>
    <w:rsid w:val="005E44DA"/>
    <w:rsid w:val="005E4F2E"/>
    <w:rsid w:val="005F1218"/>
    <w:rsid w:val="005F1458"/>
    <w:rsid w:val="005F344F"/>
    <w:rsid w:val="005F357A"/>
    <w:rsid w:val="005F559A"/>
    <w:rsid w:val="005F72C4"/>
    <w:rsid w:val="005F7A42"/>
    <w:rsid w:val="005F7CC9"/>
    <w:rsid w:val="00600CA0"/>
    <w:rsid w:val="00602E79"/>
    <w:rsid w:val="00603016"/>
    <w:rsid w:val="00603292"/>
    <w:rsid w:val="00604A59"/>
    <w:rsid w:val="00605BA8"/>
    <w:rsid w:val="00606153"/>
    <w:rsid w:val="006100BE"/>
    <w:rsid w:val="0061216C"/>
    <w:rsid w:val="00612B6C"/>
    <w:rsid w:val="006140E6"/>
    <w:rsid w:val="006141F5"/>
    <w:rsid w:val="006151E8"/>
    <w:rsid w:val="00623B3B"/>
    <w:rsid w:val="00625EBA"/>
    <w:rsid w:val="00626FC6"/>
    <w:rsid w:val="0063068B"/>
    <w:rsid w:val="006343CB"/>
    <w:rsid w:val="00635AEA"/>
    <w:rsid w:val="00643839"/>
    <w:rsid w:val="006443C0"/>
    <w:rsid w:val="00650278"/>
    <w:rsid w:val="00650EAA"/>
    <w:rsid w:val="00652344"/>
    <w:rsid w:val="006539D2"/>
    <w:rsid w:val="006546C1"/>
    <w:rsid w:val="006606B4"/>
    <w:rsid w:val="006629A4"/>
    <w:rsid w:val="00662B14"/>
    <w:rsid w:val="00667A15"/>
    <w:rsid w:val="00667EFC"/>
    <w:rsid w:val="006713E3"/>
    <w:rsid w:val="006779C8"/>
    <w:rsid w:val="006815C9"/>
    <w:rsid w:val="00681E2C"/>
    <w:rsid w:val="0068328C"/>
    <w:rsid w:val="0068765D"/>
    <w:rsid w:val="00691C55"/>
    <w:rsid w:val="00693880"/>
    <w:rsid w:val="00693BFA"/>
    <w:rsid w:val="00693FA6"/>
    <w:rsid w:val="00693FC7"/>
    <w:rsid w:val="00695BC3"/>
    <w:rsid w:val="00695C85"/>
    <w:rsid w:val="00696C57"/>
    <w:rsid w:val="006A031B"/>
    <w:rsid w:val="006A0AD7"/>
    <w:rsid w:val="006A6E86"/>
    <w:rsid w:val="006A77E0"/>
    <w:rsid w:val="006B0DCB"/>
    <w:rsid w:val="006B1128"/>
    <w:rsid w:val="006B29B5"/>
    <w:rsid w:val="006B570B"/>
    <w:rsid w:val="006C308B"/>
    <w:rsid w:val="006C3762"/>
    <w:rsid w:val="006C52CB"/>
    <w:rsid w:val="006C5EA4"/>
    <w:rsid w:val="006D2C22"/>
    <w:rsid w:val="006D3293"/>
    <w:rsid w:val="006D512F"/>
    <w:rsid w:val="006D5A4F"/>
    <w:rsid w:val="006D5C9D"/>
    <w:rsid w:val="006D629D"/>
    <w:rsid w:val="006D75F6"/>
    <w:rsid w:val="006E0EA6"/>
    <w:rsid w:val="006E3E1D"/>
    <w:rsid w:val="006E67B1"/>
    <w:rsid w:val="006F06D1"/>
    <w:rsid w:val="006F16B1"/>
    <w:rsid w:val="006F2011"/>
    <w:rsid w:val="006F70BD"/>
    <w:rsid w:val="00701433"/>
    <w:rsid w:val="0070348F"/>
    <w:rsid w:val="007045EF"/>
    <w:rsid w:val="00705EDF"/>
    <w:rsid w:val="0070725D"/>
    <w:rsid w:val="00710F61"/>
    <w:rsid w:val="00713CA0"/>
    <w:rsid w:val="007143D3"/>
    <w:rsid w:val="00717505"/>
    <w:rsid w:val="0072276D"/>
    <w:rsid w:val="00722F5C"/>
    <w:rsid w:val="007230FE"/>
    <w:rsid w:val="00723A23"/>
    <w:rsid w:val="007261F8"/>
    <w:rsid w:val="00727010"/>
    <w:rsid w:val="00731F34"/>
    <w:rsid w:val="0073298E"/>
    <w:rsid w:val="007340F5"/>
    <w:rsid w:val="00735459"/>
    <w:rsid w:val="00735CA2"/>
    <w:rsid w:val="0073741D"/>
    <w:rsid w:val="00737BC1"/>
    <w:rsid w:val="00737E92"/>
    <w:rsid w:val="00740EEE"/>
    <w:rsid w:val="0074192E"/>
    <w:rsid w:val="00751337"/>
    <w:rsid w:val="00751621"/>
    <w:rsid w:val="00752E44"/>
    <w:rsid w:val="00754F26"/>
    <w:rsid w:val="00757807"/>
    <w:rsid w:val="007632BE"/>
    <w:rsid w:val="00764C4A"/>
    <w:rsid w:val="0076519F"/>
    <w:rsid w:val="00765460"/>
    <w:rsid w:val="007735E1"/>
    <w:rsid w:val="00774025"/>
    <w:rsid w:val="00774ADF"/>
    <w:rsid w:val="007757A5"/>
    <w:rsid w:val="0078044D"/>
    <w:rsid w:val="007816BC"/>
    <w:rsid w:val="00782E65"/>
    <w:rsid w:val="007853BD"/>
    <w:rsid w:val="00792179"/>
    <w:rsid w:val="00792ECB"/>
    <w:rsid w:val="007975EC"/>
    <w:rsid w:val="007A0996"/>
    <w:rsid w:val="007A0F6E"/>
    <w:rsid w:val="007A6155"/>
    <w:rsid w:val="007A689A"/>
    <w:rsid w:val="007A6EAB"/>
    <w:rsid w:val="007A7824"/>
    <w:rsid w:val="007B0A6E"/>
    <w:rsid w:val="007B56CD"/>
    <w:rsid w:val="007B674A"/>
    <w:rsid w:val="007B6DD3"/>
    <w:rsid w:val="007B7EDD"/>
    <w:rsid w:val="007C1465"/>
    <w:rsid w:val="007C40CB"/>
    <w:rsid w:val="007C469E"/>
    <w:rsid w:val="007C6105"/>
    <w:rsid w:val="007D2B44"/>
    <w:rsid w:val="007E1372"/>
    <w:rsid w:val="007E2B45"/>
    <w:rsid w:val="007E44F2"/>
    <w:rsid w:val="007F0807"/>
    <w:rsid w:val="007F20D4"/>
    <w:rsid w:val="007F40F7"/>
    <w:rsid w:val="007F5646"/>
    <w:rsid w:val="007F632E"/>
    <w:rsid w:val="008028E1"/>
    <w:rsid w:val="008041DC"/>
    <w:rsid w:val="008059B1"/>
    <w:rsid w:val="0080684A"/>
    <w:rsid w:val="00807201"/>
    <w:rsid w:val="00811C4E"/>
    <w:rsid w:val="00811F02"/>
    <w:rsid w:val="00812DBF"/>
    <w:rsid w:val="0081591D"/>
    <w:rsid w:val="008162AE"/>
    <w:rsid w:val="00816F94"/>
    <w:rsid w:val="00817280"/>
    <w:rsid w:val="0081744C"/>
    <w:rsid w:val="008179D9"/>
    <w:rsid w:val="00823AC9"/>
    <w:rsid w:val="008247A5"/>
    <w:rsid w:val="00827B75"/>
    <w:rsid w:val="00827FAB"/>
    <w:rsid w:val="0083004E"/>
    <w:rsid w:val="00832EC6"/>
    <w:rsid w:val="0083358D"/>
    <w:rsid w:val="00837C26"/>
    <w:rsid w:val="008416E6"/>
    <w:rsid w:val="00844392"/>
    <w:rsid w:val="00844E0E"/>
    <w:rsid w:val="00845EFB"/>
    <w:rsid w:val="008474A2"/>
    <w:rsid w:val="00852E0B"/>
    <w:rsid w:val="00853468"/>
    <w:rsid w:val="0085398F"/>
    <w:rsid w:val="00853F31"/>
    <w:rsid w:val="008551CE"/>
    <w:rsid w:val="00857638"/>
    <w:rsid w:val="008740D1"/>
    <w:rsid w:val="0087710D"/>
    <w:rsid w:val="008809FE"/>
    <w:rsid w:val="0088120F"/>
    <w:rsid w:val="0088264A"/>
    <w:rsid w:val="00884544"/>
    <w:rsid w:val="00890B84"/>
    <w:rsid w:val="0089447D"/>
    <w:rsid w:val="008A1795"/>
    <w:rsid w:val="008A1E15"/>
    <w:rsid w:val="008A602B"/>
    <w:rsid w:val="008A67E5"/>
    <w:rsid w:val="008A7AE0"/>
    <w:rsid w:val="008B0332"/>
    <w:rsid w:val="008B1A64"/>
    <w:rsid w:val="008B300F"/>
    <w:rsid w:val="008B7023"/>
    <w:rsid w:val="008B7751"/>
    <w:rsid w:val="008C106F"/>
    <w:rsid w:val="008C2BDA"/>
    <w:rsid w:val="008C44AF"/>
    <w:rsid w:val="008C543C"/>
    <w:rsid w:val="008C56F9"/>
    <w:rsid w:val="008D033E"/>
    <w:rsid w:val="008D0E50"/>
    <w:rsid w:val="008D1338"/>
    <w:rsid w:val="008D4892"/>
    <w:rsid w:val="008D7F83"/>
    <w:rsid w:val="008E1850"/>
    <w:rsid w:val="008E3617"/>
    <w:rsid w:val="008E3825"/>
    <w:rsid w:val="008E4CA3"/>
    <w:rsid w:val="008E5484"/>
    <w:rsid w:val="008F100B"/>
    <w:rsid w:val="008F12EA"/>
    <w:rsid w:val="008F6077"/>
    <w:rsid w:val="008F70C7"/>
    <w:rsid w:val="008F78E3"/>
    <w:rsid w:val="009004D4"/>
    <w:rsid w:val="00902DE0"/>
    <w:rsid w:val="00913E85"/>
    <w:rsid w:val="00917074"/>
    <w:rsid w:val="009205CF"/>
    <w:rsid w:val="00925489"/>
    <w:rsid w:val="00925A10"/>
    <w:rsid w:val="00925BB0"/>
    <w:rsid w:val="0092643C"/>
    <w:rsid w:val="009300A2"/>
    <w:rsid w:val="009353D3"/>
    <w:rsid w:val="00941D6C"/>
    <w:rsid w:val="00945D05"/>
    <w:rsid w:val="00946920"/>
    <w:rsid w:val="009479E1"/>
    <w:rsid w:val="0095032F"/>
    <w:rsid w:val="00950EBB"/>
    <w:rsid w:val="0095502C"/>
    <w:rsid w:val="00955F33"/>
    <w:rsid w:val="009600E0"/>
    <w:rsid w:val="0096398A"/>
    <w:rsid w:val="00965DF1"/>
    <w:rsid w:val="0097009F"/>
    <w:rsid w:val="00971A45"/>
    <w:rsid w:val="00974422"/>
    <w:rsid w:val="00976A27"/>
    <w:rsid w:val="00976DB5"/>
    <w:rsid w:val="00977F17"/>
    <w:rsid w:val="0098496C"/>
    <w:rsid w:val="00984C1C"/>
    <w:rsid w:val="0098536D"/>
    <w:rsid w:val="009876E5"/>
    <w:rsid w:val="00990567"/>
    <w:rsid w:val="00990B99"/>
    <w:rsid w:val="009937BC"/>
    <w:rsid w:val="009949E3"/>
    <w:rsid w:val="00995279"/>
    <w:rsid w:val="009A0049"/>
    <w:rsid w:val="009B01AE"/>
    <w:rsid w:val="009B1E5D"/>
    <w:rsid w:val="009C20A7"/>
    <w:rsid w:val="009C33DC"/>
    <w:rsid w:val="009C5AC2"/>
    <w:rsid w:val="009D0EA4"/>
    <w:rsid w:val="009D217C"/>
    <w:rsid w:val="009E1421"/>
    <w:rsid w:val="009E2C28"/>
    <w:rsid w:val="009E3605"/>
    <w:rsid w:val="009E6AB1"/>
    <w:rsid w:val="009F0E12"/>
    <w:rsid w:val="009F2E1F"/>
    <w:rsid w:val="009F3AA1"/>
    <w:rsid w:val="009F45CE"/>
    <w:rsid w:val="009F4E44"/>
    <w:rsid w:val="009F6405"/>
    <w:rsid w:val="009F72CB"/>
    <w:rsid w:val="009F74A5"/>
    <w:rsid w:val="009F7CEF"/>
    <w:rsid w:val="00A00561"/>
    <w:rsid w:val="00A006F4"/>
    <w:rsid w:val="00A008A4"/>
    <w:rsid w:val="00A020CF"/>
    <w:rsid w:val="00A02384"/>
    <w:rsid w:val="00A05493"/>
    <w:rsid w:val="00A076CA"/>
    <w:rsid w:val="00A076DE"/>
    <w:rsid w:val="00A07C87"/>
    <w:rsid w:val="00A11C1A"/>
    <w:rsid w:val="00A11D4B"/>
    <w:rsid w:val="00A138CE"/>
    <w:rsid w:val="00A16F67"/>
    <w:rsid w:val="00A215AD"/>
    <w:rsid w:val="00A22345"/>
    <w:rsid w:val="00A22EA6"/>
    <w:rsid w:val="00A24C15"/>
    <w:rsid w:val="00A25F91"/>
    <w:rsid w:val="00A30B3C"/>
    <w:rsid w:val="00A36F9B"/>
    <w:rsid w:val="00A37723"/>
    <w:rsid w:val="00A40E42"/>
    <w:rsid w:val="00A42C32"/>
    <w:rsid w:val="00A433B6"/>
    <w:rsid w:val="00A454F6"/>
    <w:rsid w:val="00A45F1F"/>
    <w:rsid w:val="00A5047F"/>
    <w:rsid w:val="00A50547"/>
    <w:rsid w:val="00A513DD"/>
    <w:rsid w:val="00A52393"/>
    <w:rsid w:val="00A52C87"/>
    <w:rsid w:val="00A5307E"/>
    <w:rsid w:val="00A55D42"/>
    <w:rsid w:val="00A6482A"/>
    <w:rsid w:val="00A6560F"/>
    <w:rsid w:val="00A65A69"/>
    <w:rsid w:val="00A73DCA"/>
    <w:rsid w:val="00A73EBF"/>
    <w:rsid w:val="00A746B2"/>
    <w:rsid w:val="00A75410"/>
    <w:rsid w:val="00A81177"/>
    <w:rsid w:val="00A839E8"/>
    <w:rsid w:val="00A84785"/>
    <w:rsid w:val="00A85F98"/>
    <w:rsid w:val="00A86C39"/>
    <w:rsid w:val="00A92D45"/>
    <w:rsid w:val="00A93464"/>
    <w:rsid w:val="00A9547B"/>
    <w:rsid w:val="00A9768F"/>
    <w:rsid w:val="00AA2A54"/>
    <w:rsid w:val="00AA3AB3"/>
    <w:rsid w:val="00AB092C"/>
    <w:rsid w:val="00AB2507"/>
    <w:rsid w:val="00AB3B22"/>
    <w:rsid w:val="00AC446D"/>
    <w:rsid w:val="00AD1EBB"/>
    <w:rsid w:val="00AD3337"/>
    <w:rsid w:val="00AD42F2"/>
    <w:rsid w:val="00AD46B8"/>
    <w:rsid w:val="00AD5B18"/>
    <w:rsid w:val="00AE1FA1"/>
    <w:rsid w:val="00AE2C0B"/>
    <w:rsid w:val="00AE5667"/>
    <w:rsid w:val="00AE695D"/>
    <w:rsid w:val="00AF0914"/>
    <w:rsid w:val="00AF12C7"/>
    <w:rsid w:val="00AF1E07"/>
    <w:rsid w:val="00AF3B15"/>
    <w:rsid w:val="00AF4CE1"/>
    <w:rsid w:val="00AF7844"/>
    <w:rsid w:val="00AF7F9D"/>
    <w:rsid w:val="00B02263"/>
    <w:rsid w:val="00B13142"/>
    <w:rsid w:val="00B14836"/>
    <w:rsid w:val="00B17232"/>
    <w:rsid w:val="00B17704"/>
    <w:rsid w:val="00B17954"/>
    <w:rsid w:val="00B23316"/>
    <w:rsid w:val="00B23FD9"/>
    <w:rsid w:val="00B2460D"/>
    <w:rsid w:val="00B25D4A"/>
    <w:rsid w:val="00B26D37"/>
    <w:rsid w:val="00B272C8"/>
    <w:rsid w:val="00B274AA"/>
    <w:rsid w:val="00B30B0C"/>
    <w:rsid w:val="00B32220"/>
    <w:rsid w:val="00B33A9D"/>
    <w:rsid w:val="00B34C6B"/>
    <w:rsid w:val="00B3538A"/>
    <w:rsid w:val="00B47E7F"/>
    <w:rsid w:val="00B51839"/>
    <w:rsid w:val="00B523B0"/>
    <w:rsid w:val="00B52F2E"/>
    <w:rsid w:val="00B53022"/>
    <w:rsid w:val="00B53C48"/>
    <w:rsid w:val="00B54EBC"/>
    <w:rsid w:val="00B70AC1"/>
    <w:rsid w:val="00B74517"/>
    <w:rsid w:val="00B76E46"/>
    <w:rsid w:val="00B816A9"/>
    <w:rsid w:val="00B82DC0"/>
    <w:rsid w:val="00B8346E"/>
    <w:rsid w:val="00B846A7"/>
    <w:rsid w:val="00B85D52"/>
    <w:rsid w:val="00B860C6"/>
    <w:rsid w:val="00B870AE"/>
    <w:rsid w:val="00B87958"/>
    <w:rsid w:val="00B90D7B"/>
    <w:rsid w:val="00B90FDC"/>
    <w:rsid w:val="00B9364B"/>
    <w:rsid w:val="00B9371B"/>
    <w:rsid w:val="00B944F0"/>
    <w:rsid w:val="00B97A32"/>
    <w:rsid w:val="00BA023C"/>
    <w:rsid w:val="00BA106D"/>
    <w:rsid w:val="00BA71C3"/>
    <w:rsid w:val="00BB3B6A"/>
    <w:rsid w:val="00BB7D4D"/>
    <w:rsid w:val="00BC07A7"/>
    <w:rsid w:val="00BC22BA"/>
    <w:rsid w:val="00BC3306"/>
    <w:rsid w:val="00BC4DD8"/>
    <w:rsid w:val="00BC51BA"/>
    <w:rsid w:val="00BC5CA1"/>
    <w:rsid w:val="00BC6F08"/>
    <w:rsid w:val="00BC70F4"/>
    <w:rsid w:val="00BC7A01"/>
    <w:rsid w:val="00BD0D8C"/>
    <w:rsid w:val="00BD2EB2"/>
    <w:rsid w:val="00BD360F"/>
    <w:rsid w:val="00BD4626"/>
    <w:rsid w:val="00BD6E32"/>
    <w:rsid w:val="00BD6E67"/>
    <w:rsid w:val="00BD7649"/>
    <w:rsid w:val="00BE163E"/>
    <w:rsid w:val="00BE55A1"/>
    <w:rsid w:val="00BE61D4"/>
    <w:rsid w:val="00BE727F"/>
    <w:rsid w:val="00BF01EE"/>
    <w:rsid w:val="00BF2E17"/>
    <w:rsid w:val="00BF4172"/>
    <w:rsid w:val="00BF45C4"/>
    <w:rsid w:val="00BF4725"/>
    <w:rsid w:val="00BF54B6"/>
    <w:rsid w:val="00BF5612"/>
    <w:rsid w:val="00BF7067"/>
    <w:rsid w:val="00BF7D74"/>
    <w:rsid w:val="00BF7F09"/>
    <w:rsid w:val="00C011DE"/>
    <w:rsid w:val="00C06A36"/>
    <w:rsid w:val="00C07436"/>
    <w:rsid w:val="00C15C49"/>
    <w:rsid w:val="00C16427"/>
    <w:rsid w:val="00C247C3"/>
    <w:rsid w:val="00C26D76"/>
    <w:rsid w:val="00C3014B"/>
    <w:rsid w:val="00C30EE1"/>
    <w:rsid w:val="00C32F70"/>
    <w:rsid w:val="00C37256"/>
    <w:rsid w:val="00C5242D"/>
    <w:rsid w:val="00C52896"/>
    <w:rsid w:val="00C52BE9"/>
    <w:rsid w:val="00C55C64"/>
    <w:rsid w:val="00C60BEB"/>
    <w:rsid w:val="00C61117"/>
    <w:rsid w:val="00C634E8"/>
    <w:rsid w:val="00C647A2"/>
    <w:rsid w:val="00C655D7"/>
    <w:rsid w:val="00C66769"/>
    <w:rsid w:val="00C67FB1"/>
    <w:rsid w:val="00C71812"/>
    <w:rsid w:val="00C730AB"/>
    <w:rsid w:val="00C73A22"/>
    <w:rsid w:val="00C741FD"/>
    <w:rsid w:val="00C74C48"/>
    <w:rsid w:val="00C77DB7"/>
    <w:rsid w:val="00C80996"/>
    <w:rsid w:val="00C8135F"/>
    <w:rsid w:val="00C818DC"/>
    <w:rsid w:val="00C83E81"/>
    <w:rsid w:val="00C83FF3"/>
    <w:rsid w:val="00C8585C"/>
    <w:rsid w:val="00C914E4"/>
    <w:rsid w:val="00C92037"/>
    <w:rsid w:val="00C9444B"/>
    <w:rsid w:val="00C95491"/>
    <w:rsid w:val="00C9662E"/>
    <w:rsid w:val="00C97181"/>
    <w:rsid w:val="00C97940"/>
    <w:rsid w:val="00C97E1C"/>
    <w:rsid w:val="00CA03C0"/>
    <w:rsid w:val="00CA1242"/>
    <w:rsid w:val="00CA2C28"/>
    <w:rsid w:val="00CA33E1"/>
    <w:rsid w:val="00CA540D"/>
    <w:rsid w:val="00CB261D"/>
    <w:rsid w:val="00CB3125"/>
    <w:rsid w:val="00CB46FF"/>
    <w:rsid w:val="00CB658E"/>
    <w:rsid w:val="00CC0959"/>
    <w:rsid w:val="00CC44E4"/>
    <w:rsid w:val="00CC472E"/>
    <w:rsid w:val="00CC55BD"/>
    <w:rsid w:val="00CC61D9"/>
    <w:rsid w:val="00CD0CA7"/>
    <w:rsid w:val="00CD24C1"/>
    <w:rsid w:val="00CD3035"/>
    <w:rsid w:val="00CD4AA8"/>
    <w:rsid w:val="00CD4CDE"/>
    <w:rsid w:val="00CD5AFA"/>
    <w:rsid w:val="00CE2D7F"/>
    <w:rsid w:val="00CE340E"/>
    <w:rsid w:val="00CE5EF4"/>
    <w:rsid w:val="00CE7987"/>
    <w:rsid w:val="00CF0EFA"/>
    <w:rsid w:val="00CF2035"/>
    <w:rsid w:val="00CF2272"/>
    <w:rsid w:val="00CF232A"/>
    <w:rsid w:val="00CF60C2"/>
    <w:rsid w:val="00D00495"/>
    <w:rsid w:val="00D023D9"/>
    <w:rsid w:val="00D03368"/>
    <w:rsid w:val="00D0590B"/>
    <w:rsid w:val="00D106CC"/>
    <w:rsid w:val="00D10E5D"/>
    <w:rsid w:val="00D1272A"/>
    <w:rsid w:val="00D13287"/>
    <w:rsid w:val="00D13917"/>
    <w:rsid w:val="00D15C68"/>
    <w:rsid w:val="00D17957"/>
    <w:rsid w:val="00D2003F"/>
    <w:rsid w:val="00D20E8A"/>
    <w:rsid w:val="00D2176A"/>
    <w:rsid w:val="00D2551A"/>
    <w:rsid w:val="00D25648"/>
    <w:rsid w:val="00D319F2"/>
    <w:rsid w:val="00D352A3"/>
    <w:rsid w:val="00D41DB9"/>
    <w:rsid w:val="00D41E6C"/>
    <w:rsid w:val="00D451F2"/>
    <w:rsid w:val="00D4549B"/>
    <w:rsid w:val="00D4578D"/>
    <w:rsid w:val="00D46254"/>
    <w:rsid w:val="00D51427"/>
    <w:rsid w:val="00D51852"/>
    <w:rsid w:val="00D54CBD"/>
    <w:rsid w:val="00D5684B"/>
    <w:rsid w:val="00D57DCA"/>
    <w:rsid w:val="00D61A03"/>
    <w:rsid w:val="00D61E95"/>
    <w:rsid w:val="00D70309"/>
    <w:rsid w:val="00D70FD9"/>
    <w:rsid w:val="00D726BF"/>
    <w:rsid w:val="00D73C70"/>
    <w:rsid w:val="00D749E6"/>
    <w:rsid w:val="00D773E0"/>
    <w:rsid w:val="00D776AF"/>
    <w:rsid w:val="00D82AD1"/>
    <w:rsid w:val="00D857FE"/>
    <w:rsid w:val="00D900C2"/>
    <w:rsid w:val="00D903E0"/>
    <w:rsid w:val="00D91920"/>
    <w:rsid w:val="00D93FE2"/>
    <w:rsid w:val="00D94229"/>
    <w:rsid w:val="00DA0CFE"/>
    <w:rsid w:val="00DA1D43"/>
    <w:rsid w:val="00DA291E"/>
    <w:rsid w:val="00DA2A27"/>
    <w:rsid w:val="00DA3EA2"/>
    <w:rsid w:val="00DA5616"/>
    <w:rsid w:val="00DB060A"/>
    <w:rsid w:val="00DB2EE2"/>
    <w:rsid w:val="00DB5341"/>
    <w:rsid w:val="00DC0AD9"/>
    <w:rsid w:val="00DC0C2F"/>
    <w:rsid w:val="00DC1597"/>
    <w:rsid w:val="00DC48F8"/>
    <w:rsid w:val="00DC5097"/>
    <w:rsid w:val="00DC719D"/>
    <w:rsid w:val="00DD34A1"/>
    <w:rsid w:val="00DD5420"/>
    <w:rsid w:val="00DD5C51"/>
    <w:rsid w:val="00DD672D"/>
    <w:rsid w:val="00DD732B"/>
    <w:rsid w:val="00DD7D56"/>
    <w:rsid w:val="00DE0955"/>
    <w:rsid w:val="00DE0DD7"/>
    <w:rsid w:val="00DE249A"/>
    <w:rsid w:val="00DE3105"/>
    <w:rsid w:val="00DE5329"/>
    <w:rsid w:val="00DF0080"/>
    <w:rsid w:val="00DF19D7"/>
    <w:rsid w:val="00E007A8"/>
    <w:rsid w:val="00E01C72"/>
    <w:rsid w:val="00E055CB"/>
    <w:rsid w:val="00E06B6A"/>
    <w:rsid w:val="00E10525"/>
    <w:rsid w:val="00E11000"/>
    <w:rsid w:val="00E11804"/>
    <w:rsid w:val="00E12220"/>
    <w:rsid w:val="00E1563C"/>
    <w:rsid w:val="00E22880"/>
    <w:rsid w:val="00E254E4"/>
    <w:rsid w:val="00E257F9"/>
    <w:rsid w:val="00E26B6C"/>
    <w:rsid w:val="00E327D1"/>
    <w:rsid w:val="00E36F7F"/>
    <w:rsid w:val="00E42059"/>
    <w:rsid w:val="00E42F37"/>
    <w:rsid w:val="00E45CB8"/>
    <w:rsid w:val="00E45DA1"/>
    <w:rsid w:val="00E46193"/>
    <w:rsid w:val="00E52AFB"/>
    <w:rsid w:val="00E647C5"/>
    <w:rsid w:val="00E66850"/>
    <w:rsid w:val="00E744B9"/>
    <w:rsid w:val="00E7599C"/>
    <w:rsid w:val="00E7733E"/>
    <w:rsid w:val="00E77BD8"/>
    <w:rsid w:val="00E80736"/>
    <w:rsid w:val="00E81336"/>
    <w:rsid w:val="00E81BBD"/>
    <w:rsid w:val="00E82C97"/>
    <w:rsid w:val="00E839DD"/>
    <w:rsid w:val="00E84B77"/>
    <w:rsid w:val="00E85334"/>
    <w:rsid w:val="00E875E6"/>
    <w:rsid w:val="00E8775D"/>
    <w:rsid w:val="00E900FA"/>
    <w:rsid w:val="00E9606B"/>
    <w:rsid w:val="00EA690E"/>
    <w:rsid w:val="00EA6B9E"/>
    <w:rsid w:val="00EB587F"/>
    <w:rsid w:val="00EB6B36"/>
    <w:rsid w:val="00EC0A15"/>
    <w:rsid w:val="00EC2208"/>
    <w:rsid w:val="00EC4777"/>
    <w:rsid w:val="00EC5225"/>
    <w:rsid w:val="00EC52D5"/>
    <w:rsid w:val="00EC6BE0"/>
    <w:rsid w:val="00EC7541"/>
    <w:rsid w:val="00EC773E"/>
    <w:rsid w:val="00ED2633"/>
    <w:rsid w:val="00ED3A0D"/>
    <w:rsid w:val="00ED3A1C"/>
    <w:rsid w:val="00ED513E"/>
    <w:rsid w:val="00ED7151"/>
    <w:rsid w:val="00EE007A"/>
    <w:rsid w:val="00EE2FC0"/>
    <w:rsid w:val="00EE3944"/>
    <w:rsid w:val="00EE7602"/>
    <w:rsid w:val="00EF08CA"/>
    <w:rsid w:val="00EF0ADC"/>
    <w:rsid w:val="00EF4E87"/>
    <w:rsid w:val="00EF5151"/>
    <w:rsid w:val="00EF5C07"/>
    <w:rsid w:val="00EF5C94"/>
    <w:rsid w:val="00F001CF"/>
    <w:rsid w:val="00F00555"/>
    <w:rsid w:val="00F009F2"/>
    <w:rsid w:val="00F00FA8"/>
    <w:rsid w:val="00F03882"/>
    <w:rsid w:val="00F1105B"/>
    <w:rsid w:val="00F13A30"/>
    <w:rsid w:val="00F152BD"/>
    <w:rsid w:val="00F17840"/>
    <w:rsid w:val="00F20366"/>
    <w:rsid w:val="00F20A1D"/>
    <w:rsid w:val="00F219B8"/>
    <w:rsid w:val="00F23EC8"/>
    <w:rsid w:val="00F23FA3"/>
    <w:rsid w:val="00F241EE"/>
    <w:rsid w:val="00F242AB"/>
    <w:rsid w:val="00F265F9"/>
    <w:rsid w:val="00F30500"/>
    <w:rsid w:val="00F33172"/>
    <w:rsid w:val="00F33A0C"/>
    <w:rsid w:val="00F35012"/>
    <w:rsid w:val="00F359BD"/>
    <w:rsid w:val="00F37053"/>
    <w:rsid w:val="00F4439C"/>
    <w:rsid w:val="00F459DB"/>
    <w:rsid w:val="00F47838"/>
    <w:rsid w:val="00F478B1"/>
    <w:rsid w:val="00F50F72"/>
    <w:rsid w:val="00F51252"/>
    <w:rsid w:val="00F514C2"/>
    <w:rsid w:val="00F538ED"/>
    <w:rsid w:val="00F544D6"/>
    <w:rsid w:val="00F54B10"/>
    <w:rsid w:val="00F55529"/>
    <w:rsid w:val="00F56250"/>
    <w:rsid w:val="00F6097A"/>
    <w:rsid w:val="00F65C9A"/>
    <w:rsid w:val="00F664EC"/>
    <w:rsid w:val="00F665BB"/>
    <w:rsid w:val="00F66660"/>
    <w:rsid w:val="00F66B6B"/>
    <w:rsid w:val="00F7193D"/>
    <w:rsid w:val="00F75848"/>
    <w:rsid w:val="00F75BD9"/>
    <w:rsid w:val="00F769ED"/>
    <w:rsid w:val="00F820C9"/>
    <w:rsid w:val="00F83127"/>
    <w:rsid w:val="00F845A8"/>
    <w:rsid w:val="00F87975"/>
    <w:rsid w:val="00F87D0E"/>
    <w:rsid w:val="00F95F9A"/>
    <w:rsid w:val="00F97B3C"/>
    <w:rsid w:val="00F97C37"/>
    <w:rsid w:val="00FA1EDF"/>
    <w:rsid w:val="00FA3403"/>
    <w:rsid w:val="00FA56C9"/>
    <w:rsid w:val="00FA69CC"/>
    <w:rsid w:val="00FB0C82"/>
    <w:rsid w:val="00FB464A"/>
    <w:rsid w:val="00FB6582"/>
    <w:rsid w:val="00FC0119"/>
    <w:rsid w:val="00FD17AE"/>
    <w:rsid w:val="00FD512A"/>
    <w:rsid w:val="00FD5A41"/>
    <w:rsid w:val="00FD7DBD"/>
    <w:rsid w:val="00FE10B2"/>
    <w:rsid w:val="00FE3B6F"/>
    <w:rsid w:val="00FE4316"/>
    <w:rsid w:val="00FF1B23"/>
    <w:rsid w:val="00FF2EFA"/>
    <w:rsid w:val="00FF5E54"/>
    <w:rsid w:val="018071B8"/>
    <w:rsid w:val="02B7624C"/>
    <w:rsid w:val="02BC4C5D"/>
    <w:rsid w:val="02D845D9"/>
    <w:rsid w:val="03724869"/>
    <w:rsid w:val="051756C8"/>
    <w:rsid w:val="05714A3E"/>
    <w:rsid w:val="060C68AF"/>
    <w:rsid w:val="08A22885"/>
    <w:rsid w:val="08A52FEB"/>
    <w:rsid w:val="09287EA3"/>
    <w:rsid w:val="093F51ED"/>
    <w:rsid w:val="0A0E7914"/>
    <w:rsid w:val="0A554C12"/>
    <w:rsid w:val="0AB51023"/>
    <w:rsid w:val="0B9E16C2"/>
    <w:rsid w:val="0C65230E"/>
    <w:rsid w:val="0CCA3DC8"/>
    <w:rsid w:val="0D334ACC"/>
    <w:rsid w:val="0D9949D0"/>
    <w:rsid w:val="0DE72427"/>
    <w:rsid w:val="0FA52CC1"/>
    <w:rsid w:val="117B6FDE"/>
    <w:rsid w:val="12344C6A"/>
    <w:rsid w:val="12647A72"/>
    <w:rsid w:val="14AD4B0B"/>
    <w:rsid w:val="14C21E99"/>
    <w:rsid w:val="151F1027"/>
    <w:rsid w:val="15AF54A9"/>
    <w:rsid w:val="164E283F"/>
    <w:rsid w:val="16593728"/>
    <w:rsid w:val="16895CFA"/>
    <w:rsid w:val="16EC4F54"/>
    <w:rsid w:val="1824217E"/>
    <w:rsid w:val="193E2DCB"/>
    <w:rsid w:val="19600756"/>
    <w:rsid w:val="1A0E09F0"/>
    <w:rsid w:val="1A360B8D"/>
    <w:rsid w:val="1B650AE3"/>
    <w:rsid w:val="1C4E11FC"/>
    <w:rsid w:val="1C530F07"/>
    <w:rsid w:val="1C7A3BE8"/>
    <w:rsid w:val="1D8A4831"/>
    <w:rsid w:val="1DCA3DA8"/>
    <w:rsid w:val="20653360"/>
    <w:rsid w:val="217F126B"/>
    <w:rsid w:val="21CB1591"/>
    <w:rsid w:val="235A0F1C"/>
    <w:rsid w:val="23B32608"/>
    <w:rsid w:val="23BD4C86"/>
    <w:rsid w:val="25EA27DA"/>
    <w:rsid w:val="26B0556D"/>
    <w:rsid w:val="26FC4F39"/>
    <w:rsid w:val="26FE765C"/>
    <w:rsid w:val="275A34C6"/>
    <w:rsid w:val="275E288B"/>
    <w:rsid w:val="281A529E"/>
    <w:rsid w:val="284321AC"/>
    <w:rsid w:val="28940C5A"/>
    <w:rsid w:val="29785E86"/>
    <w:rsid w:val="298E7457"/>
    <w:rsid w:val="29DA38D3"/>
    <w:rsid w:val="29FE6EBD"/>
    <w:rsid w:val="2BE21CDC"/>
    <w:rsid w:val="2C9C00DD"/>
    <w:rsid w:val="2D6311CF"/>
    <w:rsid w:val="2E491215"/>
    <w:rsid w:val="2E625356"/>
    <w:rsid w:val="2EE93382"/>
    <w:rsid w:val="2F546A4D"/>
    <w:rsid w:val="2FB938A3"/>
    <w:rsid w:val="2FBC45F2"/>
    <w:rsid w:val="2FEC5AC9"/>
    <w:rsid w:val="3073662F"/>
    <w:rsid w:val="308D611F"/>
    <w:rsid w:val="33472ECB"/>
    <w:rsid w:val="33723946"/>
    <w:rsid w:val="36631C6B"/>
    <w:rsid w:val="36F24934"/>
    <w:rsid w:val="38397128"/>
    <w:rsid w:val="38C34474"/>
    <w:rsid w:val="39540149"/>
    <w:rsid w:val="39553AED"/>
    <w:rsid w:val="3A7435EF"/>
    <w:rsid w:val="3BA96372"/>
    <w:rsid w:val="3C243F32"/>
    <w:rsid w:val="3D1B32A0"/>
    <w:rsid w:val="3E0524C1"/>
    <w:rsid w:val="3F9528DC"/>
    <w:rsid w:val="419F758B"/>
    <w:rsid w:val="42002CA5"/>
    <w:rsid w:val="42D71A17"/>
    <w:rsid w:val="443E0D80"/>
    <w:rsid w:val="45343151"/>
    <w:rsid w:val="454A2974"/>
    <w:rsid w:val="45AC63E3"/>
    <w:rsid w:val="482C2774"/>
    <w:rsid w:val="48651873"/>
    <w:rsid w:val="48825F81"/>
    <w:rsid w:val="4AD73C7C"/>
    <w:rsid w:val="4BD27507"/>
    <w:rsid w:val="4F5C1A98"/>
    <w:rsid w:val="4FBE6988"/>
    <w:rsid w:val="508318BA"/>
    <w:rsid w:val="5148222E"/>
    <w:rsid w:val="51694182"/>
    <w:rsid w:val="51C12C40"/>
    <w:rsid w:val="51D17482"/>
    <w:rsid w:val="51E15998"/>
    <w:rsid w:val="523F4EE3"/>
    <w:rsid w:val="53FA5565"/>
    <w:rsid w:val="54DA79FD"/>
    <w:rsid w:val="54E15FB5"/>
    <w:rsid w:val="557E5D22"/>
    <w:rsid w:val="560759D0"/>
    <w:rsid w:val="56CC3F0D"/>
    <w:rsid w:val="580B5F93"/>
    <w:rsid w:val="59986D53"/>
    <w:rsid w:val="5C492784"/>
    <w:rsid w:val="5D6D64F9"/>
    <w:rsid w:val="5D9844C1"/>
    <w:rsid w:val="5E111E29"/>
    <w:rsid w:val="600333A8"/>
    <w:rsid w:val="6005494C"/>
    <w:rsid w:val="60067040"/>
    <w:rsid w:val="601D4B9F"/>
    <w:rsid w:val="60521914"/>
    <w:rsid w:val="62F87114"/>
    <w:rsid w:val="62FE04A2"/>
    <w:rsid w:val="637D39D2"/>
    <w:rsid w:val="6401024A"/>
    <w:rsid w:val="65117638"/>
    <w:rsid w:val="653404D7"/>
    <w:rsid w:val="665C3E5E"/>
    <w:rsid w:val="66CC3098"/>
    <w:rsid w:val="68216C09"/>
    <w:rsid w:val="686274C3"/>
    <w:rsid w:val="69BB533F"/>
    <w:rsid w:val="6A3F7D1E"/>
    <w:rsid w:val="6A8B4D12"/>
    <w:rsid w:val="6B003EA6"/>
    <w:rsid w:val="6B004139"/>
    <w:rsid w:val="6C2C0FE8"/>
    <w:rsid w:val="6C4B7530"/>
    <w:rsid w:val="6CFC1A15"/>
    <w:rsid w:val="6DBD0F39"/>
    <w:rsid w:val="6DD30EA9"/>
    <w:rsid w:val="6E9048CA"/>
    <w:rsid w:val="6F5C0D62"/>
    <w:rsid w:val="72146F60"/>
    <w:rsid w:val="724D57F5"/>
    <w:rsid w:val="735F4F8D"/>
    <w:rsid w:val="738749EB"/>
    <w:rsid w:val="73EA0CFB"/>
    <w:rsid w:val="75921248"/>
    <w:rsid w:val="764004B7"/>
    <w:rsid w:val="780F0D30"/>
    <w:rsid w:val="79CB6ED9"/>
    <w:rsid w:val="7A533A9D"/>
    <w:rsid w:val="7B4E63D0"/>
    <w:rsid w:val="7BAC6C79"/>
    <w:rsid w:val="7C5112EB"/>
    <w:rsid w:val="7C594C70"/>
    <w:rsid w:val="7DBA7990"/>
    <w:rsid w:val="7EBE71D2"/>
    <w:rsid w:val="7F792F33"/>
    <w:rsid w:val="7F7B4E82"/>
    <w:rsid w:val="7FAD5C52"/>
    <w:rsid w:val="A3FD77C0"/>
    <w:rsid w:val="BADBCB02"/>
    <w:rsid w:val="EE39E5D0"/>
    <w:rsid w:val="F5FFC60C"/>
    <w:rsid w:val="FF5B72E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20" w:lineRule="exact"/>
      <w:jc w:val="both"/>
    </w:pPr>
    <w:rPr>
      <w:rFonts w:cs="仿宋" w:asciiTheme="minorHAnsi" w:hAnsiTheme="minorHAnsi" w:eastAsiaTheme="minorEastAsia"/>
      <w:kern w:val="2"/>
      <w:sz w:val="32"/>
      <w:szCs w:val="32"/>
      <w:lang w:val="en-US" w:eastAsia="zh-CN" w:bidi="ar-SA"/>
    </w:rPr>
  </w:style>
  <w:style w:type="paragraph" w:styleId="2">
    <w:name w:val="heading 1"/>
    <w:basedOn w:val="1"/>
    <w:next w:val="1"/>
    <w:link w:val="40"/>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0"/>
    <w:unhideWhenUsed/>
    <w:qFormat/>
    <w:uiPriority w:val="0"/>
    <w:pPr>
      <w:keepNext/>
      <w:keepLines/>
      <w:spacing w:before="260" w:after="260" w:line="413" w:lineRule="auto"/>
      <w:outlineLvl w:val="1"/>
    </w:pPr>
    <w:rPr>
      <w:rFonts w:ascii="Arial" w:hAnsi="Arial" w:eastAsia="楷体"/>
      <w:b/>
    </w:rPr>
  </w:style>
  <w:style w:type="paragraph" w:styleId="4">
    <w:name w:val="heading 3"/>
    <w:basedOn w:val="1"/>
    <w:next w:val="1"/>
    <w:unhideWhenUsed/>
    <w:qFormat/>
    <w:uiPriority w:val="0"/>
    <w:pPr>
      <w:keepNext/>
      <w:keepLines/>
      <w:spacing w:before="260" w:after="260" w:line="413" w:lineRule="auto"/>
      <w:outlineLvl w:val="2"/>
    </w:pPr>
    <w:rPr>
      <w:rFonts w:eastAsia="楷体"/>
      <w:b/>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5">
    <w:name w:val="Normal Indent"/>
    <w:basedOn w:val="1"/>
    <w:unhideWhenUsed/>
    <w:qFormat/>
    <w:uiPriority w:val="99"/>
    <w:pPr>
      <w:ind w:firstLine="420" w:firstLineChars="200"/>
    </w:pPr>
    <w:rPr>
      <w:szCs w:val="24"/>
    </w:rPr>
  </w:style>
  <w:style w:type="paragraph" w:styleId="6">
    <w:name w:val="caption"/>
    <w:basedOn w:val="1"/>
    <w:next w:val="1"/>
    <w:unhideWhenUsed/>
    <w:qFormat/>
    <w:uiPriority w:val="0"/>
    <w:rPr>
      <w:rFonts w:eastAsia="黑体" w:asciiTheme="majorHAnsi" w:hAnsiTheme="majorHAnsi" w:cstheme="majorBidi"/>
      <w:sz w:val="20"/>
      <w:szCs w:val="20"/>
    </w:rPr>
  </w:style>
  <w:style w:type="paragraph" w:styleId="7">
    <w:name w:val="annotation text"/>
    <w:basedOn w:val="1"/>
    <w:qFormat/>
    <w:uiPriority w:val="0"/>
    <w:pPr>
      <w:spacing w:line="240" w:lineRule="auto"/>
      <w:jc w:val="left"/>
    </w:pPr>
    <w:rPr>
      <w:rFonts w:cstheme="minorBidi"/>
      <w:sz w:val="21"/>
      <w:szCs w:val="22"/>
    </w:rPr>
  </w:style>
  <w:style w:type="paragraph" w:styleId="8">
    <w:name w:val="Body Text"/>
    <w:basedOn w:val="1"/>
    <w:link w:val="31"/>
    <w:unhideWhenUsed/>
    <w:qFormat/>
    <w:uiPriority w:val="1"/>
    <w:rPr>
      <w:rFonts w:hint="eastAsia"/>
      <w:sz w:val="30"/>
    </w:rPr>
  </w:style>
  <w:style w:type="paragraph" w:styleId="9">
    <w:name w:val="Body Text Indent"/>
    <w:basedOn w:val="1"/>
    <w:next w:val="10"/>
    <w:qFormat/>
    <w:uiPriority w:val="0"/>
    <w:pPr>
      <w:spacing w:after="120"/>
      <w:ind w:left="200" w:leftChars="200"/>
    </w:pPr>
  </w:style>
  <w:style w:type="paragraph" w:styleId="10">
    <w:name w:val="envelope return"/>
    <w:basedOn w:val="1"/>
    <w:qFormat/>
    <w:uiPriority w:val="0"/>
    <w:pPr>
      <w:snapToGrid w:val="0"/>
    </w:pPr>
    <w:rPr>
      <w:rFonts w:ascii="Arial" w:hAnsi="Arial"/>
    </w:rPr>
  </w:style>
  <w:style w:type="paragraph" w:styleId="11">
    <w:name w:val="toc 3"/>
    <w:basedOn w:val="1"/>
    <w:next w:val="1"/>
    <w:qFormat/>
    <w:uiPriority w:val="39"/>
    <w:pPr>
      <w:ind w:left="840" w:leftChars="400"/>
    </w:pPr>
  </w:style>
  <w:style w:type="paragraph" w:styleId="12">
    <w:name w:val="Balloon Text"/>
    <w:basedOn w:val="1"/>
    <w:link w:val="34"/>
    <w:qFormat/>
    <w:uiPriority w:val="0"/>
    <w:pPr>
      <w:spacing w:line="240" w:lineRule="auto"/>
    </w:pPr>
    <w:rPr>
      <w:sz w:val="18"/>
      <w:szCs w:val="18"/>
    </w:rPr>
  </w:style>
  <w:style w:type="paragraph" w:styleId="13">
    <w:name w:val="footer"/>
    <w:basedOn w:val="1"/>
    <w:link w:val="42"/>
    <w:qFormat/>
    <w:uiPriority w:val="99"/>
    <w:pPr>
      <w:tabs>
        <w:tab w:val="center" w:pos="4153"/>
        <w:tab w:val="right" w:pos="8306"/>
      </w:tabs>
      <w:snapToGrid w:val="0"/>
      <w:jc w:val="left"/>
    </w:pPr>
    <w:rPr>
      <w:sz w:val="18"/>
    </w:rPr>
  </w:style>
  <w:style w:type="paragraph" w:styleId="1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paragraph" w:styleId="15">
    <w:name w:val="toc 1"/>
    <w:basedOn w:val="1"/>
    <w:next w:val="1"/>
    <w:unhideWhenUsed/>
    <w:qFormat/>
    <w:uiPriority w:val="39"/>
  </w:style>
  <w:style w:type="paragraph" w:styleId="16">
    <w:name w:val="toc 2"/>
    <w:basedOn w:val="1"/>
    <w:next w:val="1"/>
    <w:unhideWhenUsed/>
    <w:qFormat/>
    <w:uiPriority w:val="39"/>
    <w:pPr>
      <w:ind w:left="420" w:leftChars="200"/>
    </w:pPr>
  </w:style>
  <w:style w:type="paragraph" w:styleId="17">
    <w:name w:val="Normal (Web)"/>
    <w:basedOn w:val="1"/>
    <w:unhideWhenUsed/>
    <w:qFormat/>
    <w:uiPriority w:val="99"/>
    <w:pPr>
      <w:widowControl/>
      <w:spacing w:before="100" w:beforeAutospacing="1" w:after="100" w:afterAutospacing="1" w:line="240" w:lineRule="auto"/>
      <w:jc w:val="left"/>
    </w:pPr>
    <w:rPr>
      <w:rFonts w:ascii="宋体" w:hAnsi="宋体" w:eastAsia="宋体" w:cs="宋体"/>
      <w:kern w:val="0"/>
      <w:sz w:val="24"/>
      <w:szCs w:val="24"/>
    </w:rPr>
  </w:style>
  <w:style w:type="paragraph" w:styleId="18">
    <w:name w:val="Body Text First Indent 2"/>
    <w:basedOn w:val="9"/>
    <w:next w:val="1"/>
    <w:qFormat/>
    <w:uiPriority w:val="0"/>
    <w:pPr>
      <w:ind w:left="0" w:leftChars="0" w:firstLine="880" w:firstLineChars="200"/>
    </w:pPr>
    <w:rPr>
      <w:rFonts w:ascii="Times New Roman" w:hAnsi="Times New Roman" w:eastAsia="仿宋"/>
    </w:rPr>
  </w:style>
  <w:style w:type="table" w:styleId="20">
    <w:name w:val="Table Grid"/>
    <w:basedOn w:val="19"/>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2">
    <w:name w:val="Strong"/>
    <w:basedOn w:val="21"/>
    <w:qFormat/>
    <w:uiPriority w:val="0"/>
    <w:rPr>
      <w:b/>
    </w:rPr>
  </w:style>
  <w:style w:type="character" w:styleId="23">
    <w:name w:val="FollowedHyperlink"/>
    <w:basedOn w:val="21"/>
    <w:qFormat/>
    <w:uiPriority w:val="0"/>
    <w:rPr>
      <w:color w:val="7E1FAD" w:themeColor="followedHyperlink"/>
      <w:u w:val="single"/>
    </w:rPr>
  </w:style>
  <w:style w:type="character" w:styleId="24">
    <w:name w:val="Emphasis"/>
    <w:basedOn w:val="21"/>
    <w:qFormat/>
    <w:uiPriority w:val="20"/>
    <w:rPr>
      <w:i/>
      <w:iCs/>
    </w:rPr>
  </w:style>
  <w:style w:type="character" w:styleId="25">
    <w:name w:val="Hyperlink"/>
    <w:basedOn w:val="21"/>
    <w:unhideWhenUsed/>
    <w:qFormat/>
    <w:uiPriority w:val="99"/>
    <w:rPr>
      <w:color w:val="0026E5" w:themeColor="hyperlink"/>
      <w:u w:val="single"/>
    </w:rPr>
  </w:style>
  <w:style w:type="paragraph" w:styleId="26">
    <w:name w:val="List Paragraph"/>
    <w:basedOn w:val="1"/>
    <w:qFormat/>
    <w:uiPriority w:val="1"/>
    <w:pPr>
      <w:ind w:left="1410" w:hanging="631"/>
    </w:pPr>
    <w:rPr>
      <w:sz w:val="24"/>
      <w:szCs w:val="24"/>
    </w:rPr>
  </w:style>
  <w:style w:type="paragraph" w:customStyle="1" w:styleId="27">
    <w:name w:val="样式 _正文段落 + 首行缩进:  2 字符1"/>
    <w:basedOn w:val="1"/>
    <w:qFormat/>
    <w:uiPriority w:val="0"/>
    <w:pPr>
      <w:spacing w:line="440" w:lineRule="exact"/>
      <w:ind w:firstLine="200" w:firstLineChars="200"/>
    </w:pPr>
    <w:rPr>
      <w:rFonts w:ascii="宋体" w:hAnsi="宋体" w:eastAsia="楷体" w:cs="宋体"/>
      <w:kern w:val="0"/>
      <w:sz w:val="28"/>
      <w:szCs w:val="20"/>
    </w:rPr>
  </w:style>
  <w:style w:type="paragraph" w:customStyle="1" w:styleId="28">
    <w:name w:val="WPSOffice手动目录 1"/>
    <w:qFormat/>
    <w:uiPriority w:val="0"/>
    <w:rPr>
      <w:rFonts w:ascii="Times New Roman" w:hAnsi="Times New Roman" w:eastAsia="宋体" w:cs="Times New Roman"/>
      <w:lang w:val="en-US" w:eastAsia="zh-CN" w:bidi="ar-SA"/>
    </w:rPr>
  </w:style>
  <w:style w:type="paragraph" w:customStyle="1" w:styleId="29">
    <w:name w:val="WPSOffice手动目录 2"/>
    <w:qFormat/>
    <w:uiPriority w:val="0"/>
    <w:pPr>
      <w:ind w:left="200" w:leftChars="200"/>
    </w:pPr>
    <w:rPr>
      <w:rFonts w:ascii="Times New Roman" w:hAnsi="Times New Roman" w:eastAsia="宋体" w:cs="Times New Roman"/>
      <w:lang w:val="en-US" w:eastAsia="zh-CN" w:bidi="ar-SA"/>
    </w:rPr>
  </w:style>
  <w:style w:type="character" w:customStyle="1" w:styleId="30">
    <w:name w:val="标题 2 Char"/>
    <w:basedOn w:val="21"/>
    <w:link w:val="3"/>
    <w:qFormat/>
    <w:uiPriority w:val="0"/>
    <w:rPr>
      <w:rFonts w:ascii="Arial" w:hAnsi="Arial" w:eastAsia="楷体" w:cs="仿宋"/>
      <w:b/>
      <w:kern w:val="2"/>
      <w:sz w:val="32"/>
      <w:szCs w:val="32"/>
    </w:rPr>
  </w:style>
  <w:style w:type="character" w:customStyle="1" w:styleId="31">
    <w:name w:val="正文文本 Char"/>
    <w:basedOn w:val="21"/>
    <w:link w:val="8"/>
    <w:qFormat/>
    <w:uiPriority w:val="1"/>
    <w:rPr>
      <w:rFonts w:cs="仿宋" w:asciiTheme="minorHAnsi" w:hAnsiTheme="minorHAnsi" w:eastAsiaTheme="minorEastAsia"/>
      <w:kern w:val="2"/>
      <w:sz w:val="30"/>
      <w:szCs w:val="24"/>
    </w:rPr>
  </w:style>
  <w:style w:type="paragraph" w:customStyle="1" w:styleId="32">
    <w:name w:val="批注框文本1"/>
    <w:basedOn w:val="1"/>
    <w:next w:val="12"/>
    <w:link w:val="33"/>
    <w:unhideWhenUsed/>
    <w:qFormat/>
    <w:uiPriority w:val="99"/>
    <w:pPr>
      <w:spacing w:line="240" w:lineRule="auto"/>
    </w:pPr>
    <w:rPr>
      <w:rFonts w:ascii="等线" w:hAnsi="等线" w:eastAsia="等线" w:cs="Times New Roman"/>
      <w:sz w:val="18"/>
      <w:szCs w:val="18"/>
    </w:rPr>
  </w:style>
  <w:style w:type="character" w:customStyle="1" w:styleId="33">
    <w:name w:val="批注框文本 字符"/>
    <w:basedOn w:val="21"/>
    <w:link w:val="32"/>
    <w:qFormat/>
    <w:uiPriority w:val="99"/>
    <w:rPr>
      <w:rFonts w:ascii="等线" w:hAnsi="等线" w:eastAsia="等线" w:cs="Times New Roman"/>
      <w:kern w:val="2"/>
      <w:sz w:val="18"/>
      <w:szCs w:val="18"/>
    </w:rPr>
  </w:style>
  <w:style w:type="character" w:customStyle="1" w:styleId="34">
    <w:name w:val="批注框文本 Char"/>
    <w:basedOn w:val="21"/>
    <w:link w:val="12"/>
    <w:qFormat/>
    <w:uiPriority w:val="0"/>
    <w:rPr>
      <w:rFonts w:cs="仿宋" w:asciiTheme="minorHAnsi" w:hAnsiTheme="minorHAnsi" w:eastAsiaTheme="minorEastAsia"/>
      <w:kern w:val="2"/>
      <w:sz w:val="18"/>
      <w:szCs w:val="18"/>
    </w:rPr>
  </w:style>
  <w:style w:type="table" w:customStyle="1" w:styleId="35">
    <w:name w:val="网格型1"/>
    <w:basedOn w:val="19"/>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36">
    <w:name w:val="正文1 Char"/>
    <w:link w:val="37"/>
    <w:autoRedefine/>
    <w:qFormat/>
    <w:uiPriority w:val="0"/>
    <w:rPr>
      <w:rFonts w:eastAsia="仿宋_GB2312"/>
      <w:sz w:val="30"/>
      <w:szCs w:val="30"/>
    </w:rPr>
  </w:style>
  <w:style w:type="paragraph" w:customStyle="1" w:styleId="37">
    <w:name w:val="正文1"/>
    <w:basedOn w:val="1"/>
    <w:link w:val="36"/>
    <w:qFormat/>
    <w:uiPriority w:val="0"/>
    <w:pPr>
      <w:widowControl/>
      <w:spacing w:line="240" w:lineRule="auto"/>
      <w:ind w:firstLine="600"/>
      <w:jc w:val="left"/>
    </w:pPr>
    <w:rPr>
      <w:rFonts w:ascii="Times New Roman" w:hAnsi="Times New Roman" w:eastAsia="仿宋_GB2312" w:cs="Times New Roman"/>
      <w:kern w:val="0"/>
      <w:sz w:val="30"/>
      <w:szCs w:val="30"/>
    </w:rPr>
  </w:style>
  <w:style w:type="table" w:customStyle="1" w:styleId="38">
    <w:name w:val="网格型11"/>
    <w:basedOn w:val="19"/>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39">
    <w:name w:val="修订1"/>
    <w:hidden/>
    <w:unhideWhenUsed/>
    <w:qFormat/>
    <w:uiPriority w:val="99"/>
    <w:rPr>
      <w:rFonts w:cs="仿宋" w:asciiTheme="minorHAnsi" w:hAnsiTheme="minorHAnsi" w:eastAsiaTheme="minorEastAsia"/>
      <w:kern w:val="2"/>
      <w:sz w:val="32"/>
      <w:szCs w:val="32"/>
      <w:lang w:val="en-US" w:eastAsia="zh-CN" w:bidi="ar-SA"/>
    </w:rPr>
  </w:style>
  <w:style w:type="character" w:customStyle="1" w:styleId="40">
    <w:name w:val="标题 1 Char"/>
    <w:basedOn w:val="21"/>
    <w:link w:val="2"/>
    <w:qFormat/>
    <w:uiPriority w:val="9"/>
    <w:rPr>
      <w:rFonts w:cs="仿宋" w:asciiTheme="minorHAnsi" w:hAnsiTheme="minorHAnsi" w:eastAsiaTheme="minorEastAsia"/>
      <w:b/>
      <w:bCs/>
      <w:kern w:val="44"/>
      <w:sz w:val="44"/>
      <w:szCs w:val="44"/>
    </w:rPr>
  </w:style>
  <w:style w:type="paragraph" w:customStyle="1" w:styleId="41">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D54A0" w:themeColor="accent1" w:themeShade="BF"/>
      <w:kern w:val="0"/>
      <w:sz w:val="32"/>
      <w:szCs w:val="32"/>
    </w:rPr>
  </w:style>
  <w:style w:type="character" w:customStyle="1" w:styleId="42">
    <w:name w:val="页脚 Char"/>
    <w:basedOn w:val="21"/>
    <w:link w:val="13"/>
    <w:qFormat/>
    <w:uiPriority w:val="99"/>
    <w:rPr>
      <w:rFonts w:cs="仿宋" w:asciiTheme="minorHAnsi" w:hAnsiTheme="minorHAnsi" w:eastAsiaTheme="minorEastAsia"/>
      <w:kern w:val="2"/>
      <w:sz w:val="18"/>
      <w:szCs w:val="32"/>
    </w:rPr>
  </w:style>
  <w:style w:type="table" w:customStyle="1" w:styleId="43">
    <w:name w:val="Table Normal"/>
    <w:semiHidden/>
    <w:unhideWhenUsed/>
    <w:qFormat/>
    <w:uiPriority w:val="0"/>
    <w:tblPr>
      <w:tblCellMar>
        <w:top w:w="0" w:type="dxa"/>
        <w:left w:w="0" w:type="dxa"/>
        <w:bottom w:w="0" w:type="dxa"/>
        <w:right w:w="0" w:type="dxa"/>
      </w:tblCellMar>
    </w:tblPr>
  </w:style>
  <w:style w:type="paragraph" w:customStyle="1" w:styleId="44">
    <w:name w:val="Table Text"/>
    <w:basedOn w:val="1"/>
    <w:semiHidden/>
    <w:qFormat/>
    <w:uiPriority w:val="0"/>
    <w:rPr>
      <w:rFonts w:ascii="仿宋" w:hAnsi="仿宋" w:eastAsia="仿宋"/>
      <w:lang w:eastAsia="en-US"/>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3.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Version="6" SelectedStyle="\APASixthEditionOfficeOnline.xsl" StyleName="APA"/>
</file>

<file path=customXml/item3.xml><?xml version="1.0" encoding="utf-8"?>
<contractReview xmlns="http://schemas.wps.cn/vas-ai-hub/contract-review">
  <reviewItems xmlns="http://schemas.wps.cn/vas-ai-hub/contract-review">
    <reviewItem xmlns="http://schemas.wps.cn/vas-ai-hub/contract-review">
      <errorID xmlns="http://schemas.wps.cn/vas-ai-hub/contract-review">7d4d6a37-e4c9-4cef-ad75-644152d90cf4</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2BEA278C</paraID>
      <start xmlns="http://schemas.wps.cn/vas-ai-hub/contract-review">94</start>
      <end xmlns="http://schemas.wps.cn/vas-ai-hub/contract-review">95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6615932c-9425-4701-9678-284bf4da5917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 C2FEBAE</paraID>
      <start xmlns="http://schemas.wps.cn/vas-ai-hub/contract-review">9</start>
      <end xmlns="http://schemas.wps.cn/vas-ai-hub/contract-review">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33865038-39e4-4b7e-9788-bc32f1a099e4</errorID>
      <errorWord xmlns="http://schemas.wps.cn/vas-ai-hub/contract-review">建设，规范村庄规划管理</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建设</item>
      </candidateList>
      <explain xmlns="http://schemas.wps.cn/vas-ai-hub/contract-review"/>
      <paraID xmlns="http://schemas.wps.cn/vas-ai-hub/contract-review"> C2FEBAE</paraID>
      <start xmlns="http://schemas.wps.cn/vas-ai-hub/contract-review">16</start>
      <end xmlns="http://schemas.wps.cn/vas-ai-hub/contract-review">18</end>
      <status xmlns="http://schemas.wps.cn/vas-ai-hub/contract-review">modified</status>
      <modifiedWord xmlns="http://schemas.wps.cn/vas-ai-hub/contract-review">建设</modifiedWord>
      <trackRevisions xmlns="http://schemas.wps.cn/vas-ai-hub/contract-review">false</trackRevisions>
    </reviewItem>
    <reviewItem xmlns="http://schemas.wps.cn/vas-ai-hub/contract-review">
      <errorID xmlns="http://schemas.wps.cn/vas-ai-hub/contract-review">105a7bca-078e-4858-80d3-24ab7e4f23cf</errorID>
      <errorWord xmlns="http://schemas.wps.cn/vas-ai-hub/contract-review">中央农村工作领导小组</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 中央农村工作领导小组</item>
      </candidateList>
      <explain xmlns="http://schemas.wps.cn/vas-ai-hub/contract-review">此处内容疑似含有固定表述相关错误，建议核查。</explain>
      <paraID xmlns="http://schemas.wps.cn/vas-ai-hub/contract-review"> C2FEBAE</paraID>
      <start xmlns="http://schemas.wps.cn/vas-ai-hub/contract-review">34</start>
      <end xmlns="http://schemas.wps.cn/vas-ai-hub/contract-review">44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05f909f1-d698-4471-a703-53d9e0ff3a9d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 C2FEBAE</paraID>
      <start xmlns="http://schemas.wps.cn/vas-ai-hub/contract-review">92</start>
      <end xmlns="http://schemas.wps.cn/vas-ai-hub/contract-review">94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5c631033-7fb6-42c8-b40a-f3853a9a9247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 C2FEBAE</paraID>
      <start xmlns="http://schemas.wps.cn/vas-ai-hub/contract-review">145</start>
      <end xmlns="http://schemas.wps.cn/vas-ai-hub/contract-review">147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2c7d5f25-3a0a-4538-93f1-6cd03d653a1c</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5663C459</paraID>
      <start xmlns="http://schemas.wps.cn/vas-ai-hub/contract-review">52</start>
      <end xmlns="http://schemas.wps.cn/vas-ai-hub/contract-review">53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19a62a81-dbdd-4d47-bf78-84bdfb06869e</errorID>
      <errorWord xmlns="http://schemas.wps.cn/vas-ai-hub/contract-review">农村一二三产融合</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农村一二三产业融合</item>
      </candidateList>
      <explain xmlns="http://schemas.wps.cn/vas-ai-hub/contract-review">词汇“农村一二三产业融合”在特定场景下为固定表述形式，请确认此处的“农村一二三产融合”是否存在不当。</explain>
      <paraID xmlns="http://schemas.wps.cn/vas-ai-hub/contract-review"> BDEDF33</paraID>
      <start xmlns="http://schemas.wps.cn/vas-ai-hub/contract-review">94</start>
      <end xmlns="http://schemas.wps.cn/vas-ai-hub/contract-review">102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c4a59f80-834e-4b72-8d54-edcf472da0a1</errorID>
      <errorWord xmlns="http://schemas.wps.cn/vas-ai-hub/contract-review">编制重要</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编制</item>
      </candidateList>
      <explain xmlns="http://schemas.wps.cn/vas-ai-hub/contract-review"/>
      <paraID xmlns="http://schemas.wps.cn/vas-ai-hub/contract-review"> BDEDF33</paraID>
      <start xmlns="http://schemas.wps.cn/vas-ai-hub/contract-review">110</start>
      <end xmlns="http://schemas.wps.cn/vas-ai-hub/contract-review">112</end>
      <status xmlns="http://schemas.wps.cn/vas-ai-hub/contract-review">modified</status>
      <modifiedWord xmlns="http://schemas.wps.cn/vas-ai-hub/contract-review">编制</modifiedWord>
      <trackRevisions xmlns="http://schemas.wps.cn/vas-ai-hub/contract-review">false</trackRevisions>
    </reviewItem>
    <reviewItem xmlns="http://schemas.wps.cn/vas-ai-hub/contract-review">
      <errorID xmlns="http://schemas.wps.cn/vas-ai-hub/contract-review">bf19bcc9-4cb2-459b-a020-b398b571f1b8</errorID>
      <errorWord xmlns="http://schemas.wps.cn/vas-ai-hub/contract-review">法律、法规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法律法规</item>
      </candidateList>
      <explain xmlns="http://schemas.wps.cn/vas-ai-hub/contract-review"/>
      <paraID xmlns="http://schemas.wps.cn/vas-ai-hub/contract-review">475CF972</paraID>
      <start xmlns="http://schemas.wps.cn/vas-ai-hub/contract-review">0</start>
      <end xmlns="http://schemas.wps.cn/vas-ai-hub/contract-review">4</end>
      <status xmlns="http://schemas.wps.cn/vas-ai-hub/contract-review">modified</status>
      <modifiedWord xmlns="http://schemas.wps.cn/vas-ai-hub/contract-review">法律法规</modifiedWord>
      <trackRevisions xmlns="http://schemas.wps.cn/vas-ai-hub/contract-review">false</trackRevisions>
    </reviewItem>
    <reviewItem xmlns="http://schemas.wps.cn/vas-ai-hub/contract-review">
      <errorID xmlns="http://schemas.wps.cn/vas-ai-hub/contract-review">b792796b-b83f-4ec0-87da-93004a10f219</errorID>
      <errorWord xmlns="http://schemas.wps.cn/vas-ai-hub/contract-review">公用公服设施</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公用设施</item>
      </candidateList>
      <explain xmlns="http://schemas.wps.cn/vas-ai-hub/contract-review"/>
      <paraID xmlns="http://schemas.wps.cn/vas-ai-hub/contract-review">10DEC580</paraID>
      <start xmlns="http://schemas.wps.cn/vas-ai-hub/contract-review">19</start>
      <end xmlns="http://schemas.wps.cn/vas-ai-hub/contract-review">25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56124df2-2551-4cb5-8401-46b939c93f9a</errorID>
      <errorWord xmlns="http://schemas.wps.cn/vas-ai-hub/contract-review">生态资源保护区</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生态功能保护区</item>
      </candidateList>
      <explain xmlns="http://schemas.wps.cn/vas-ai-hub/contract-review">词汇“生态功能保护区”在特定场景下为固定表述形式，请确认此处的“生态资源保护区”是否存在不当。</explain>
      <paraID xmlns="http://schemas.wps.cn/vas-ai-hub/contract-review">4480DB36</paraID>
      <start xmlns="http://schemas.wps.cn/vas-ai-hub/contract-review">23</start>
      <end xmlns="http://schemas.wps.cn/vas-ai-hub/contract-review">30</end>
      <status xmlns="http://schemas.wps.cn/vas-ai-hub/contract-review">modified</status>
      <modifiedWord xmlns="http://schemas.wps.cn/vas-ai-hub/contract-review">生态功能保护区</modifiedWord>
      <trackRevisions xmlns="http://schemas.wps.cn/vas-ai-hub/contract-review">false</trackRevisions>
    </reviewItem>
    <reviewItem xmlns="http://schemas.wps.cn/vas-ai-hub/contract-review">
      <errorID xmlns="http://schemas.wps.cn/vas-ai-hub/contract-review">bad5060b-bcdf-4173-a379-4c16d5ec149a</errorID>
      <errorWord xmlns="http://schemas.wps.cn/vas-ai-hub/contract-review">地段</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的地段</item>
      </candidateList>
      <explain xmlns="http://schemas.wps.cn/vas-ai-hub/contract-review"/>
      <paraID xmlns="http://schemas.wps.cn/vas-ai-hub/contract-review">4507E192</paraID>
      <start xmlns="http://schemas.wps.cn/vas-ai-hub/contract-review">21</start>
      <end xmlns="http://schemas.wps.cn/vas-ai-hub/contract-review">23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5e98342e-1ce0-461f-9e35-05ad3a2867a1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3F948B0A</paraID>
      <start xmlns="http://schemas.wps.cn/vas-ai-hub/contract-review">125</start>
      <end xmlns="http://schemas.wps.cn/vas-ai-hub/contract-review">126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14e91f71-ed38-4419-a7ff-1cfbd056b81b</errorID>
      <errorWord xmlns="http://schemas.wps.cn/vas-ai-hub/contract-review"/>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7151CB3C</paraID>
      <start xmlns="http://schemas.wps.cn/vas-ai-hub/contract-review">56</start>
      <end xmlns="http://schemas.wps.cn/vas-ai-hub/contract-review">57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f18bdecb-b55d-43ed-a850-568952df3e63</errorID>
      <errorWord xmlns="http://schemas.wps.cn/vas-ai-hub/contract-review">GB50016）》</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GB 50016）</item>
      </candidateList>
      <explain xmlns="http://schemas.wps.cn/vas-ai-hub/contract-review"/>
      <paraID xmlns="http://schemas.wps.cn/vas-ai-hub/contract-review">7151CB3C</paraID>
      <start xmlns="http://schemas.wps.cn/vas-ai-hub/contract-review">58</start>
      <end xmlns="http://schemas.wps.cn/vas-ai-hub/contract-review">67</end>
      <status xmlns="http://schemas.wps.cn/vas-ai-hub/contract-review">modified</status>
      <modifiedWord xmlns="http://schemas.wps.cn/vas-ai-hub/contract-review">GB 50016）</modifiedWord>
      <trackRevisions xmlns="http://schemas.wps.cn/vas-ai-hub/contract-review">false</trackRevisions>
    </reviewItem>
    <reviewItem xmlns="http://schemas.wps.cn/vas-ai-hub/contract-review">
      <errorID xmlns="http://schemas.wps.cn/vas-ai-hub/contract-review">58abc200-1934-4080-9ff1-039b991e3067</errorID>
      <errorWord xmlns="http://schemas.wps.cn/vas-ai-hub/contract-review">或</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item>
      </candidateList>
      <explain xmlns="http://schemas.wps.cn/vas-ai-hub/contract-review"/>
      <paraID xmlns="http://schemas.wps.cn/vas-ai-hub/contract-review">7E5DB40F</paraID>
      <start xmlns="http://schemas.wps.cn/vas-ai-hub/contract-review">25</start>
      <end xmlns="http://schemas.wps.cn/vas-ai-hub/contract-review">26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1daee6ab-cc7e-4a01-8c69-9177d38d185e</errorID>
      <errorWord xmlns="http://schemas.wps.cn/vas-ai-hub/contract-review">（5）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（6）</item>
      </candidateList>
      <explain xmlns="http://schemas.wps.cn/vas-ai-hub/contract-review">标题顺序错误，请检查标题顺序是否合理。</explain>
      <paraID xmlns="http://schemas.wps.cn/vas-ai-hub/contract-review">2BC85267</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1b5a8b69-0461-4b07-ad4b-d07270c8b50f</errorID>
      <errorWord xmlns="http://schemas.wps.cn/vas-ai-hub/contract-review">淡雅</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以淡雅</item>
      </candidateList>
      <explain xmlns="http://schemas.wps.cn/vas-ai-hub/contract-review"/>
      <paraID xmlns="http://schemas.wps.cn/vas-ai-hub/contract-review"> 8C93AC4</paraID>
      <start xmlns="http://schemas.wps.cn/vas-ai-hub/contract-review">45</start>
      <end xmlns="http://schemas.wps.cn/vas-ai-hub/contract-review">48</end>
      <status xmlns="http://schemas.wps.cn/vas-ai-hub/contract-review">modified</status>
      <modifiedWord xmlns="http://schemas.wps.cn/vas-ai-hub/contract-review">以淡雅</modifiedWord>
      <trackRevisions xmlns="http://schemas.wps.cn/vas-ai-hub/contract-review">false</trackRevisions>
    </reviewItem>
    <reviewItem xmlns="http://schemas.wps.cn/vas-ai-hub/contract-review">
      <errorID xmlns="http://schemas.wps.cn/vas-ai-hub/contract-review">a1d8f1a1-ac13-4ee3-be4c-902d9f27e792</errorID>
      <errorWord xmlns="http://schemas.wps.cn/vas-ai-hub/contract-review">和</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以及</item>
      </candidateList>
      <explain xmlns="http://schemas.wps.cn/vas-ai-hub/contract-review"/>
      <paraID xmlns="http://schemas.wps.cn/vas-ai-hub/contract-review">62827AFC</paraID>
      <start xmlns="http://schemas.wps.cn/vas-ai-hub/contract-review">28</start>
      <end xmlns="http://schemas.wps.cn/vas-ai-hub/contract-review">30</end>
      <status xmlns="http://schemas.wps.cn/vas-ai-hub/contract-review">modified</status>
      <modifiedWord xmlns="http://schemas.wps.cn/vas-ai-hub/contract-review">以及</modifiedWord>
      <trackRevisions xmlns="http://schemas.wps.cn/vas-ai-hub/contract-review">false</trackRevisions>
    </reviewItem>
    <reviewItem xmlns="http://schemas.wps.cn/vas-ai-hub/contract-review">
      <errorID xmlns="http://schemas.wps.cn/vas-ai-hub/contract-review">9f6a65ea-b007-4552-ba17-c7538ca354fe</errorID>
      <errorWord xmlns="http://schemas.wps.cn/vas-ai-hub/contract-review">其它</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其他</item>
      </candidateList>
      <explain xmlns="http://schemas.wps.cn/vas-ai-hub/contract-review"/>
      <paraID xmlns="http://schemas.wps.cn/vas-ai-hub/contract-review">453F5D5D</paraID>
      <start xmlns="http://schemas.wps.cn/vas-ai-hub/contract-review">48</start>
      <end xmlns="http://schemas.wps.cn/vas-ai-hub/contract-review">50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cda72c79-3ddf-4352-9971-4fd4f0d6e51a</errorID>
      <errorWord xmlns="http://schemas.wps.cn/vas-ai-hub/contract-review">其它用地性质；空格表示“部分兼容”，指在满足原规划主导用地性质的前提下可适度混合其它</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其他用地性质；空格表示“部分兼容”，指在满足原规划主导用地性质的前提下可适度混合其他</item>
      </candidateList>
      <explain xmlns="http://schemas.wps.cn/vas-ai-hub/contract-review"/>
      <paraID xmlns="http://schemas.wps.cn/vas-ai-hub/contract-review">11318A53</paraID>
      <start xmlns="http://schemas.wps.cn/vas-ai-hub/contract-review">27</start>
      <end xmlns="http://schemas.wps.cn/vas-ai-hub/contract-review">69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63bb763c-d0f8-47ca-b7c3-8deb61c8b190</errorID>
      <errorWord xmlns="http://schemas.wps.cn/vas-ai-hub/contract-review">其它</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其他</item>
      </candidateList>
      <explain xmlns="http://schemas.wps.cn/vas-ai-hub/contract-review">词汇[其它]为不规范表述或旧称，其规范书面表述为[其他]。</explain>
      <paraID xmlns="http://schemas.wps.cn/vas-ai-hub/contract-review">11318A53</paraID>
      <start xmlns="http://schemas.wps.cn/vas-ai-hub/contract-review">100</start>
      <end xmlns="http://schemas.wps.cn/vas-ai-hub/contract-review">102</end>
      <status xmlns="http://schemas.wps.cn/vas-ai-hub/contract-review">ignored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7603AF2-CCBC-4247-9458-A0A0D251288A}">
  <ds:schemaRefs/>
</ds:datastoreItem>
</file>

<file path=customXml/itemProps3.xml><?xml version="1.0" encoding="utf-8"?>
<ds:datastoreItem xmlns:ds="http://schemas.openxmlformats.org/officeDocument/2006/customXml" ds:itemID="{FD12B793-7586-4A2F-9440-C3E22BEDC7C2}">
  <ds:schemaRefs/>
</ds:datastoreItem>
</file>

<file path=docProps/app.xml><?xml version="1.0" encoding="utf-8"?>
<Properties xmlns="http://schemas.openxmlformats.org/officeDocument/2006/extended-properties" xmlns:vt="http://schemas.openxmlformats.org/officeDocument/2006/docPropsVTypes">
  <Template>Normal</Template>
  <Pages>25</Pages>
  <Words>2073</Words>
  <Characters>2143</Characters>
  <Lines>73</Lines>
  <Paragraphs>20</Paragraphs>
  <TotalTime>0</TotalTime>
  <ScaleCrop>false</ScaleCrop>
  <LinksUpToDate>false</LinksUpToDate>
  <CharactersWithSpaces>2173</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2026-09-14T03:00:00Z</dcterms:created>
  <dc:creator>lhq</dc:creator>
  <cp:lastModifiedBy>卓联设计有限公司</cp:lastModifiedBy>
  <cp:lastPrinted>2026-06-23T00:24:00Z</cp:lastPrinted>
  <dcterms:modified xsi:type="dcterms:W3CDTF">2026-09-16T01:24:23Z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51989C824CF34E7498D3FF1042264113_13</vt:lpwstr>
  </property>
  <property fmtid="{D5CDD505-2E9C-101B-9397-08002B2CF9AE}" pid="4" name="KSOTemplateDocerSaveRecord">
    <vt:lpwstr>eyJoZGlkIjoiMzY1ODFjZTdhOGY5MGEzZjk2ZjNkMTlmNDhjNTQwZTIiLCJ1c2VySWQiOiIxNjkxNjIwNDE1In0=</vt:lpwstr>
  </property>
</Properties>
</file>