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F124D3B">
      <w:pPr>
        <w:rPr>
          <w:rFonts w:hint="default" w:ascii="Times New Roman" w:hAnsi="Times New Roman" w:cs="Times New Roman"/>
          <w:color w:val="000000" w:themeColor="text1"/>
          <w:sz w:val="36"/>
          <w:szCs w:val="36"/>
        </w:rPr>
      </w:pPr>
    </w:p>
    <w:p w14:paraId="5E372F24">
      <w:pPr>
        <w:rPr>
          <w:rFonts w:hint="default" w:ascii="Times New Roman" w:hAnsi="Times New Roman" w:cs="Times New Roman"/>
          <w:color w:val="000000" w:themeColor="text1"/>
        </w:rPr>
      </w:pPr>
    </w:p>
    <w:p w14:paraId="724BCE91">
      <w:pPr>
        <w:rPr>
          <w:rFonts w:hint="default" w:ascii="Times New Roman" w:hAnsi="Times New Roman" w:cs="Times New Roman"/>
          <w:color w:val="000000" w:themeColor="text1"/>
          <w:sz w:val="36"/>
          <w:szCs w:val="36"/>
        </w:rPr>
      </w:pPr>
    </w:p>
    <w:p w14:paraId="39827093">
      <w:pPr>
        <w:rPr>
          <w:rFonts w:hint="default" w:ascii="Times New Roman" w:hAnsi="Times New Roman" w:cs="Times New Roman"/>
          <w:color w:val="000000" w:themeColor="text1"/>
          <w:sz w:val="36"/>
          <w:szCs w:val="36"/>
        </w:rPr>
      </w:pPr>
    </w:p>
    <w:p w14:paraId="271A2832">
      <w:pPr>
        <w:rPr>
          <w:rFonts w:hint="default" w:ascii="Times New Roman" w:hAnsi="Times New Roman" w:cs="Times New Roman"/>
          <w:color w:val="000000" w:themeColor="text1"/>
          <w:sz w:val="36"/>
          <w:szCs w:val="36"/>
        </w:rPr>
      </w:pPr>
    </w:p>
    <w:p w14:paraId="1F615834">
      <w:pPr>
        <w:adjustRightInd w:val="0"/>
        <w:snapToGrid w:val="0"/>
        <w:jc w:val="center"/>
        <w:rPr>
          <w:rFonts w:hint="default" w:ascii="Times New Roman" w:hAnsi="Times New Roman" w:cs="Times New Roman"/>
          <w:color w:val="000000" w:themeColor="text1"/>
          <w:sz w:val="72"/>
          <w:szCs w:val="72"/>
        </w:rPr>
      </w:pPr>
      <w:r>
        <w:rPr>
          <w:rFonts w:hint="default" w:ascii="Times New Roman" w:hAnsi="Times New Roman" w:cs="Times New Roman"/>
          <w:color w:val="000000" w:themeColor="text1"/>
          <w:sz w:val="72"/>
          <w:szCs w:val="72"/>
        </w:rPr>
        <w:t>建设项目环境影响报告表</w:t>
      </w:r>
    </w:p>
    <w:p w14:paraId="0A2E1AFF">
      <w:pPr>
        <w:jc w:val="center"/>
        <w:rPr>
          <w:rFonts w:hint="default" w:ascii="Times New Roman" w:hAnsi="Times New Roman" w:cs="Times New Roman"/>
          <w:color w:val="000000" w:themeColor="text1"/>
          <w:sz w:val="52"/>
          <w:szCs w:val="52"/>
        </w:rPr>
      </w:pPr>
      <w:r>
        <w:rPr>
          <w:rFonts w:hint="default" w:ascii="Times New Roman" w:hAnsi="Times New Roman" w:cs="Times New Roman"/>
          <w:color w:val="000000" w:themeColor="text1"/>
          <w:sz w:val="52"/>
          <w:szCs w:val="52"/>
        </w:rPr>
        <w:t>（污染影响类）</w:t>
      </w:r>
    </w:p>
    <w:p w14:paraId="5E6975AF">
      <w:pPr>
        <w:rPr>
          <w:rFonts w:hint="default" w:ascii="Times New Roman" w:hAnsi="Times New Roman" w:cs="Times New Roman"/>
          <w:color w:val="000000" w:themeColor="text1"/>
        </w:rPr>
      </w:pPr>
    </w:p>
    <w:p w14:paraId="4D0D6DE4">
      <w:pPr>
        <w:jc w:val="center"/>
        <w:rPr>
          <w:rFonts w:hint="default" w:ascii="Times New Roman" w:hAnsi="Times New Roman" w:cs="Times New Roman"/>
          <w:color w:val="000000" w:themeColor="text1"/>
          <w:sz w:val="52"/>
          <w:szCs w:val="52"/>
        </w:rPr>
      </w:pPr>
    </w:p>
    <w:p w14:paraId="6186DEFC">
      <w:pPr>
        <w:ind w:firstLine="1040"/>
        <w:rPr>
          <w:rFonts w:hint="default" w:ascii="Times New Roman" w:hAnsi="Times New Roman" w:cs="Times New Roman"/>
          <w:color w:val="000000" w:themeColor="text1"/>
          <w:sz w:val="44"/>
          <w:szCs w:val="44"/>
        </w:rPr>
      </w:pPr>
    </w:p>
    <w:p w14:paraId="35139930">
      <w:pPr>
        <w:ind w:firstLine="1040"/>
        <w:rPr>
          <w:rFonts w:hint="default" w:ascii="Times New Roman" w:hAnsi="Times New Roman" w:cs="Times New Roman"/>
          <w:color w:val="000000" w:themeColor="text1"/>
          <w:sz w:val="44"/>
          <w:szCs w:val="44"/>
        </w:rPr>
      </w:pPr>
    </w:p>
    <w:p w14:paraId="222E8A3B">
      <w:pPr>
        <w:ind w:firstLine="1040"/>
        <w:rPr>
          <w:rFonts w:hint="default" w:ascii="Times New Roman" w:hAnsi="Times New Roman" w:cs="Times New Roman"/>
          <w:color w:val="000000" w:themeColor="text1"/>
          <w:sz w:val="44"/>
          <w:szCs w:val="44"/>
        </w:rPr>
      </w:pPr>
    </w:p>
    <w:p w14:paraId="05F937F8">
      <w:pPr>
        <w:ind w:firstLine="1040"/>
        <w:rPr>
          <w:rFonts w:hint="default" w:ascii="Times New Roman" w:hAnsi="Times New Roman" w:cs="Times New Roman"/>
          <w:color w:val="000000" w:themeColor="text1"/>
          <w:sz w:val="44"/>
          <w:szCs w:val="44"/>
        </w:rPr>
      </w:pPr>
    </w:p>
    <w:p w14:paraId="6BF06C68">
      <w:pPr>
        <w:ind w:firstLine="1040"/>
        <w:rPr>
          <w:rFonts w:hint="default" w:ascii="Times New Roman" w:hAnsi="Times New Roman" w:cs="Times New Roman"/>
          <w:color w:val="000000" w:themeColor="text1"/>
          <w:sz w:val="44"/>
          <w:szCs w:val="44"/>
        </w:rPr>
      </w:pPr>
    </w:p>
    <w:p w14:paraId="58BEBDEB">
      <w:pPr>
        <w:ind w:firstLine="1040"/>
        <w:rPr>
          <w:rFonts w:hint="default" w:ascii="Times New Roman" w:hAnsi="Times New Roman" w:cs="Times New Roman"/>
          <w:color w:val="000000" w:themeColor="text1"/>
          <w:sz w:val="44"/>
          <w:szCs w:val="44"/>
        </w:rPr>
      </w:pPr>
    </w:p>
    <w:p w14:paraId="2D4B1356">
      <w:pPr>
        <w:ind w:firstLine="1040"/>
        <w:rPr>
          <w:rFonts w:hint="default" w:ascii="Times New Roman" w:hAnsi="Times New Roman" w:cs="Times New Roman"/>
          <w:color w:val="000000" w:themeColor="text1"/>
          <w:sz w:val="44"/>
          <w:szCs w:val="44"/>
        </w:rPr>
      </w:pPr>
    </w:p>
    <w:p w14:paraId="38D20EE4">
      <w:pPr>
        <w:ind w:firstLine="1040"/>
        <w:rPr>
          <w:rFonts w:hint="default" w:ascii="Times New Roman" w:hAnsi="Times New Roman" w:cs="Times New Roman"/>
          <w:color w:val="000000" w:themeColor="text1"/>
          <w:sz w:val="44"/>
          <w:szCs w:val="44"/>
        </w:rPr>
      </w:pPr>
    </w:p>
    <w:p w14:paraId="55AD6914">
      <w:pPr>
        <w:adjustRightInd w:val="0"/>
        <w:snapToGrid w:val="0"/>
        <w:spacing w:line="288" w:lineRule="auto"/>
        <w:ind w:firstLine="1080" w:firstLineChars="300"/>
        <w:rPr>
          <w:rFonts w:hint="eastAsia" w:ascii="Times New Roman" w:hAnsi="Times New Roman" w:eastAsia="宋体" w:cs="Times New Roman"/>
          <w:color w:val="000000" w:themeColor="text1"/>
          <w:sz w:val="36"/>
          <w:szCs w:val="36"/>
          <w:u w:val="single"/>
          <w:lang w:eastAsia="zh-CN"/>
        </w:rPr>
      </w:pPr>
      <w:r>
        <w:rPr>
          <w:rFonts w:hint="default" w:ascii="Times New Roman" w:hAnsi="Times New Roman" w:cs="Times New Roman"/>
          <w:color w:val="000000" w:themeColor="text1"/>
          <w:sz w:val="36"/>
          <w:szCs w:val="36"/>
        </w:rPr>
        <w:t>项目名称：</w:t>
      </w:r>
      <w:r>
        <w:rPr>
          <w:rStyle w:val="41"/>
          <w:rFonts w:hint="eastAsia" w:cs="Times New Roman"/>
          <w:color w:val="000000" w:themeColor="text1"/>
          <w:kern w:val="0"/>
          <w:sz w:val="36"/>
          <w:szCs w:val="36"/>
          <w:u w:val="single"/>
          <w:lang w:eastAsia="zh-CN"/>
        </w:rPr>
        <w:t>三变智能科技技改项目（</w:t>
      </w:r>
      <w:r>
        <w:rPr>
          <w:rStyle w:val="41"/>
          <w:rFonts w:hint="eastAsia" w:cs="Times New Roman"/>
          <w:color w:val="000000" w:themeColor="text1"/>
          <w:kern w:val="0"/>
          <w:sz w:val="36"/>
          <w:szCs w:val="36"/>
          <w:u w:val="single"/>
          <w:lang w:val="en-US" w:eastAsia="zh-CN"/>
        </w:rPr>
        <w:t>重新报批</w:t>
      </w:r>
      <w:r>
        <w:rPr>
          <w:rStyle w:val="41"/>
          <w:rFonts w:hint="eastAsia" w:cs="Times New Roman"/>
          <w:color w:val="000000" w:themeColor="text1"/>
          <w:kern w:val="0"/>
          <w:sz w:val="36"/>
          <w:szCs w:val="36"/>
          <w:u w:val="single"/>
          <w:lang w:eastAsia="zh-CN"/>
        </w:rPr>
        <w:t xml:space="preserve">） </w:t>
      </w:r>
    </w:p>
    <w:p w14:paraId="15EAE134">
      <w:pPr>
        <w:adjustRightInd w:val="0"/>
        <w:snapToGrid w:val="0"/>
        <w:spacing w:line="288" w:lineRule="auto"/>
        <w:ind w:firstLine="1080" w:firstLineChars="300"/>
        <w:jc w:val="left"/>
        <w:rPr>
          <w:rFonts w:hint="default" w:ascii="Times New Roman" w:hAnsi="Times New Roman" w:eastAsia="宋体" w:cs="Times New Roman"/>
          <w:color w:val="000000" w:themeColor="text1"/>
          <w:sz w:val="36"/>
          <w:szCs w:val="36"/>
          <w:u w:val="single"/>
          <w:lang w:val="en-US" w:eastAsia="zh-CN"/>
        </w:rPr>
      </w:pPr>
      <w:r>
        <w:rPr>
          <w:rFonts w:hint="default" w:ascii="Times New Roman" w:hAnsi="Times New Roman" w:cs="Times New Roman"/>
          <w:color w:val="000000" w:themeColor="text1"/>
          <w:sz w:val="36"/>
          <w:szCs w:val="36"/>
        </w:rPr>
        <w:t>建设单位：</w:t>
      </w:r>
      <w:r>
        <w:rPr>
          <w:rStyle w:val="41"/>
          <w:rFonts w:hint="eastAsia" w:cs="Times New Roman"/>
          <w:color w:val="000000" w:themeColor="text1"/>
          <w:kern w:val="0"/>
          <w:sz w:val="36"/>
          <w:szCs w:val="36"/>
          <w:u w:val="single"/>
          <w:lang w:eastAsia="zh-CN"/>
        </w:rPr>
        <w:t>安徽三变智能科技有限公司</w:t>
      </w:r>
      <w:r>
        <w:rPr>
          <w:rStyle w:val="41"/>
          <w:rFonts w:hint="eastAsia" w:cs="Times New Roman"/>
          <w:color w:val="000000" w:themeColor="text1"/>
          <w:kern w:val="0"/>
          <w:sz w:val="36"/>
          <w:szCs w:val="36"/>
          <w:u w:val="single"/>
          <w:lang w:val="en-US" w:eastAsia="zh-CN"/>
        </w:rPr>
        <w:t xml:space="preserve">      </w:t>
      </w:r>
    </w:p>
    <w:p w14:paraId="2FC2811C">
      <w:pPr>
        <w:adjustRightInd w:val="0"/>
        <w:snapToGrid w:val="0"/>
        <w:spacing w:line="288" w:lineRule="auto"/>
        <w:ind w:firstLine="1080" w:firstLineChars="300"/>
        <w:rPr>
          <w:rFonts w:hint="default" w:ascii="Times New Roman" w:hAnsi="Times New Roman" w:cs="Times New Roman"/>
          <w:color w:val="000000" w:themeColor="text1"/>
          <w:sz w:val="36"/>
          <w:szCs w:val="36"/>
          <w:u w:val="single"/>
        </w:rPr>
      </w:pPr>
      <w:r>
        <w:rPr>
          <w:rFonts w:hint="default" w:ascii="Times New Roman" w:hAnsi="Times New Roman" w:cs="Times New Roman"/>
          <w:color w:val="000000" w:themeColor="text1"/>
          <w:sz w:val="36"/>
          <w:szCs w:val="36"/>
        </w:rPr>
        <w:t>编制日期：</w:t>
      </w:r>
      <w:r>
        <w:rPr>
          <w:rFonts w:hint="default" w:ascii="Times New Roman" w:hAnsi="Times New Roman" w:cs="Times New Roman"/>
          <w:color w:val="000000" w:themeColor="text1"/>
          <w:sz w:val="36"/>
          <w:szCs w:val="36"/>
          <w:u w:val="single"/>
          <w:lang w:val="en-US" w:eastAsia="zh-CN"/>
        </w:rPr>
        <w:t xml:space="preserve">     </w:t>
      </w:r>
      <w:r>
        <w:rPr>
          <w:rFonts w:hint="default" w:ascii="Times New Roman" w:hAnsi="Times New Roman" w:cs="Times New Roman"/>
          <w:color w:val="000000" w:themeColor="text1"/>
          <w:sz w:val="36"/>
          <w:szCs w:val="36"/>
          <w:u w:val="single"/>
        </w:rPr>
        <w:t>二</w:t>
      </w:r>
      <w:r>
        <w:rPr>
          <w:rFonts w:hint="eastAsia" w:cs="Times New Roman"/>
          <w:color w:val="000000" w:themeColor="text1"/>
          <w:sz w:val="36"/>
          <w:szCs w:val="36"/>
          <w:u w:val="single"/>
          <w:lang w:eastAsia="zh-CN"/>
        </w:rPr>
        <w:t>〇</w:t>
      </w:r>
      <w:r>
        <w:rPr>
          <w:rFonts w:hint="default" w:ascii="Times New Roman" w:hAnsi="Times New Roman" w:cs="Times New Roman"/>
          <w:color w:val="000000" w:themeColor="text1"/>
          <w:sz w:val="36"/>
          <w:szCs w:val="36"/>
          <w:u w:val="single"/>
        </w:rPr>
        <w:t>二</w:t>
      </w:r>
      <w:r>
        <w:rPr>
          <w:rFonts w:hint="eastAsia" w:cs="Times New Roman"/>
          <w:color w:val="000000" w:themeColor="text1"/>
          <w:sz w:val="36"/>
          <w:szCs w:val="36"/>
          <w:u w:val="single"/>
          <w:lang w:val="en-US" w:eastAsia="zh-CN"/>
        </w:rPr>
        <w:t>六</w:t>
      </w:r>
      <w:r>
        <w:rPr>
          <w:rFonts w:hint="default" w:ascii="Times New Roman" w:hAnsi="Times New Roman" w:cs="Times New Roman"/>
          <w:color w:val="000000" w:themeColor="text1"/>
          <w:sz w:val="36"/>
          <w:szCs w:val="36"/>
          <w:u w:val="single"/>
        </w:rPr>
        <w:t>年</w:t>
      </w:r>
      <w:r>
        <w:rPr>
          <w:rFonts w:hint="eastAsia" w:cs="Times New Roman"/>
          <w:color w:val="000000" w:themeColor="text1"/>
          <w:sz w:val="36"/>
          <w:szCs w:val="36"/>
          <w:u w:val="single"/>
          <w:lang w:val="en-US" w:eastAsia="zh-CN"/>
        </w:rPr>
        <w:t>五</w:t>
      </w:r>
      <w:r>
        <w:rPr>
          <w:rFonts w:hint="default" w:ascii="Times New Roman" w:hAnsi="Times New Roman" w:cs="Times New Roman"/>
          <w:color w:val="000000" w:themeColor="text1"/>
          <w:sz w:val="36"/>
          <w:szCs w:val="36"/>
          <w:u w:val="single"/>
        </w:rPr>
        <w:t xml:space="preserve">月  </w:t>
      </w:r>
      <w:r>
        <w:rPr>
          <w:rFonts w:hint="default" w:ascii="Times New Roman" w:hAnsi="Times New Roman" w:cs="Times New Roman"/>
          <w:color w:val="000000" w:themeColor="text1"/>
          <w:sz w:val="36"/>
          <w:szCs w:val="36"/>
          <w:u w:val="single"/>
          <w:lang w:val="en-US" w:eastAsia="zh-CN"/>
        </w:rPr>
        <w:t xml:space="preserve"> </w:t>
      </w:r>
      <w:r>
        <w:rPr>
          <w:rFonts w:hint="default" w:ascii="Times New Roman" w:hAnsi="Times New Roman" w:cs="Times New Roman"/>
          <w:color w:val="000000" w:themeColor="text1"/>
          <w:sz w:val="36"/>
          <w:szCs w:val="36"/>
          <w:u w:val="single"/>
        </w:rPr>
        <w:t xml:space="preserve"> </w:t>
      </w:r>
      <w:r>
        <w:rPr>
          <w:rFonts w:hint="eastAsia" w:cs="Times New Roman"/>
          <w:color w:val="000000" w:themeColor="text1"/>
          <w:sz w:val="36"/>
          <w:szCs w:val="36"/>
          <w:u w:val="single"/>
          <w:lang w:val="en-US" w:eastAsia="zh-CN"/>
        </w:rPr>
        <w:t xml:space="preserve">     </w:t>
      </w:r>
      <w:r>
        <w:rPr>
          <w:rFonts w:hint="default" w:ascii="Times New Roman" w:hAnsi="Times New Roman" w:cs="Times New Roman"/>
          <w:color w:val="000000" w:themeColor="text1"/>
          <w:sz w:val="36"/>
          <w:szCs w:val="36"/>
          <w:u w:val="single"/>
        </w:rPr>
        <w:t xml:space="preserve">  </w:t>
      </w:r>
    </w:p>
    <w:p w14:paraId="0A793FDA">
      <w:pPr>
        <w:adjustRightInd w:val="0"/>
        <w:snapToGrid w:val="0"/>
        <w:spacing w:line="288" w:lineRule="auto"/>
        <w:ind w:firstLine="1040"/>
        <w:rPr>
          <w:rFonts w:hint="default" w:ascii="Times New Roman" w:hAnsi="Times New Roman" w:cs="Times New Roman"/>
          <w:color w:val="000000" w:themeColor="text1"/>
          <w:sz w:val="36"/>
          <w:szCs w:val="36"/>
          <w:u w:val="single"/>
        </w:rPr>
      </w:pPr>
      <w:bookmarkStart w:id="0" w:name="_Hlk57884087"/>
    </w:p>
    <w:p w14:paraId="4468BBB0">
      <w:pPr>
        <w:adjustRightInd w:val="0"/>
        <w:snapToGrid w:val="0"/>
        <w:spacing w:line="288" w:lineRule="auto"/>
        <w:ind w:firstLine="1040"/>
        <w:rPr>
          <w:rFonts w:hint="default" w:ascii="Times New Roman" w:hAnsi="Times New Roman" w:cs="Times New Roman"/>
          <w:color w:val="000000" w:themeColor="text1"/>
          <w:sz w:val="36"/>
          <w:szCs w:val="36"/>
        </w:rPr>
      </w:pPr>
    </w:p>
    <w:p w14:paraId="551FC0FE">
      <w:pPr>
        <w:adjustRightInd w:val="0"/>
        <w:snapToGrid w:val="0"/>
        <w:spacing w:line="288" w:lineRule="auto"/>
        <w:ind w:firstLine="1040"/>
        <w:rPr>
          <w:rFonts w:hint="default" w:ascii="Times New Roman" w:hAnsi="Times New Roman" w:cs="Times New Roman"/>
          <w:color w:val="000000" w:themeColor="text1"/>
          <w:sz w:val="36"/>
          <w:szCs w:val="36"/>
        </w:rPr>
      </w:pPr>
    </w:p>
    <w:p w14:paraId="72685C70">
      <w:pPr>
        <w:pStyle w:val="31"/>
        <w:ind w:left="0" w:leftChars="0" w:right="0" w:rightChars="0" w:firstLine="0" w:firstLineChars="0"/>
        <w:jc w:val="center"/>
        <w:rPr>
          <w:rFonts w:hint="default" w:ascii="Times New Roman" w:hAnsi="Times New Roman" w:cs="Times New Roman"/>
          <w:color w:val="000000" w:themeColor="text1"/>
          <w:sz w:val="36"/>
          <w:szCs w:val="36"/>
        </w:rPr>
        <w:sectPr>
          <w:pgSz w:w="11906" w:h="16838"/>
          <w:pgMar w:top="1440" w:right="1803" w:bottom="1440" w:left="1803" w:header="851" w:footer="1077" w:gutter="0"/>
          <w:pgNumType w:start="1"/>
          <w:cols w:space="720" w:num="1"/>
          <w:docGrid w:linePitch="312" w:charSpace="0"/>
        </w:sectPr>
      </w:pPr>
      <w:r>
        <w:rPr>
          <w:rFonts w:hint="default" w:ascii="Times New Roman" w:hAnsi="Times New Roman" w:cs="Times New Roman"/>
          <w:color w:val="000000" w:themeColor="text1"/>
          <w:sz w:val="36"/>
          <w:szCs w:val="36"/>
        </w:rPr>
        <w:t>中华人民共和国生态环境部制</w:t>
      </w:r>
      <w:bookmarkEnd w:id="0"/>
    </w:p>
    <w:p w14:paraId="7F044756">
      <w:pPr>
        <w:pStyle w:val="31"/>
        <w:ind w:left="0" w:leftChars="0" w:right="0" w:rightChars="0" w:firstLine="0" w:firstLineChars="0"/>
        <w:jc w:val="center"/>
        <w:rPr>
          <w:rFonts w:hint="default" w:ascii="Times New Roman" w:hAnsi="Times New Roman" w:cs="Times New Roman"/>
          <w:color w:val="000000" w:themeColor="text1"/>
          <w:sz w:val="36"/>
          <w:szCs w:val="36"/>
        </w:rPr>
      </w:pPr>
    </w:p>
    <w:p w14:paraId="70388278">
      <w:pPr>
        <w:pStyle w:val="31"/>
        <w:jc w:val="center"/>
        <w:outlineLvl w:val="0"/>
        <w:rPr>
          <w:rFonts w:hint="default" w:ascii="Times New Roman" w:hAnsi="Times New Roman" w:cs="Times New Roman"/>
          <w:snapToGrid w:val="0"/>
          <w:color w:val="000000" w:themeColor="text1"/>
          <w:sz w:val="30"/>
          <w:szCs w:val="30"/>
        </w:rPr>
        <w:sectPr>
          <w:pgSz w:w="11906" w:h="16838"/>
          <w:pgMar w:top="1276" w:right="1531" w:bottom="1701" w:left="1531" w:header="851" w:footer="1077" w:gutter="0"/>
          <w:pgNumType w:start="1"/>
          <w:cols w:space="720" w:num="1"/>
          <w:docGrid w:linePitch="312" w:charSpace="0"/>
        </w:sectPr>
      </w:pPr>
    </w:p>
    <w:p w14:paraId="44C5BEAB">
      <w:pPr>
        <w:pStyle w:val="31"/>
        <w:jc w:val="center"/>
        <w:outlineLvl w:val="0"/>
        <w:rPr>
          <w:rFonts w:hint="default" w:ascii="Times New Roman" w:hAnsi="Times New Roman" w:cs="Times New Roman"/>
          <w:snapToGrid w:val="0"/>
          <w:color w:val="000000" w:themeColor="text1"/>
          <w:sz w:val="30"/>
          <w:szCs w:val="30"/>
        </w:rPr>
      </w:pPr>
      <w:r>
        <w:rPr>
          <w:rFonts w:hint="default" w:ascii="Times New Roman" w:hAnsi="Times New Roman" w:cs="Times New Roman"/>
          <w:snapToGrid w:val="0"/>
          <w:color w:val="000000" w:themeColor="text1"/>
          <w:sz w:val="30"/>
          <w:szCs w:val="30"/>
        </w:rPr>
        <w:t>一、建设项目基本情况</w:t>
      </w:r>
    </w:p>
    <w:tbl>
      <w:tblPr>
        <w:tblStyle w:val="34"/>
        <w:tblW w:w="917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628"/>
        <w:gridCol w:w="2303"/>
        <w:gridCol w:w="1865"/>
        <w:gridCol w:w="3378"/>
      </w:tblGrid>
      <w:tr w14:paraId="3EB248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28" w:type="dxa"/>
            <w:tcBorders>
              <w:top w:val="single" w:color="auto" w:sz="8" w:space="0"/>
            </w:tcBorders>
            <w:tcMar>
              <w:top w:w="16" w:type="dxa"/>
              <w:left w:w="16" w:type="dxa"/>
              <w:right w:w="16" w:type="dxa"/>
            </w:tcMar>
            <w:vAlign w:val="center"/>
          </w:tcPr>
          <w:p w14:paraId="3F6EECDC">
            <w:pPr>
              <w:adjustRightInd w:val="0"/>
              <w:snapToGrid w:val="0"/>
              <w:spacing w:line="460" w:lineRule="exact"/>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建设项目名称</w:t>
            </w:r>
          </w:p>
        </w:tc>
        <w:tc>
          <w:tcPr>
            <w:tcW w:w="7546" w:type="dxa"/>
            <w:gridSpan w:val="3"/>
            <w:tcBorders>
              <w:top w:val="single" w:color="auto" w:sz="8" w:space="0"/>
            </w:tcBorders>
            <w:vAlign w:val="center"/>
          </w:tcPr>
          <w:p w14:paraId="630D067A">
            <w:pPr>
              <w:adjustRightInd w:val="0"/>
              <w:snapToGrid w:val="0"/>
              <w:spacing w:line="460" w:lineRule="exact"/>
              <w:jc w:val="center"/>
              <w:rPr>
                <w:rFonts w:hint="eastAsia" w:ascii="Times New Roman" w:hAnsi="Times New Roman" w:eastAsia="宋体" w:cs="Times New Roman"/>
                <w:color w:val="000000" w:themeColor="text1"/>
                <w:sz w:val="24"/>
                <w:szCs w:val="24"/>
                <w:lang w:eastAsia="zh-CN"/>
              </w:rPr>
            </w:pPr>
            <w:r>
              <w:rPr>
                <w:rFonts w:hint="eastAsia" w:cs="Times New Roman"/>
                <w:color w:val="000000" w:themeColor="text1"/>
                <w:sz w:val="24"/>
                <w:szCs w:val="24"/>
                <w:lang w:eastAsia="zh-CN"/>
              </w:rPr>
              <w:t>三变智能科技技改项目（</w:t>
            </w:r>
            <w:r>
              <w:rPr>
                <w:rFonts w:hint="eastAsia" w:cs="Times New Roman"/>
                <w:color w:val="000000" w:themeColor="text1"/>
                <w:sz w:val="24"/>
                <w:szCs w:val="24"/>
                <w:lang w:val="en-US" w:eastAsia="zh-CN"/>
              </w:rPr>
              <w:t>重新报批</w:t>
            </w:r>
            <w:r>
              <w:rPr>
                <w:rFonts w:hint="eastAsia" w:cs="Times New Roman"/>
                <w:color w:val="000000" w:themeColor="text1"/>
                <w:sz w:val="24"/>
                <w:szCs w:val="24"/>
                <w:lang w:eastAsia="zh-CN"/>
              </w:rPr>
              <w:t>）</w:t>
            </w:r>
          </w:p>
        </w:tc>
      </w:tr>
      <w:tr w14:paraId="4D3EAD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28" w:type="dxa"/>
            <w:tcMar>
              <w:top w:w="16" w:type="dxa"/>
              <w:left w:w="16" w:type="dxa"/>
              <w:right w:w="16" w:type="dxa"/>
            </w:tcMar>
            <w:vAlign w:val="center"/>
          </w:tcPr>
          <w:p w14:paraId="7A85A845">
            <w:pPr>
              <w:adjustRightInd w:val="0"/>
              <w:snapToGrid w:val="0"/>
              <w:spacing w:line="460" w:lineRule="exact"/>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项目代码</w:t>
            </w:r>
          </w:p>
        </w:tc>
        <w:tc>
          <w:tcPr>
            <w:tcW w:w="7546" w:type="dxa"/>
            <w:gridSpan w:val="3"/>
            <w:vAlign w:val="center"/>
          </w:tcPr>
          <w:p w14:paraId="7CD48ECE">
            <w:pPr>
              <w:adjustRightInd w:val="0"/>
              <w:snapToGrid w:val="0"/>
              <w:spacing w:line="460" w:lineRule="exact"/>
              <w:jc w:val="center"/>
              <w:rPr>
                <w:rFonts w:hint="eastAsia" w:ascii="Times New Roman" w:hAnsi="Times New Roman" w:eastAsia="宋体" w:cs="Times New Roman"/>
                <w:color w:val="000000" w:themeColor="text1"/>
                <w:sz w:val="24"/>
                <w:szCs w:val="24"/>
                <w:lang w:eastAsia="zh-CN"/>
              </w:rPr>
            </w:pPr>
            <w:r>
              <w:rPr>
                <w:rFonts w:hint="eastAsia" w:cs="Times New Roman"/>
                <w:color w:val="000000" w:themeColor="text1"/>
                <w:sz w:val="24"/>
                <w:szCs w:val="24"/>
                <w:lang w:eastAsia="zh-CN"/>
              </w:rPr>
              <w:t>2504-340602-07-02-674252</w:t>
            </w:r>
          </w:p>
        </w:tc>
      </w:tr>
      <w:tr w14:paraId="728A0C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28" w:type="dxa"/>
            <w:tcMar>
              <w:top w:w="16" w:type="dxa"/>
              <w:left w:w="16" w:type="dxa"/>
              <w:right w:w="16" w:type="dxa"/>
            </w:tcMar>
            <w:vAlign w:val="center"/>
          </w:tcPr>
          <w:p w14:paraId="0A420AE9">
            <w:pPr>
              <w:adjustRightInd w:val="0"/>
              <w:snapToGrid w:val="0"/>
              <w:spacing w:line="460" w:lineRule="exact"/>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建设单位联系人</w:t>
            </w:r>
          </w:p>
        </w:tc>
        <w:tc>
          <w:tcPr>
            <w:tcW w:w="2303" w:type="dxa"/>
            <w:vAlign w:val="center"/>
          </w:tcPr>
          <w:p w14:paraId="0FF87588">
            <w:pPr>
              <w:adjustRightInd w:val="0"/>
              <w:snapToGrid w:val="0"/>
              <w:jc w:val="center"/>
              <w:rPr>
                <w:rFonts w:hint="eastAsia" w:ascii="Times New Roman" w:hAnsi="Times New Roman" w:eastAsia="宋体" w:cs="Times New Roman"/>
                <w:snapToGrid w:val="0"/>
                <w:color w:val="000000" w:themeColor="text1"/>
                <w:sz w:val="24"/>
                <w:szCs w:val="24"/>
                <w:lang w:eastAsia="zh-CN"/>
              </w:rPr>
            </w:pPr>
            <w:r>
              <w:rPr>
                <w:rFonts w:hint="eastAsia" w:cs="Times New Roman"/>
                <w:snapToGrid w:val="0"/>
                <w:color w:val="000000" w:themeColor="text1"/>
                <w:sz w:val="24"/>
                <w:szCs w:val="24"/>
                <w:lang w:val="en-US" w:eastAsia="zh-CN"/>
              </w:rPr>
              <w:t>夏霜</w:t>
            </w:r>
          </w:p>
        </w:tc>
        <w:tc>
          <w:tcPr>
            <w:tcW w:w="1865" w:type="dxa"/>
            <w:vAlign w:val="center"/>
          </w:tcPr>
          <w:p w14:paraId="49CDE1ED">
            <w:pPr>
              <w:adjustRightInd w:val="0"/>
              <w:snapToGrid w:val="0"/>
              <w:jc w:val="center"/>
              <w:rPr>
                <w:rFonts w:hint="default" w:ascii="Times New Roman" w:hAnsi="Times New Roman" w:cs="Times New Roman"/>
                <w:snapToGrid w:val="0"/>
                <w:color w:val="000000" w:themeColor="text1"/>
                <w:sz w:val="24"/>
                <w:szCs w:val="24"/>
              </w:rPr>
            </w:pPr>
            <w:r>
              <w:rPr>
                <w:rFonts w:hint="default" w:ascii="Times New Roman" w:hAnsi="Times New Roman" w:cs="Times New Roman"/>
                <w:snapToGrid w:val="0"/>
                <w:color w:val="000000" w:themeColor="text1"/>
                <w:sz w:val="24"/>
                <w:szCs w:val="24"/>
              </w:rPr>
              <w:t>联系方式</w:t>
            </w:r>
          </w:p>
        </w:tc>
        <w:tc>
          <w:tcPr>
            <w:tcW w:w="3378" w:type="dxa"/>
            <w:vAlign w:val="center"/>
          </w:tcPr>
          <w:p w14:paraId="7773BF59">
            <w:pPr>
              <w:adjustRightInd w:val="0"/>
              <w:snapToGrid w:val="0"/>
              <w:jc w:val="center"/>
              <w:rPr>
                <w:rFonts w:hint="eastAsia" w:ascii="Times New Roman" w:hAnsi="Times New Roman" w:eastAsia="宋体" w:cs="Times New Roman"/>
                <w:snapToGrid w:val="0"/>
                <w:color w:val="000000" w:themeColor="text1"/>
                <w:sz w:val="24"/>
                <w:szCs w:val="24"/>
                <w:lang w:eastAsia="zh-CN"/>
              </w:rPr>
            </w:pPr>
            <w:r>
              <w:rPr>
                <w:rFonts w:hint="eastAsia" w:ascii="Times New Roman" w:hAnsi="Times New Roman" w:eastAsia="宋体" w:cs="Times New Roman"/>
                <w:snapToGrid w:val="0"/>
                <w:color w:val="000000" w:themeColor="text1"/>
                <w:sz w:val="24"/>
                <w:szCs w:val="24"/>
                <w:lang w:eastAsia="zh-CN"/>
              </w:rPr>
              <w:t>15162225529</w:t>
            </w:r>
          </w:p>
        </w:tc>
      </w:tr>
      <w:tr w14:paraId="3A377D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28" w:type="dxa"/>
            <w:tcMar>
              <w:top w:w="16" w:type="dxa"/>
              <w:left w:w="16" w:type="dxa"/>
              <w:right w:w="16" w:type="dxa"/>
            </w:tcMar>
            <w:vAlign w:val="center"/>
          </w:tcPr>
          <w:p w14:paraId="1C1D5BDE">
            <w:pPr>
              <w:adjustRightInd w:val="0"/>
              <w:snapToGrid w:val="0"/>
              <w:spacing w:line="460" w:lineRule="exact"/>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建设地点</w:t>
            </w:r>
          </w:p>
        </w:tc>
        <w:tc>
          <w:tcPr>
            <w:tcW w:w="7546" w:type="dxa"/>
            <w:gridSpan w:val="3"/>
            <w:vAlign w:val="center"/>
          </w:tcPr>
          <w:p w14:paraId="2F83AC22">
            <w:pPr>
              <w:adjustRightInd w:val="0"/>
              <w:snapToGrid w:val="0"/>
              <w:spacing w:line="460" w:lineRule="exact"/>
              <w:jc w:val="center"/>
              <w:rPr>
                <w:rFonts w:hint="eastAsia" w:ascii="Times New Roman" w:hAnsi="Times New Roman" w:eastAsia="宋体" w:cs="Times New Roman"/>
                <w:snapToGrid w:val="0"/>
                <w:color w:val="000000" w:themeColor="text1"/>
                <w:sz w:val="24"/>
                <w:szCs w:val="24"/>
                <w:lang w:eastAsia="zh-CN"/>
              </w:rPr>
            </w:pPr>
            <w:r>
              <w:rPr>
                <w:rStyle w:val="41"/>
                <w:rFonts w:hint="eastAsia" w:cs="Times New Roman"/>
                <w:snapToGrid w:val="0"/>
                <w:color w:val="000000" w:themeColor="text1"/>
                <w:kern w:val="0"/>
                <w:sz w:val="24"/>
                <w:szCs w:val="24"/>
                <w:lang w:eastAsia="zh-CN"/>
              </w:rPr>
              <w:t>安徽省淮北市杜集区经济开发区发展路10号</w:t>
            </w:r>
          </w:p>
        </w:tc>
      </w:tr>
      <w:tr w14:paraId="53FDE0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28" w:type="dxa"/>
            <w:tcMar>
              <w:top w:w="16" w:type="dxa"/>
              <w:left w:w="16" w:type="dxa"/>
              <w:right w:w="16" w:type="dxa"/>
            </w:tcMar>
            <w:vAlign w:val="center"/>
          </w:tcPr>
          <w:p w14:paraId="32BC466E">
            <w:pPr>
              <w:adjustRightInd w:val="0"/>
              <w:snapToGrid w:val="0"/>
              <w:spacing w:line="460" w:lineRule="exact"/>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地理坐标</w:t>
            </w:r>
          </w:p>
        </w:tc>
        <w:tc>
          <w:tcPr>
            <w:tcW w:w="7546" w:type="dxa"/>
            <w:gridSpan w:val="3"/>
            <w:vAlign w:val="center"/>
          </w:tcPr>
          <w:p w14:paraId="6BE80860">
            <w:pPr>
              <w:spacing w:line="460" w:lineRule="exact"/>
              <w:jc w:val="center"/>
              <w:rPr>
                <w:rFonts w:hint="eastAsia" w:ascii="Times New Roman" w:hAnsi="Times New Roman" w:eastAsia="宋体" w:cs="Times New Roman"/>
                <w:color w:val="000000" w:themeColor="text1"/>
                <w:sz w:val="24"/>
                <w:szCs w:val="24"/>
                <w:lang w:eastAsia="zh-CN"/>
              </w:rPr>
            </w:pPr>
            <w:r>
              <w:rPr>
                <w:rFonts w:hint="default" w:ascii="Times New Roman" w:hAnsi="Times New Roman" w:cs="Times New Roman"/>
                <w:color w:val="000000" w:themeColor="text1"/>
                <w:sz w:val="24"/>
                <w:szCs w:val="24"/>
              </w:rPr>
              <w:t>东经</w:t>
            </w:r>
            <w:r>
              <w:rPr>
                <w:rFonts w:hint="default" w:ascii="Times New Roman" w:hAnsi="Times New Roman" w:cs="Times New Roman"/>
                <w:color w:val="000000" w:themeColor="text1"/>
                <w:sz w:val="24"/>
                <w:szCs w:val="24"/>
                <w:lang w:eastAsia="zh-CN"/>
              </w:rPr>
              <w:t>116°48′</w:t>
            </w:r>
            <w:r>
              <w:rPr>
                <w:rFonts w:hint="eastAsia" w:cs="Times New Roman"/>
                <w:color w:val="000000" w:themeColor="text1"/>
                <w:sz w:val="24"/>
                <w:szCs w:val="24"/>
                <w:lang w:val="en-US" w:eastAsia="zh-CN"/>
              </w:rPr>
              <w:t>53.156</w:t>
            </w:r>
            <w:r>
              <w:rPr>
                <w:rFonts w:hint="default" w:ascii="Times New Roman" w:hAnsi="Times New Roman" w:cs="Times New Roman"/>
                <w:color w:val="000000" w:themeColor="text1"/>
                <w:sz w:val="24"/>
                <w:szCs w:val="24"/>
                <w:lang w:eastAsia="zh-CN"/>
              </w:rPr>
              <w:t>″</w:t>
            </w:r>
            <w:r>
              <w:rPr>
                <w:rFonts w:hint="default" w:ascii="Times New Roman" w:hAnsi="Times New Roman" w:cs="Times New Roman"/>
                <w:color w:val="000000" w:themeColor="text1"/>
                <w:sz w:val="24"/>
                <w:szCs w:val="24"/>
              </w:rPr>
              <w:t>，北纬</w:t>
            </w:r>
            <w:r>
              <w:rPr>
                <w:rFonts w:hint="default" w:ascii="Times New Roman" w:hAnsi="Times New Roman" w:cs="Times New Roman"/>
                <w:color w:val="000000" w:themeColor="text1"/>
                <w:sz w:val="24"/>
                <w:szCs w:val="24"/>
                <w:lang w:eastAsia="zh-CN"/>
              </w:rPr>
              <w:t>34°2′</w:t>
            </w:r>
            <w:r>
              <w:rPr>
                <w:rFonts w:hint="eastAsia" w:cs="Times New Roman"/>
                <w:color w:val="000000" w:themeColor="text1"/>
                <w:sz w:val="24"/>
                <w:szCs w:val="24"/>
                <w:lang w:val="en-US" w:eastAsia="zh-CN"/>
              </w:rPr>
              <w:t>7.492</w:t>
            </w:r>
            <w:r>
              <w:rPr>
                <w:rFonts w:hint="default" w:ascii="Times New Roman" w:hAnsi="Times New Roman" w:cs="Times New Roman"/>
                <w:color w:val="000000" w:themeColor="text1"/>
                <w:sz w:val="24"/>
                <w:szCs w:val="24"/>
                <w:lang w:eastAsia="zh-CN"/>
              </w:rPr>
              <w:t>″</w:t>
            </w:r>
          </w:p>
        </w:tc>
      </w:tr>
      <w:tr w14:paraId="2CA493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454" w:hRule="atLeast"/>
          <w:jc w:val="center"/>
        </w:trPr>
        <w:tc>
          <w:tcPr>
            <w:tcW w:w="1628" w:type="dxa"/>
            <w:tcMar>
              <w:top w:w="16" w:type="dxa"/>
              <w:left w:w="16" w:type="dxa"/>
              <w:right w:w="16" w:type="dxa"/>
            </w:tcMar>
            <w:vAlign w:val="center"/>
          </w:tcPr>
          <w:p w14:paraId="4E37B266">
            <w:pPr>
              <w:adjustRightInd w:val="0"/>
              <w:snapToGrid w:val="0"/>
              <w:spacing w:line="460" w:lineRule="exact"/>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国民经济</w:t>
            </w:r>
          </w:p>
          <w:p w14:paraId="3E124DDE">
            <w:pPr>
              <w:adjustRightInd w:val="0"/>
              <w:snapToGrid w:val="0"/>
              <w:spacing w:line="460" w:lineRule="exact"/>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行业类别</w:t>
            </w:r>
          </w:p>
        </w:tc>
        <w:tc>
          <w:tcPr>
            <w:tcW w:w="2303" w:type="dxa"/>
            <w:vAlign w:val="center"/>
          </w:tcPr>
          <w:p w14:paraId="1B410E9A">
            <w:pPr>
              <w:adjustRightInd w:val="0"/>
              <w:snapToGrid w:val="0"/>
              <w:spacing w:line="460" w:lineRule="exact"/>
              <w:jc w:val="center"/>
              <w:rPr>
                <w:rFonts w:hint="eastAsia" w:ascii="Times New Roman" w:hAnsi="Times New Roman" w:eastAsia="宋体" w:cs="Times New Roman"/>
                <w:color w:val="000000" w:themeColor="text1"/>
                <w:sz w:val="24"/>
                <w:szCs w:val="24"/>
                <w:lang w:eastAsia="zh-CN"/>
              </w:rPr>
            </w:pPr>
            <w:r>
              <w:rPr>
                <w:rFonts w:hint="eastAsia" w:cs="Times New Roman"/>
                <w:color w:val="000000" w:themeColor="text1"/>
                <w:sz w:val="24"/>
                <w:szCs w:val="24"/>
                <w:lang w:eastAsia="zh-CN"/>
              </w:rPr>
              <w:t>C3821变压器、整流器和电感器制造</w:t>
            </w:r>
          </w:p>
        </w:tc>
        <w:tc>
          <w:tcPr>
            <w:tcW w:w="1865" w:type="dxa"/>
            <w:vAlign w:val="center"/>
          </w:tcPr>
          <w:p w14:paraId="6F80D1DE">
            <w:pPr>
              <w:adjustRightInd w:val="0"/>
              <w:snapToGrid w:val="0"/>
              <w:spacing w:line="460" w:lineRule="exact"/>
              <w:jc w:val="center"/>
              <w:rPr>
                <w:rFonts w:hint="default" w:ascii="Times New Roman" w:hAnsi="Times New Roman" w:cs="Times New Roman"/>
                <w:color w:val="000000" w:themeColor="text1"/>
                <w:sz w:val="24"/>
                <w:szCs w:val="24"/>
              </w:rPr>
            </w:pPr>
            <w:bookmarkStart w:id="1" w:name="_Hlk49843745"/>
            <w:r>
              <w:rPr>
                <w:rFonts w:hint="default" w:ascii="Times New Roman" w:hAnsi="Times New Roman" w:cs="Times New Roman"/>
                <w:color w:val="000000" w:themeColor="text1"/>
                <w:sz w:val="24"/>
                <w:szCs w:val="24"/>
              </w:rPr>
              <w:t>建设项目</w:t>
            </w:r>
          </w:p>
          <w:p w14:paraId="522216B2">
            <w:pPr>
              <w:adjustRightInd w:val="0"/>
              <w:snapToGrid w:val="0"/>
              <w:spacing w:line="460" w:lineRule="exact"/>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行业类别</w:t>
            </w:r>
            <w:bookmarkEnd w:id="1"/>
          </w:p>
        </w:tc>
        <w:tc>
          <w:tcPr>
            <w:tcW w:w="3378" w:type="dxa"/>
            <w:vAlign w:val="top"/>
          </w:tcPr>
          <w:p w14:paraId="0D7A7876">
            <w:pPr>
              <w:pStyle w:val="125"/>
              <w:spacing w:before="56" w:line="240" w:lineRule="auto"/>
              <w:ind w:left="60"/>
              <w:rPr>
                <w:rFonts w:hint="default" w:ascii="Times New Roman" w:hAnsi="Times New Roman" w:cs="Times New Roman"/>
                <w:color w:val="000000" w:themeColor="text1"/>
                <w:sz w:val="24"/>
                <w:szCs w:val="24"/>
              </w:rPr>
            </w:pPr>
            <w:r>
              <w:rPr>
                <w:color w:val="000000" w:themeColor="text1"/>
                <w:spacing w:val="-1"/>
              </w:rPr>
              <w:t>三十五、电气机械和器材制造业</w:t>
            </w:r>
            <w:r>
              <w:rPr>
                <w:rFonts w:ascii="Times New Roman" w:hAnsi="Times New Roman" w:eastAsia="Times New Roman" w:cs="Times New Roman"/>
                <w:color w:val="000000" w:themeColor="text1"/>
                <w:spacing w:val="-1"/>
              </w:rPr>
              <w:t>38-77</w:t>
            </w:r>
            <w:r>
              <w:rPr>
                <w:color w:val="000000" w:themeColor="text1"/>
                <w:spacing w:val="-1"/>
              </w:rPr>
              <w:t>输配电及控制设备制造</w:t>
            </w:r>
            <w:r>
              <w:rPr>
                <w:rFonts w:ascii="Times New Roman" w:hAnsi="Times New Roman" w:eastAsia="Times New Roman" w:cs="Times New Roman"/>
                <w:color w:val="000000" w:themeColor="text1"/>
                <w:spacing w:val="-9"/>
              </w:rPr>
              <w:t>382</w:t>
            </w:r>
            <w:r>
              <w:rPr>
                <w:color w:val="000000" w:themeColor="text1"/>
                <w:spacing w:val="-9"/>
              </w:rPr>
              <w:t>中其他（仅分割、焊接、组装</w:t>
            </w:r>
            <w:r>
              <w:rPr>
                <w:color w:val="000000" w:themeColor="text1"/>
                <w:spacing w:val="-3"/>
              </w:rPr>
              <w:t>的除外，年用非溶剂型低</w:t>
            </w:r>
            <w:r>
              <w:rPr>
                <w:rFonts w:ascii="Times New Roman" w:hAnsi="Times New Roman" w:eastAsia="Times New Roman" w:cs="Times New Roman"/>
                <w:color w:val="000000" w:themeColor="text1"/>
                <w:spacing w:val="-3"/>
              </w:rPr>
              <w:t>VOCs</w:t>
            </w:r>
            <w:r>
              <w:rPr>
                <w:color w:val="000000" w:themeColor="text1"/>
                <w:spacing w:val="-5"/>
              </w:rPr>
              <w:t>含量涂料</w:t>
            </w:r>
            <w:r>
              <w:rPr>
                <w:rFonts w:ascii="Times New Roman" w:hAnsi="Times New Roman" w:eastAsia="Times New Roman" w:cs="Times New Roman"/>
                <w:color w:val="000000" w:themeColor="text1"/>
                <w:spacing w:val="-5"/>
              </w:rPr>
              <w:t>10</w:t>
            </w:r>
            <w:r>
              <w:rPr>
                <w:color w:val="000000" w:themeColor="text1"/>
                <w:spacing w:val="-5"/>
              </w:rPr>
              <w:t>吨以下的除外）</w:t>
            </w:r>
          </w:p>
        </w:tc>
      </w:tr>
      <w:tr w14:paraId="4D91A7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28" w:type="dxa"/>
            <w:tcMar>
              <w:top w:w="16" w:type="dxa"/>
              <w:left w:w="16" w:type="dxa"/>
              <w:right w:w="16" w:type="dxa"/>
            </w:tcMar>
            <w:vAlign w:val="center"/>
          </w:tcPr>
          <w:p w14:paraId="2F66E20C">
            <w:pPr>
              <w:adjustRightInd w:val="0"/>
              <w:snapToGrid w:val="0"/>
              <w:spacing w:line="460" w:lineRule="exact"/>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建设性质</w:t>
            </w:r>
          </w:p>
        </w:tc>
        <w:tc>
          <w:tcPr>
            <w:tcW w:w="2303" w:type="dxa"/>
            <w:vAlign w:val="center"/>
          </w:tcPr>
          <w:p w14:paraId="4477650C">
            <w:pPr>
              <w:spacing w:line="460" w:lineRule="exact"/>
              <w:jc w:val="left"/>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sym w:font="Wingdings 2" w:char="0052"/>
            </w:r>
            <w:r>
              <w:rPr>
                <w:rFonts w:hint="default" w:ascii="Times New Roman" w:hAnsi="Times New Roman" w:cs="Times New Roman"/>
                <w:color w:val="000000" w:themeColor="text1"/>
                <w:sz w:val="24"/>
                <w:szCs w:val="24"/>
              </w:rPr>
              <w:t>新建（迁建）</w:t>
            </w:r>
          </w:p>
          <w:p w14:paraId="40A0480E">
            <w:pPr>
              <w:spacing w:line="460" w:lineRule="exact"/>
              <w:jc w:val="left"/>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□改建</w:t>
            </w:r>
          </w:p>
          <w:p w14:paraId="783CCF47">
            <w:pPr>
              <w:spacing w:line="460" w:lineRule="exact"/>
              <w:jc w:val="left"/>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sym w:font="Wingdings 2" w:char="00A3"/>
            </w:r>
            <w:r>
              <w:rPr>
                <w:rFonts w:hint="default" w:ascii="Times New Roman" w:hAnsi="Times New Roman" w:cs="Times New Roman"/>
                <w:color w:val="000000" w:themeColor="text1"/>
                <w:sz w:val="24"/>
                <w:szCs w:val="24"/>
              </w:rPr>
              <w:t>扩建</w:t>
            </w:r>
          </w:p>
          <w:p w14:paraId="5FA90A05">
            <w:pPr>
              <w:spacing w:line="460" w:lineRule="exact"/>
              <w:jc w:val="left"/>
              <w:rPr>
                <w:rFonts w:hint="default" w:ascii="Times New Roman" w:hAnsi="Times New Roman" w:cs="Times New Roman"/>
                <w:color w:val="000000" w:themeColor="text1"/>
                <w:sz w:val="24"/>
                <w:szCs w:val="24"/>
              </w:rPr>
            </w:pPr>
            <w:r>
              <w:rPr>
                <w:rFonts w:hint="eastAsia" w:cs="Times New Roman"/>
                <w:color w:val="000000" w:themeColor="text1"/>
                <w:sz w:val="24"/>
                <w:szCs w:val="24"/>
                <w:lang w:eastAsia="zh-CN"/>
              </w:rPr>
              <w:t>□</w:t>
            </w:r>
            <w:r>
              <w:rPr>
                <w:rFonts w:hint="default" w:ascii="Times New Roman" w:hAnsi="Times New Roman" w:cs="Times New Roman"/>
                <w:color w:val="000000" w:themeColor="text1"/>
                <w:sz w:val="24"/>
                <w:szCs w:val="24"/>
              </w:rPr>
              <w:t>技术改造</w:t>
            </w:r>
          </w:p>
        </w:tc>
        <w:tc>
          <w:tcPr>
            <w:tcW w:w="1865" w:type="dxa"/>
            <w:vAlign w:val="center"/>
          </w:tcPr>
          <w:p w14:paraId="0443A975">
            <w:pPr>
              <w:adjustRightInd w:val="0"/>
              <w:snapToGrid w:val="0"/>
              <w:spacing w:line="460" w:lineRule="exact"/>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建设项目</w:t>
            </w:r>
          </w:p>
          <w:p w14:paraId="09191D50">
            <w:pPr>
              <w:adjustRightInd w:val="0"/>
              <w:snapToGrid w:val="0"/>
              <w:spacing w:line="460" w:lineRule="exact"/>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申报情形</w:t>
            </w:r>
          </w:p>
        </w:tc>
        <w:tc>
          <w:tcPr>
            <w:tcW w:w="3378" w:type="dxa"/>
            <w:vAlign w:val="center"/>
          </w:tcPr>
          <w:p w14:paraId="1668931B">
            <w:pPr>
              <w:spacing w:line="460" w:lineRule="exact"/>
              <w:jc w:val="left"/>
              <w:rPr>
                <w:rFonts w:hint="default" w:ascii="Times New Roman" w:hAnsi="Times New Roman" w:cs="Times New Roman"/>
                <w:color w:val="000000" w:themeColor="text1"/>
                <w:sz w:val="24"/>
                <w:szCs w:val="24"/>
              </w:rPr>
            </w:pPr>
            <w:r>
              <w:rPr>
                <w:rFonts w:hint="eastAsia" w:cs="Times New Roman"/>
                <w:color w:val="000000" w:themeColor="text1"/>
                <w:sz w:val="24"/>
                <w:szCs w:val="24"/>
                <w:lang w:eastAsia="zh-CN"/>
              </w:rPr>
              <w:t>□</w:t>
            </w:r>
            <w:r>
              <w:rPr>
                <w:rFonts w:hint="default" w:ascii="Times New Roman" w:hAnsi="Times New Roman" w:cs="Times New Roman"/>
                <w:color w:val="000000" w:themeColor="text1"/>
                <w:sz w:val="24"/>
                <w:szCs w:val="24"/>
              </w:rPr>
              <w:t>首次申报项目</w:t>
            </w:r>
          </w:p>
          <w:p w14:paraId="1F9AA8D3">
            <w:pPr>
              <w:spacing w:line="460" w:lineRule="exact"/>
              <w:jc w:val="left"/>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□不予批准后再次申报项目</w:t>
            </w:r>
          </w:p>
          <w:p w14:paraId="5C95C415">
            <w:pPr>
              <w:spacing w:line="460" w:lineRule="exact"/>
              <w:jc w:val="left"/>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 xml:space="preserve">□超五年重新审核项目 </w:t>
            </w:r>
          </w:p>
          <w:p w14:paraId="150A638E">
            <w:pPr>
              <w:spacing w:line="460" w:lineRule="exact"/>
              <w:jc w:val="left"/>
              <w:rPr>
                <w:rFonts w:hint="default" w:ascii="Times New Roman" w:hAnsi="Times New Roman" w:cs="Times New Roman"/>
                <w:color w:val="000000" w:themeColor="text1"/>
                <w:sz w:val="24"/>
                <w:szCs w:val="24"/>
              </w:rPr>
            </w:pPr>
            <w:r>
              <w:rPr>
                <w:rFonts w:hint="eastAsia" w:cs="Times New Roman"/>
                <w:color w:val="000000" w:themeColor="text1"/>
                <w:sz w:val="24"/>
                <w:szCs w:val="24"/>
                <w:lang w:eastAsia="zh-CN"/>
              </w:rPr>
              <w:t>☑</w:t>
            </w:r>
            <w:r>
              <w:rPr>
                <w:rFonts w:hint="default" w:ascii="Times New Roman" w:hAnsi="Times New Roman" w:cs="Times New Roman"/>
                <w:color w:val="000000" w:themeColor="text1"/>
                <w:sz w:val="24"/>
                <w:szCs w:val="24"/>
              </w:rPr>
              <w:t>重大变动重新报批项目</w:t>
            </w:r>
          </w:p>
        </w:tc>
      </w:tr>
      <w:tr w14:paraId="283093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28" w:type="dxa"/>
            <w:tcMar>
              <w:top w:w="16" w:type="dxa"/>
              <w:left w:w="16" w:type="dxa"/>
              <w:right w:w="16" w:type="dxa"/>
            </w:tcMar>
            <w:vAlign w:val="center"/>
          </w:tcPr>
          <w:p w14:paraId="163A8276">
            <w:pPr>
              <w:adjustRightInd w:val="0"/>
              <w:snapToGrid w:val="0"/>
              <w:spacing w:line="460" w:lineRule="exact"/>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项目审批（核准/</w:t>
            </w:r>
          </w:p>
          <w:p w14:paraId="66392104">
            <w:pPr>
              <w:adjustRightInd w:val="0"/>
              <w:snapToGrid w:val="0"/>
              <w:spacing w:line="460" w:lineRule="exact"/>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备案）部门</w:t>
            </w:r>
          </w:p>
        </w:tc>
        <w:tc>
          <w:tcPr>
            <w:tcW w:w="2303" w:type="dxa"/>
            <w:vAlign w:val="center"/>
          </w:tcPr>
          <w:p w14:paraId="271E888E">
            <w:pPr>
              <w:adjustRightInd w:val="0"/>
              <w:snapToGrid w:val="0"/>
              <w:spacing w:line="460" w:lineRule="exact"/>
              <w:jc w:val="center"/>
              <w:rPr>
                <w:rFonts w:hint="eastAsia" w:ascii="Times New Roman" w:hAnsi="Times New Roman" w:eastAsia="宋体" w:cs="Times New Roman"/>
                <w:color w:val="000000" w:themeColor="text1"/>
                <w:sz w:val="24"/>
                <w:szCs w:val="24"/>
                <w:lang w:eastAsia="zh-CN"/>
              </w:rPr>
            </w:pPr>
            <w:r>
              <w:rPr>
                <w:rFonts w:hint="eastAsia" w:cs="Times New Roman"/>
                <w:color w:val="000000" w:themeColor="text1"/>
                <w:sz w:val="24"/>
                <w:szCs w:val="24"/>
                <w:lang w:eastAsia="zh-CN"/>
              </w:rPr>
              <w:t>淮北市杜集区工业和信息化局</w:t>
            </w:r>
          </w:p>
        </w:tc>
        <w:tc>
          <w:tcPr>
            <w:tcW w:w="1865" w:type="dxa"/>
            <w:vAlign w:val="center"/>
          </w:tcPr>
          <w:p w14:paraId="03D19F0A">
            <w:pPr>
              <w:adjustRightInd w:val="0"/>
              <w:snapToGrid w:val="0"/>
              <w:spacing w:line="460" w:lineRule="exact"/>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项目审批（核准/备案）文号</w:t>
            </w:r>
          </w:p>
        </w:tc>
        <w:tc>
          <w:tcPr>
            <w:tcW w:w="3378" w:type="dxa"/>
            <w:vAlign w:val="center"/>
          </w:tcPr>
          <w:p w14:paraId="155C7376">
            <w:pPr>
              <w:adjustRightInd w:val="0"/>
              <w:snapToGrid w:val="0"/>
              <w:spacing w:line="460" w:lineRule="exact"/>
              <w:jc w:val="center"/>
              <w:rPr>
                <w:rFonts w:hint="eastAsia" w:ascii="Times New Roman" w:hAnsi="Times New Roman" w:eastAsia="宋体" w:cs="Times New Roman"/>
                <w:color w:val="000000" w:themeColor="text1"/>
                <w:sz w:val="24"/>
                <w:szCs w:val="24"/>
                <w:lang w:val="en-US" w:eastAsia="zh-CN"/>
              </w:rPr>
            </w:pPr>
            <w:r>
              <w:rPr>
                <w:rFonts w:hint="eastAsia" w:cs="Times New Roman"/>
                <w:color w:val="000000" w:themeColor="text1"/>
                <w:sz w:val="24"/>
                <w:szCs w:val="24"/>
                <w:lang w:val="en-US" w:eastAsia="zh-CN"/>
              </w:rPr>
              <w:t>无</w:t>
            </w:r>
          </w:p>
        </w:tc>
      </w:tr>
      <w:tr w14:paraId="0D2CD5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28" w:type="dxa"/>
            <w:tcMar>
              <w:top w:w="16" w:type="dxa"/>
              <w:left w:w="16" w:type="dxa"/>
              <w:right w:w="16" w:type="dxa"/>
            </w:tcMar>
            <w:vAlign w:val="center"/>
          </w:tcPr>
          <w:p w14:paraId="56B004D5">
            <w:pPr>
              <w:adjustRightInd w:val="0"/>
              <w:snapToGrid w:val="0"/>
              <w:spacing w:line="460" w:lineRule="exact"/>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总投资（万元）</w:t>
            </w:r>
          </w:p>
        </w:tc>
        <w:tc>
          <w:tcPr>
            <w:tcW w:w="2303" w:type="dxa"/>
            <w:vAlign w:val="center"/>
          </w:tcPr>
          <w:p w14:paraId="6FCC82C3">
            <w:pPr>
              <w:adjustRightInd w:val="0"/>
              <w:snapToGrid w:val="0"/>
              <w:spacing w:line="460" w:lineRule="exact"/>
              <w:jc w:val="center"/>
              <w:rPr>
                <w:rFonts w:hint="default" w:ascii="Times New Roman" w:hAnsi="Times New Roman" w:eastAsia="宋体" w:cs="Times New Roman"/>
                <w:color w:val="000000" w:themeColor="text1"/>
                <w:sz w:val="24"/>
                <w:szCs w:val="24"/>
                <w:lang w:val="en-US" w:eastAsia="zh-CN"/>
              </w:rPr>
            </w:pPr>
            <w:r>
              <w:rPr>
                <w:rFonts w:hint="eastAsia" w:cs="Times New Roman"/>
                <w:color w:val="000000" w:themeColor="text1"/>
                <w:sz w:val="24"/>
                <w:szCs w:val="24"/>
                <w:lang w:val="en-US" w:eastAsia="zh-CN"/>
              </w:rPr>
              <w:t>400</w:t>
            </w:r>
          </w:p>
        </w:tc>
        <w:tc>
          <w:tcPr>
            <w:tcW w:w="1865" w:type="dxa"/>
            <w:tcMar>
              <w:top w:w="16" w:type="dxa"/>
              <w:left w:w="16" w:type="dxa"/>
              <w:right w:w="16" w:type="dxa"/>
            </w:tcMar>
            <w:vAlign w:val="center"/>
          </w:tcPr>
          <w:p w14:paraId="7774483D">
            <w:pPr>
              <w:adjustRightInd w:val="0"/>
              <w:snapToGrid w:val="0"/>
              <w:spacing w:line="460" w:lineRule="exact"/>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环保投资</w:t>
            </w:r>
          </w:p>
          <w:p w14:paraId="77E7CA95">
            <w:pPr>
              <w:adjustRightInd w:val="0"/>
              <w:snapToGrid w:val="0"/>
              <w:spacing w:line="460" w:lineRule="exact"/>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（万元）</w:t>
            </w:r>
          </w:p>
        </w:tc>
        <w:tc>
          <w:tcPr>
            <w:tcW w:w="3378" w:type="dxa"/>
            <w:vAlign w:val="center"/>
          </w:tcPr>
          <w:p w14:paraId="5DD8CD04">
            <w:pPr>
              <w:adjustRightInd w:val="0"/>
              <w:snapToGrid w:val="0"/>
              <w:spacing w:line="460" w:lineRule="exact"/>
              <w:jc w:val="center"/>
              <w:rPr>
                <w:rFonts w:hint="eastAsia" w:ascii="Times New Roman" w:hAnsi="Times New Roman" w:eastAsia="宋体" w:cs="Times New Roman"/>
                <w:color w:val="000000" w:themeColor="text1"/>
                <w:sz w:val="24"/>
                <w:szCs w:val="24"/>
                <w:lang w:eastAsia="zh-CN"/>
              </w:rPr>
            </w:pPr>
            <w:r>
              <w:rPr>
                <w:rFonts w:hint="eastAsia" w:cs="Times New Roman"/>
                <w:color w:val="000000" w:themeColor="text1"/>
                <w:sz w:val="24"/>
                <w:szCs w:val="24"/>
                <w:lang w:eastAsia="zh-CN"/>
              </w:rPr>
              <w:t>60</w:t>
            </w:r>
          </w:p>
        </w:tc>
      </w:tr>
      <w:tr w14:paraId="04AD88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28" w:type="dxa"/>
            <w:tcMar>
              <w:top w:w="16" w:type="dxa"/>
              <w:left w:w="16" w:type="dxa"/>
              <w:right w:w="16" w:type="dxa"/>
            </w:tcMar>
            <w:vAlign w:val="center"/>
          </w:tcPr>
          <w:p w14:paraId="100BEB05">
            <w:pPr>
              <w:adjustRightInd w:val="0"/>
              <w:snapToGrid w:val="0"/>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环保投资占比（%）</w:t>
            </w:r>
          </w:p>
        </w:tc>
        <w:tc>
          <w:tcPr>
            <w:tcW w:w="2303" w:type="dxa"/>
            <w:vAlign w:val="center"/>
          </w:tcPr>
          <w:p w14:paraId="2D6E3CD1">
            <w:pPr>
              <w:adjustRightInd w:val="0"/>
              <w:snapToGrid w:val="0"/>
              <w:jc w:val="center"/>
              <w:rPr>
                <w:rFonts w:hint="default" w:ascii="Times New Roman" w:hAnsi="Times New Roman" w:cs="Times New Roman"/>
                <w:color w:val="000000" w:themeColor="text1"/>
                <w:sz w:val="24"/>
                <w:szCs w:val="24"/>
              </w:rPr>
            </w:pPr>
            <w:r>
              <w:rPr>
                <w:rFonts w:hint="eastAsia" w:cs="Times New Roman"/>
                <w:color w:val="000000" w:themeColor="text1"/>
                <w:sz w:val="24"/>
                <w:szCs w:val="24"/>
                <w:lang w:eastAsia="zh-CN"/>
              </w:rPr>
              <w:t>15</w:t>
            </w:r>
            <w:r>
              <w:rPr>
                <w:rFonts w:hint="default" w:ascii="Times New Roman" w:hAnsi="Times New Roman" w:cs="Times New Roman"/>
                <w:color w:val="000000" w:themeColor="text1"/>
                <w:sz w:val="24"/>
                <w:szCs w:val="24"/>
              </w:rPr>
              <w:t>%</w:t>
            </w:r>
          </w:p>
        </w:tc>
        <w:tc>
          <w:tcPr>
            <w:tcW w:w="1865" w:type="dxa"/>
            <w:tcMar>
              <w:top w:w="16" w:type="dxa"/>
              <w:left w:w="16" w:type="dxa"/>
              <w:right w:w="16" w:type="dxa"/>
            </w:tcMar>
            <w:vAlign w:val="center"/>
          </w:tcPr>
          <w:p w14:paraId="16C0EFA8">
            <w:pPr>
              <w:adjustRightInd w:val="0"/>
              <w:snapToGrid w:val="0"/>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施工工期</w:t>
            </w:r>
          </w:p>
        </w:tc>
        <w:tc>
          <w:tcPr>
            <w:tcW w:w="3378" w:type="dxa"/>
            <w:vAlign w:val="center"/>
          </w:tcPr>
          <w:p w14:paraId="4D0540A9">
            <w:pPr>
              <w:adjustRightInd w:val="0"/>
              <w:snapToGrid w:val="0"/>
              <w:jc w:val="center"/>
              <w:rPr>
                <w:rFonts w:hint="default" w:ascii="Times New Roman" w:hAnsi="Times New Roman" w:cs="Times New Roman"/>
                <w:color w:val="000000" w:themeColor="text1"/>
                <w:sz w:val="24"/>
                <w:szCs w:val="24"/>
              </w:rPr>
            </w:pPr>
            <w:r>
              <w:rPr>
                <w:rFonts w:hint="eastAsia" w:cs="Times New Roman"/>
                <w:color w:val="000000" w:themeColor="text1"/>
                <w:sz w:val="24"/>
                <w:szCs w:val="24"/>
                <w:lang w:val="en-US" w:eastAsia="zh-CN"/>
              </w:rPr>
              <w:t>3</w:t>
            </w:r>
            <w:r>
              <w:rPr>
                <w:rFonts w:hint="default" w:ascii="Times New Roman" w:hAnsi="Times New Roman" w:cs="Times New Roman"/>
                <w:color w:val="000000" w:themeColor="text1"/>
                <w:sz w:val="24"/>
                <w:szCs w:val="24"/>
              </w:rPr>
              <w:t>个月</w:t>
            </w:r>
          </w:p>
        </w:tc>
      </w:tr>
      <w:tr w14:paraId="7974D2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23" w:hRule="atLeast"/>
          <w:jc w:val="center"/>
        </w:trPr>
        <w:tc>
          <w:tcPr>
            <w:tcW w:w="1628" w:type="dxa"/>
            <w:tcMar>
              <w:top w:w="16" w:type="dxa"/>
              <w:left w:w="16" w:type="dxa"/>
              <w:right w:w="16" w:type="dxa"/>
            </w:tcMar>
            <w:vAlign w:val="center"/>
          </w:tcPr>
          <w:p w14:paraId="4F269D41">
            <w:pPr>
              <w:adjustRightInd w:val="0"/>
              <w:snapToGrid w:val="0"/>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是否开工建设</w:t>
            </w:r>
          </w:p>
        </w:tc>
        <w:tc>
          <w:tcPr>
            <w:tcW w:w="2303" w:type="dxa"/>
            <w:vAlign w:val="center"/>
          </w:tcPr>
          <w:p w14:paraId="2341780F">
            <w:pPr>
              <w:adjustRightInd w:val="0"/>
              <w:snapToGrid w:val="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sym w:font="Wingdings 2" w:char="0052"/>
            </w:r>
            <w:r>
              <w:rPr>
                <w:rFonts w:hint="default" w:ascii="Times New Roman" w:hAnsi="Times New Roman" w:cs="Times New Roman"/>
                <w:color w:val="000000" w:themeColor="text1"/>
                <w:sz w:val="24"/>
                <w:szCs w:val="24"/>
              </w:rPr>
              <w:t>否</w:t>
            </w:r>
          </w:p>
          <w:p w14:paraId="022222F8">
            <w:pPr>
              <w:adjustRightInd w:val="0"/>
              <w:snapToGrid w:val="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□是：</w:t>
            </w:r>
          </w:p>
        </w:tc>
        <w:tc>
          <w:tcPr>
            <w:tcW w:w="1865" w:type="dxa"/>
            <w:tcMar>
              <w:top w:w="16" w:type="dxa"/>
              <w:left w:w="16" w:type="dxa"/>
              <w:right w:w="16" w:type="dxa"/>
            </w:tcMar>
            <w:vAlign w:val="center"/>
          </w:tcPr>
          <w:p w14:paraId="1AF80629">
            <w:pPr>
              <w:adjustRightInd w:val="0"/>
              <w:snapToGrid w:val="0"/>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用地面积（m</w:t>
            </w:r>
            <w:r>
              <w:rPr>
                <w:rFonts w:hint="default" w:ascii="Times New Roman" w:hAnsi="Times New Roman" w:cs="Times New Roman"/>
                <w:color w:val="000000" w:themeColor="text1"/>
                <w:sz w:val="24"/>
                <w:szCs w:val="24"/>
                <w:vertAlign w:val="superscript"/>
              </w:rPr>
              <w:t>2</w:t>
            </w:r>
            <w:r>
              <w:rPr>
                <w:rFonts w:hint="default" w:ascii="Times New Roman" w:hAnsi="Times New Roman" w:cs="Times New Roman"/>
                <w:color w:val="000000" w:themeColor="text1"/>
                <w:sz w:val="24"/>
                <w:szCs w:val="24"/>
              </w:rPr>
              <w:t>）</w:t>
            </w:r>
          </w:p>
        </w:tc>
        <w:tc>
          <w:tcPr>
            <w:tcW w:w="3378" w:type="dxa"/>
            <w:vAlign w:val="center"/>
          </w:tcPr>
          <w:p w14:paraId="53666A76">
            <w:pPr>
              <w:adjustRightInd w:val="0"/>
              <w:snapToGrid w:val="0"/>
              <w:jc w:val="center"/>
              <w:rPr>
                <w:rFonts w:hint="default" w:ascii="Times New Roman" w:hAnsi="Times New Roman" w:eastAsia="宋体" w:cs="Times New Roman"/>
                <w:color w:val="000000" w:themeColor="text1"/>
                <w:sz w:val="24"/>
                <w:szCs w:val="24"/>
                <w:lang w:val="en-US" w:eastAsia="zh-CN"/>
              </w:rPr>
            </w:pPr>
            <w:r>
              <w:rPr>
                <w:rFonts w:hint="eastAsia" w:cs="Times New Roman"/>
                <w:color w:val="000000" w:themeColor="text1"/>
                <w:sz w:val="24"/>
                <w:szCs w:val="24"/>
                <w:lang w:val="en-US" w:eastAsia="zh-CN"/>
              </w:rPr>
              <w:t>不新增</w:t>
            </w:r>
          </w:p>
        </w:tc>
      </w:tr>
      <w:tr w14:paraId="06C716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28" w:type="dxa"/>
            <w:vAlign w:val="center"/>
          </w:tcPr>
          <w:p w14:paraId="763D91CB">
            <w:pPr>
              <w:autoSpaceDE w:val="0"/>
              <w:autoSpaceDN w:val="0"/>
              <w:adjustRightInd w:val="0"/>
              <w:snapToGrid w:val="0"/>
              <w:jc w:val="center"/>
              <w:rPr>
                <w:rFonts w:hint="default" w:ascii="Times New Roman" w:hAnsi="Times New Roman" w:cs="Times New Roman"/>
                <w:color w:val="000000" w:themeColor="text1"/>
                <w:kern w:val="0"/>
                <w:sz w:val="24"/>
                <w:szCs w:val="24"/>
              </w:rPr>
            </w:pPr>
            <w:r>
              <w:rPr>
                <w:rFonts w:hint="default" w:ascii="Times New Roman" w:hAnsi="Times New Roman" w:cs="Times New Roman"/>
                <w:color w:val="000000" w:themeColor="text1"/>
                <w:kern w:val="0"/>
                <w:sz w:val="24"/>
                <w:szCs w:val="24"/>
              </w:rPr>
              <w:t>专项评价设置情况</w:t>
            </w:r>
          </w:p>
        </w:tc>
        <w:tc>
          <w:tcPr>
            <w:tcW w:w="7546" w:type="dxa"/>
            <w:gridSpan w:val="3"/>
            <w:vAlign w:val="center"/>
          </w:tcPr>
          <w:p w14:paraId="4DFAA075">
            <w:pPr>
              <w:autoSpaceDE w:val="0"/>
              <w:autoSpaceDN w:val="0"/>
              <w:adjustRightInd w:val="0"/>
              <w:snapToGrid w:val="0"/>
              <w:jc w:val="center"/>
              <w:rPr>
                <w:rFonts w:hint="default" w:ascii="Times New Roman" w:hAnsi="Times New Roman" w:cs="Times New Roman"/>
                <w:color w:val="000000" w:themeColor="text1"/>
                <w:kern w:val="0"/>
                <w:sz w:val="24"/>
                <w:szCs w:val="24"/>
              </w:rPr>
            </w:pPr>
            <w:r>
              <w:rPr>
                <w:rFonts w:hint="default" w:ascii="Times New Roman" w:hAnsi="Times New Roman" w:cs="Times New Roman"/>
                <w:color w:val="000000" w:themeColor="text1"/>
                <w:kern w:val="0"/>
                <w:sz w:val="24"/>
                <w:szCs w:val="24"/>
              </w:rPr>
              <w:t>无</w:t>
            </w:r>
          </w:p>
        </w:tc>
      </w:tr>
      <w:tr w14:paraId="4AA184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28" w:type="dxa"/>
            <w:vAlign w:val="center"/>
          </w:tcPr>
          <w:p w14:paraId="180349C9">
            <w:pPr>
              <w:adjustRightInd w:val="0"/>
              <w:snapToGrid w:val="0"/>
              <w:spacing w:line="460" w:lineRule="exact"/>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规划情况</w:t>
            </w:r>
          </w:p>
        </w:tc>
        <w:tc>
          <w:tcPr>
            <w:tcW w:w="7546" w:type="dxa"/>
            <w:gridSpan w:val="3"/>
            <w:shd w:val="clear" w:color="auto" w:fill="auto"/>
            <w:vAlign w:val="center"/>
          </w:tcPr>
          <w:p w14:paraId="5101B0FD">
            <w:pPr>
              <w:keepNext w:val="0"/>
              <w:keepLines w:val="0"/>
              <w:pageBreakBefore w:val="0"/>
              <w:widowControl w:val="0"/>
              <w:kinsoku/>
              <w:wordWrap/>
              <w:overflowPunct/>
              <w:topLinePunct w:val="0"/>
              <w:autoSpaceDE w:val="0"/>
              <w:autoSpaceDN w:val="0"/>
              <w:bidi w:val="0"/>
              <w:adjustRightInd w:val="0"/>
              <w:snapToGrid w:val="0"/>
              <w:spacing w:line="360" w:lineRule="auto"/>
              <w:jc w:val="both"/>
              <w:textAlignment w:val="auto"/>
              <w:rPr>
                <w:rFonts w:hint="default" w:ascii="Times New Roman" w:hAnsi="Times New Roman" w:eastAsia="宋体" w:cs="Times New Roman"/>
                <w:color w:val="000000" w:themeColor="text1"/>
                <w:kern w:val="0"/>
                <w:sz w:val="24"/>
                <w:lang w:val="en-US" w:eastAsia="zh-CN"/>
              </w:rPr>
            </w:pPr>
            <w:r>
              <w:rPr>
                <w:rFonts w:hint="default" w:ascii="Times New Roman" w:hAnsi="Times New Roman" w:eastAsia="宋体" w:cs="Times New Roman"/>
                <w:color w:val="000000" w:themeColor="text1"/>
                <w:kern w:val="0"/>
                <w:sz w:val="24"/>
                <w:lang w:val="en-US" w:eastAsia="zh-CN"/>
              </w:rPr>
              <w:t>规划名称：《安徽淮北杜集经济技术开发区总体规划》；</w:t>
            </w:r>
          </w:p>
          <w:p w14:paraId="6F9D456A">
            <w:pPr>
              <w:keepNext w:val="0"/>
              <w:keepLines w:val="0"/>
              <w:pageBreakBefore w:val="0"/>
              <w:widowControl w:val="0"/>
              <w:kinsoku/>
              <w:wordWrap/>
              <w:overflowPunct/>
              <w:topLinePunct w:val="0"/>
              <w:autoSpaceDE w:val="0"/>
              <w:autoSpaceDN w:val="0"/>
              <w:bidi w:val="0"/>
              <w:adjustRightInd w:val="0"/>
              <w:snapToGrid w:val="0"/>
              <w:spacing w:line="360" w:lineRule="auto"/>
              <w:jc w:val="both"/>
              <w:textAlignment w:val="auto"/>
              <w:rPr>
                <w:rFonts w:hint="default" w:ascii="Times New Roman" w:hAnsi="Times New Roman" w:eastAsia="宋体" w:cs="Times New Roman"/>
                <w:color w:val="000000" w:themeColor="text1"/>
                <w:kern w:val="0"/>
                <w:sz w:val="24"/>
                <w:lang w:val="en-US" w:eastAsia="zh-CN"/>
              </w:rPr>
            </w:pPr>
            <w:r>
              <w:rPr>
                <w:rFonts w:hint="default" w:ascii="Times New Roman" w:hAnsi="Times New Roman" w:eastAsia="宋体" w:cs="Times New Roman"/>
                <w:color w:val="000000" w:themeColor="text1"/>
                <w:kern w:val="0"/>
                <w:sz w:val="24"/>
                <w:lang w:val="en-US" w:eastAsia="zh-CN"/>
              </w:rPr>
              <w:t>审批机关：安徽省人民政府；</w:t>
            </w:r>
          </w:p>
          <w:p w14:paraId="5E7DF07C">
            <w:pPr>
              <w:keepNext w:val="0"/>
              <w:keepLines w:val="0"/>
              <w:pageBreakBefore w:val="0"/>
              <w:widowControl w:val="0"/>
              <w:kinsoku/>
              <w:wordWrap/>
              <w:overflowPunct/>
              <w:topLinePunct w:val="0"/>
              <w:autoSpaceDE w:val="0"/>
              <w:autoSpaceDN w:val="0"/>
              <w:bidi w:val="0"/>
              <w:adjustRightInd w:val="0"/>
              <w:snapToGrid w:val="0"/>
              <w:spacing w:line="360" w:lineRule="auto"/>
              <w:jc w:val="both"/>
              <w:textAlignment w:val="auto"/>
              <w:rPr>
                <w:rFonts w:hint="default" w:ascii="Times New Roman" w:hAnsi="Times New Roman" w:eastAsia="宋体" w:cs="Times New Roman"/>
                <w:color w:val="000000" w:themeColor="text1"/>
                <w:kern w:val="0"/>
                <w:sz w:val="24"/>
                <w:lang w:val="en-US" w:eastAsia="zh-CN"/>
              </w:rPr>
            </w:pPr>
            <w:r>
              <w:rPr>
                <w:rFonts w:hint="default" w:ascii="Times New Roman" w:hAnsi="Times New Roman" w:eastAsia="宋体" w:cs="Times New Roman"/>
                <w:color w:val="000000" w:themeColor="text1"/>
                <w:kern w:val="0"/>
                <w:sz w:val="24"/>
                <w:lang w:val="en-US" w:eastAsia="zh-CN"/>
              </w:rPr>
              <w:t>审批文件：《关于同意筹建安徽淮北杜集经济开发区的批复》；</w:t>
            </w:r>
          </w:p>
          <w:p w14:paraId="6924DDC6">
            <w:pPr>
              <w:keepNext w:val="0"/>
              <w:keepLines w:val="0"/>
              <w:pageBreakBefore w:val="0"/>
              <w:widowControl w:val="0"/>
              <w:kinsoku/>
              <w:wordWrap/>
              <w:overflowPunct/>
              <w:topLinePunct w:val="0"/>
              <w:autoSpaceDE w:val="0"/>
              <w:autoSpaceDN w:val="0"/>
              <w:bidi w:val="0"/>
              <w:adjustRightInd w:val="0"/>
              <w:snapToGrid w:val="0"/>
              <w:spacing w:line="360" w:lineRule="auto"/>
              <w:jc w:val="both"/>
              <w:textAlignment w:val="auto"/>
              <w:rPr>
                <w:rFonts w:hint="default" w:ascii="Times New Roman" w:hAnsi="Times New Roman" w:cs="Times New Roman"/>
                <w:color w:val="000000" w:themeColor="text1"/>
                <w:lang w:eastAsia="zh-CN"/>
              </w:rPr>
            </w:pPr>
            <w:r>
              <w:rPr>
                <w:rFonts w:hint="default" w:ascii="Times New Roman" w:hAnsi="Times New Roman" w:eastAsia="宋体" w:cs="Times New Roman"/>
                <w:color w:val="000000" w:themeColor="text1"/>
                <w:kern w:val="0"/>
                <w:sz w:val="24"/>
                <w:lang w:val="en-US" w:eastAsia="zh-CN"/>
              </w:rPr>
              <w:t>审批文号：皖政秘〔2006〕164号。</w:t>
            </w:r>
          </w:p>
        </w:tc>
      </w:tr>
      <w:tr w14:paraId="51941B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28" w:type="dxa"/>
            <w:vAlign w:val="center"/>
          </w:tcPr>
          <w:p w14:paraId="0A5AE62A">
            <w:pPr>
              <w:adjustRightInd w:val="0"/>
              <w:snapToGrid w:val="0"/>
              <w:spacing w:line="360" w:lineRule="auto"/>
              <w:jc w:val="center"/>
              <w:rPr>
                <w:rFonts w:hint="default" w:ascii="Times New Roman" w:hAnsi="Times New Roman" w:cs="Times New Roman"/>
                <w:color w:val="000000" w:themeColor="text1"/>
                <w:kern w:val="0"/>
                <w:sz w:val="24"/>
                <w:szCs w:val="24"/>
              </w:rPr>
            </w:pPr>
            <w:r>
              <w:rPr>
                <w:rFonts w:hint="default" w:ascii="Times New Roman" w:hAnsi="Times New Roman" w:cs="Times New Roman"/>
                <w:color w:val="000000" w:themeColor="text1"/>
                <w:sz w:val="24"/>
                <w:szCs w:val="24"/>
              </w:rPr>
              <w:t>规划环境影响评价情况</w:t>
            </w:r>
          </w:p>
        </w:tc>
        <w:tc>
          <w:tcPr>
            <w:tcW w:w="7546" w:type="dxa"/>
            <w:gridSpan w:val="3"/>
            <w:shd w:val="clear" w:color="auto" w:fill="auto"/>
            <w:vAlign w:val="center"/>
          </w:tcPr>
          <w:p w14:paraId="039F0DF9">
            <w:pPr>
              <w:numPr>
                <w:ilvl w:val="0"/>
                <w:numId w:val="0"/>
              </w:numPr>
              <w:adjustRightInd w:val="0"/>
              <w:snapToGrid w:val="0"/>
              <w:spacing w:line="360" w:lineRule="auto"/>
              <w:jc w:val="left"/>
              <w:rPr>
                <w:rFonts w:hint="default" w:ascii="Times New Roman" w:hAnsi="Times New Roman" w:eastAsia="宋体" w:cs="Times New Roman"/>
                <w:color w:val="000000" w:themeColor="text1"/>
                <w:sz w:val="24"/>
                <w:szCs w:val="24"/>
                <w:lang w:val="en-US" w:eastAsia="zh-CN"/>
              </w:rPr>
            </w:pPr>
            <w:r>
              <w:rPr>
                <w:rFonts w:hint="default" w:ascii="Times New Roman" w:hAnsi="Times New Roman" w:eastAsia="宋体" w:cs="Times New Roman"/>
                <w:color w:val="000000" w:themeColor="text1"/>
                <w:sz w:val="24"/>
                <w:szCs w:val="24"/>
                <w:lang w:val="en-US" w:eastAsia="zh-CN"/>
              </w:rPr>
              <w:t>规划环评名称：《安徽淮北杜集经济开发区总体发展规划（2023-2035年）环境影响报告书》</w:t>
            </w:r>
          </w:p>
          <w:p w14:paraId="75F1BEEC">
            <w:pPr>
              <w:numPr>
                <w:ilvl w:val="0"/>
                <w:numId w:val="0"/>
              </w:numPr>
              <w:adjustRightInd w:val="0"/>
              <w:snapToGrid w:val="0"/>
              <w:spacing w:line="360" w:lineRule="auto"/>
              <w:jc w:val="left"/>
              <w:rPr>
                <w:rFonts w:hint="default" w:ascii="Times New Roman" w:hAnsi="Times New Roman" w:eastAsia="宋体" w:cs="Times New Roman"/>
                <w:color w:val="000000" w:themeColor="text1"/>
                <w:sz w:val="24"/>
                <w:szCs w:val="24"/>
                <w:lang w:val="en-US" w:eastAsia="zh-CN"/>
              </w:rPr>
            </w:pPr>
            <w:r>
              <w:rPr>
                <w:rFonts w:hint="default" w:ascii="Times New Roman" w:hAnsi="Times New Roman" w:eastAsia="宋体" w:cs="Times New Roman"/>
                <w:color w:val="000000" w:themeColor="text1"/>
                <w:sz w:val="24"/>
                <w:szCs w:val="24"/>
                <w:lang w:val="en-US" w:eastAsia="zh-CN"/>
              </w:rPr>
              <w:t>规划环评审查机关：淮北市生态环境局</w:t>
            </w:r>
          </w:p>
          <w:p w14:paraId="6483B871">
            <w:pPr>
              <w:numPr>
                <w:ilvl w:val="0"/>
                <w:numId w:val="0"/>
              </w:numPr>
              <w:adjustRightInd w:val="0"/>
              <w:snapToGrid w:val="0"/>
              <w:spacing w:line="360" w:lineRule="auto"/>
              <w:ind w:left="0" w:leftChars="0" w:firstLine="0" w:firstLineChars="0"/>
              <w:jc w:val="left"/>
              <w:rPr>
                <w:rFonts w:hint="default" w:ascii="Times New Roman" w:hAnsi="Times New Roman" w:cs="Times New Roman"/>
                <w:color w:val="000000" w:themeColor="text1"/>
                <w:lang w:eastAsia="zh-CN"/>
              </w:rPr>
            </w:pPr>
            <w:r>
              <w:rPr>
                <w:rFonts w:hint="default" w:ascii="Times New Roman" w:hAnsi="Times New Roman" w:eastAsia="宋体" w:cs="Times New Roman"/>
                <w:color w:val="000000" w:themeColor="text1"/>
                <w:sz w:val="24"/>
                <w:szCs w:val="24"/>
                <w:lang w:val="en-US" w:eastAsia="zh-CN"/>
              </w:rPr>
              <w:t>审查文件名称及文号：《关于印送&lt;安徽淮北杜集经济开发区总体发展规划（2023-2035 年）环境影响报告书审查意见&gt;的函》淮环函〔2024〕68号</w:t>
            </w:r>
          </w:p>
        </w:tc>
      </w:tr>
      <w:tr w14:paraId="1BB3AD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28" w:type="dxa"/>
            <w:vAlign w:val="center"/>
          </w:tcPr>
          <w:p w14:paraId="215680E2">
            <w:pPr>
              <w:autoSpaceDE w:val="0"/>
              <w:autoSpaceDN w:val="0"/>
              <w:adjustRightInd w:val="0"/>
              <w:snapToGrid w:val="0"/>
              <w:jc w:val="center"/>
              <w:rPr>
                <w:rFonts w:hint="default" w:ascii="Times New Roman" w:hAnsi="Times New Roman" w:cs="Times New Roman"/>
                <w:color w:val="000000" w:themeColor="text1"/>
                <w:kern w:val="0"/>
                <w:sz w:val="24"/>
                <w:szCs w:val="24"/>
              </w:rPr>
            </w:pPr>
            <w:r>
              <w:rPr>
                <w:rFonts w:hint="default" w:ascii="Times New Roman" w:hAnsi="Times New Roman" w:cs="Times New Roman"/>
                <w:color w:val="000000" w:themeColor="text1"/>
                <w:kern w:val="0"/>
                <w:sz w:val="24"/>
                <w:szCs w:val="24"/>
              </w:rPr>
              <w:t>规划及规划环境影响评价符合性分析</w:t>
            </w:r>
          </w:p>
        </w:tc>
        <w:tc>
          <w:tcPr>
            <w:tcW w:w="7546" w:type="dxa"/>
            <w:gridSpan w:val="3"/>
            <w:vAlign w:val="center"/>
          </w:tcPr>
          <w:p w14:paraId="62B72836">
            <w:pPr>
              <w:keepNext w:val="0"/>
              <w:keepLines w:val="0"/>
              <w:pageBreakBefore w:val="0"/>
              <w:widowControl w:val="0"/>
              <w:kinsoku/>
              <w:wordWrap/>
              <w:overflowPunct/>
              <w:topLinePunct w:val="0"/>
              <w:autoSpaceDE/>
              <w:autoSpaceDN/>
              <w:bidi w:val="0"/>
              <w:adjustRightInd w:val="0"/>
              <w:snapToGrid w:val="0"/>
              <w:spacing w:line="360" w:lineRule="auto"/>
              <w:ind w:leftChars="0" w:firstLine="482" w:firstLineChars="200"/>
              <w:textAlignment w:val="auto"/>
              <w:rPr>
                <w:rFonts w:hint="default" w:ascii="Times New Roman" w:hAnsi="Times New Roman" w:cs="Times New Roman"/>
                <w:b/>
                <w:bCs/>
                <w:color w:val="000000" w:themeColor="text1"/>
                <w:sz w:val="24"/>
                <w:szCs w:val="24"/>
              </w:rPr>
            </w:pPr>
            <w:r>
              <w:rPr>
                <w:rFonts w:hint="default" w:ascii="Times New Roman" w:hAnsi="Times New Roman" w:cs="Times New Roman"/>
                <w:b/>
                <w:bCs/>
                <w:color w:val="000000" w:themeColor="text1"/>
                <w:sz w:val="24"/>
                <w:szCs w:val="24"/>
              </w:rPr>
              <w:t>1、与规划符合性分析</w:t>
            </w:r>
          </w:p>
          <w:p w14:paraId="2B56AD2C">
            <w:pPr>
              <w:pStyle w:val="19"/>
              <w:keepNext w:val="0"/>
              <w:keepLines w:val="0"/>
              <w:pageBreakBefore w:val="0"/>
              <w:widowControl w:val="0"/>
              <w:numPr>
                <w:ilvl w:val="0"/>
                <w:numId w:val="0"/>
              </w:numPr>
              <w:kinsoku/>
              <w:wordWrap/>
              <w:overflowPunct/>
              <w:topLinePunct w:val="0"/>
              <w:autoSpaceDE/>
              <w:autoSpaceDN/>
              <w:bidi w:val="0"/>
              <w:adjustRightInd w:val="0"/>
              <w:snapToGrid w:val="0"/>
              <w:spacing w:before="0" w:line="360" w:lineRule="auto"/>
              <w:ind w:leftChars="0" w:firstLine="480" w:firstLineChars="200"/>
              <w:textAlignment w:val="auto"/>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根据《安徽淮北杜集经济开发区总体发展规划（2023-2035年）》，淮北杜集经济开发区产业定位为重点发展装备制造业、非金属新材料和电气机械制造三大主导产业。</w:t>
            </w:r>
          </w:p>
          <w:p w14:paraId="41C222F1">
            <w:pPr>
              <w:pStyle w:val="19"/>
              <w:keepNext w:val="0"/>
              <w:keepLines w:val="0"/>
              <w:pageBreakBefore w:val="0"/>
              <w:widowControl w:val="0"/>
              <w:numPr>
                <w:ilvl w:val="0"/>
                <w:numId w:val="0"/>
              </w:numPr>
              <w:kinsoku/>
              <w:wordWrap/>
              <w:overflowPunct/>
              <w:topLinePunct w:val="0"/>
              <w:autoSpaceDE/>
              <w:autoSpaceDN/>
              <w:bidi w:val="0"/>
              <w:adjustRightInd w:val="0"/>
              <w:snapToGrid w:val="0"/>
              <w:spacing w:before="0" w:line="360" w:lineRule="auto"/>
              <w:ind w:leftChars="0" w:firstLine="480" w:firstLineChars="200"/>
              <w:textAlignment w:val="auto"/>
              <w:rPr>
                <w:rFonts w:hint="default" w:ascii="Times New Roman" w:hAnsi="Times New Roman" w:cs="Times New Roman"/>
                <w:color w:val="000000" w:themeColor="text1"/>
                <w:sz w:val="24"/>
                <w:szCs w:val="24"/>
                <w:lang w:val="en-US" w:eastAsia="zh-CN"/>
              </w:rPr>
            </w:pPr>
            <w:r>
              <w:rPr>
                <w:rFonts w:hint="default" w:ascii="Times New Roman" w:hAnsi="Times New Roman" w:cs="Times New Roman"/>
                <w:color w:val="000000" w:themeColor="text1"/>
                <w:sz w:val="24"/>
                <w:szCs w:val="24"/>
              </w:rPr>
              <w:t>本项目属于</w:t>
            </w:r>
            <w:r>
              <w:rPr>
                <w:rFonts w:hint="eastAsia" w:cs="Times New Roman"/>
                <w:color w:val="000000" w:themeColor="text1"/>
                <w:sz w:val="24"/>
                <w:szCs w:val="24"/>
                <w:lang w:eastAsia="zh-CN"/>
              </w:rPr>
              <w:t>C3821变压器、整流器和电感器制造</w:t>
            </w:r>
            <w:r>
              <w:rPr>
                <w:rFonts w:hint="default" w:ascii="Times New Roman" w:hAnsi="Times New Roman" w:cs="Times New Roman"/>
                <w:color w:val="000000" w:themeColor="text1"/>
                <w:sz w:val="24"/>
                <w:szCs w:val="24"/>
              </w:rPr>
              <w:t>，产品</w:t>
            </w:r>
            <w:r>
              <w:rPr>
                <w:rFonts w:hint="eastAsia" w:ascii="Times New Roman" w:hAnsi="Times New Roman" w:cs="Times New Roman"/>
                <w:color w:val="000000" w:themeColor="text1"/>
                <w:sz w:val="24"/>
                <w:szCs w:val="24"/>
                <w:lang w:val="en-US" w:eastAsia="zh-CN"/>
              </w:rPr>
              <w:t>为变压器和配电柜等设备</w:t>
            </w:r>
            <w:r>
              <w:rPr>
                <w:rFonts w:hint="default" w:ascii="Times New Roman" w:hAnsi="Times New Roman" w:cs="Times New Roman"/>
                <w:color w:val="000000" w:themeColor="text1"/>
                <w:sz w:val="24"/>
                <w:szCs w:val="24"/>
                <w:lang w:val="en-US" w:eastAsia="zh-CN"/>
              </w:rPr>
              <w:t>，</w:t>
            </w:r>
            <w:r>
              <w:rPr>
                <w:rFonts w:hint="default" w:ascii="Times New Roman" w:hAnsi="Times New Roman" w:eastAsia="宋体" w:cs="Times New Roman"/>
                <w:color w:val="000000" w:themeColor="text1"/>
                <w:sz w:val="24"/>
                <w:szCs w:val="24"/>
              </w:rPr>
              <w:t>属于</w:t>
            </w:r>
            <w:r>
              <w:rPr>
                <w:rFonts w:hint="default" w:ascii="Times New Roman" w:hAnsi="Times New Roman" w:cs="Times New Roman"/>
                <w:b w:val="0"/>
                <w:bCs w:val="0"/>
                <w:color w:val="000000" w:themeColor="text1"/>
                <w:sz w:val="24"/>
                <w:szCs w:val="24"/>
                <w:lang w:val="en-US" w:eastAsia="zh-CN"/>
              </w:rPr>
              <w:t>《安徽淮北杜集经济开发区总体发展规划（2023-2035年）》</w:t>
            </w:r>
            <w:r>
              <w:rPr>
                <w:rFonts w:hint="default" w:ascii="Times New Roman" w:hAnsi="Times New Roman" w:eastAsia="宋体" w:cs="Times New Roman"/>
                <w:color w:val="000000" w:themeColor="text1"/>
                <w:sz w:val="24"/>
                <w:szCs w:val="24"/>
              </w:rPr>
              <w:t>主导产业</w:t>
            </w:r>
            <w:r>
              <w:rPr>
                <w:rFonts w:hint="eastAsia" w:ascii="Times New Roman" w:hAnsi="Times New Roman" w:eastAsia="宋体" w:cs="Times New Roman"/>
                <w:color w:val="000000" w:themeColor="text1"/>
                <w:sz w:val="24"/>
                <w:szCs w:val="24"/>
                <w:lang w:eastAsia="zh-CN"/>
              </w:rPr>
              <w:t>“</w:t>
            </w:r>
            <w:r>
              <w:rPr>
                <w:rFonts w:hint="default" w:ascii="Times New Roman" w:hAnsi="Times New Roman" w:cs="Times New Roman"/>
                <w:color w:val="000000" w:themeColor="text1"/>
                <w:sz w:val="24"/>
                <w:szCs w:val="24"/>
              </w:rPr>
              <w:t>电气机械制造</w:t>
            </w:r>
            <w:r>
              <w:rPr>
                <w:rFonts w:hint="eastAsia" w:ascii="Times New Roman" w:hAnsi="Times New Roman" w:eastAsia="宋体" w:cs="Times New Roman"/>
                <w:color w:val="000000" w:themeColor="text1"/>
                <w:sz w:val="24"/>
                <w:szCs w:val="24"/>
                <w:lang w:eastAsia="zh-CN"/>
              </w:rPr>
              <w:t>”</w:t>
            </w:r>
            <w:r>
              <w:rPr>
                <w:rFonts w:hint="default" w:ascii="Times New Roman" w:hAnsi="Times New Roman" w:eastAsia="宋体" w:cs="Times New Roman"/>
                <w:color w:val="000000" w:themeColor="text1"/>
                <w:sz w:val="24"/>
                <w:szCs w:val="24"/>
              </w:rPr>
              <w:t>，</w:t>
            </w:r>
            <w:r>
              <w:rPr>
                <w:rFonts w:hint="default" w:ascii="Times New Roman" w:hAnsi="Times New Roman" w:cs="Times New Roman"/>
                <w:color w:val="000000" w:themeColor="text1"/>
                <w:sz w:val="24"/>
                <w:szCs w:val="24"/>
                <w:lang w:eastAsia="zh-CN"/>
              </w:rPr>
              <w:t>符合</w:t>
            </w:r>
            <w:r>
              <w:rPr>
                <w:rFonts w:hint="default" w:ascii="Times New Roman" w:hAnsi="Times New Roman" w:cs="Times New Roman"/>
                <w:b w:val="0"/>
                <w:bCs w:val="0"/>
                <w:color w:val="000000" w:themeColor="text1"/>
                <w:sz w:val="24"/>
                <w:szCs w:val="24"/>
                <w:lang w:val="en-US" w:eastAsia="zh-CN"/>
              </w:rPr>
              <w:t>《安徽淮北杜集经济开发区总体发展规划（2023-2035年）》</w:t>
            </w:r>
            <w:r>
              <w:rPr>
                <w:rFonts w:hint="eastAsia" w:ascii="Times New Roman" w:hAnsi="Times New Roman" w:cs="Times New Roman"/>
                <w:b w:val="0"/>
                <w:bCs w:val="0"/>
                <w:color w:val="000000" w:themeColor="text1"/>
                <w:sz w:val="24"/>
                <w:szCs w:val="24"/>
                <w:lang w:val="en-US" w:eastAsia="zh-CN"/>
              </w:rPr>
              <w:t>要求</w:t>
            </w:r>
            <w:r>
              <w:rPr>
                <w:rFonts w:hint="default" w:ascii="Times New Roman" w:hAnsi="Times New Roman" w:cs="Times New Roman"/>
                <w:color w:val="000000" w:themeColor="text1"/>
                <w:sz w:val="24"/>
                <w:szCs w:val="24"/>
                <w:lang w:val="en-US" w:eastAsia="zh-CN"/>
              </w:rPr>
              <w:t>。</w:t>
            </w:r>
          </w:p>
          <w:p w14:paraId="10D433DA">
            <w:pPr>
              <w:pStyle w:val="19"/>
              <w:keepNext w:val="0"/>
              <w:keepLines w:val="0"/>
              <w:pageBreakBefore w:val="0"/>
              <w:widowControl w:val="0"/>
              <w:numPr>
                <w:ilvl w:val="0"/>
                <w:numId w:val="0"/>
              </w:numPr>
              <w:kinsoku/>
              <w:wordWrap/>
              <w:overflowPunct/>
              <w:topLinePunct w:val="0"/>
              <w:autoSpaceDE/>
              <w:autoSpaceDN/>
              <w:bidi w:val="0"/>
              <w:adjustRightInd w:val="0"/>
              <w:snapToGrid w:val="0"/>
              <w:spacing w:before="0" w:line="360" w:lineRule="auto"/>
              <w:ind w:leftChars="0" w:firstLine="482" w:firstLineChars="200"/>
              <w:textAlignment w:val="auto"/>
              <w:rPr>
                <w:rFonts w:hint="default" w:ascii="Times New Roman" w:hAnsi="Times New Roman" w:eastAsia="宋体" w:cs="Times New Roman"/>
                <w:color w:val="000000" w:themeColor="text1"/>
                <w:sz w:val="24"/>
                <w:szCs w:val="32"/>
                <w:lang w:eastAsia="zh-CN"/>
              </w:rPr>
            </w:pPr>
            <w:r>
              <w:rPr>
                <w:rFonts w:hint="default" w:ascii="Times New Roman" w:hAnsi="Times New Roman" w:eastAsia="宋体" w:cs="Times New Roman"/>
                <w:b/>
                <w:bCs/>
                <w:color w:val="000000" w:themeColor="text1"/>
                <w:kern w:val="2"/>
                <w:sz w:val="24"/>
                <w:szCs w:val="24"/>
                <w:lang w:val="en-US" w:eastAsia="zh-CN" w:bidi="ar-SA"/>
              </w:rPr>
              <w:t>2、</w:t>
            </w:r>
            <w:r>
              <w:rPr>
                <w:rFonts w:hint="default" w:ascii="Times New Roman" w:hAnsi="Times New Roman" w:cs="Times New Roman"/>
                <w:b/>
                <w:bCs/>
                <w:color w:val="000000" w:themeColor="text1"/>
                <w:sz w:val="24"/>
                <w:szCs w:val="24"/>
              </w:rPr>
              <w:t>与《关于印送&lt;安徽淮北杜集经济开发区总体发展规划（2023-2035 年）环境影响报告书审查意见&gt;的函》（淮环函〔2024〕68 ）相符性分析</w:t>
            </w:r>
          </w:p>
          <w:p w14:paraId="1D10839B">
            <w:pPr>
              <w:pStyle w:val="19"/>
              <w:keepNext w:val="0"/>
              <w:keepLines w:val="0"/>
              <w:pageBreakBefore w:val="0"/>
              <w:widowControl w:val="0"/>
              <w:kinsoku/>
              <w:wordWrap/>
              <w:overflowPunct/>
              <w:topLinePunct w:val="0"/>
              <w:autoSpaceDE/>
              <w:autoSpaceDN/>
              <w:bidi w:val="0"/>
              <w:adjustRightInd w:val="0"/>
              <w:snapToGrid/>
              <w:spacing w:before="0" w:line="240" w:lineRule="auto"/>
              <w:ind w:left="0" w:leftChars="0" w:firstLine="0" w:firstLineChars="0"/>
              <w:jc w:val="center"/>
              <w:textAlignment w:val="auto"/>
              <w:rPr>
                <w:rFonts w:hint="default" w:ascii="Times New Roman" w:hAnsi="Times New Roman" w:cs="Times New Roman"/>
                <w:b/>
                <w:bCs/>
                <w:color w:val="000000" w:themeColor="text1"/>
                <w:sz w:val="24"/>
                <w:szCs w:val="24"/>
              </w:rPr>
            </w:pPr>
            <w:r>
              <w:rPr>
                <w:rFonts w:hint="default" w:ascii="Times New Roman" w:hAnsi="Times New Roman" w:cs="Times New Roman"/>
                <w:b/>
                <w:bCs/>
                <w:color w:val="000000" w:themeColor="text1"/>
                <w:sz w:val="24"/>
                <w:szCs w:val="24"/>
              </w:rPr>
              <w:t>表1-1  与审查意见相符性分析</w:t>
            </w:r>
          </w:p>
          <w:tbl>
            <w:tblPr>
              <w:tblStyle w:val="3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3"/>
              <w:gridCol w:w="4437"/>
              <w:gridCol w:w="2019"/>
              <w:gridCol w:w="558"/>
            </w:tblGrid>
            <w:tr w14:paraId="344E14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7" w:type="pct"/>
                  <w:vAlign w:val="center"/>
                </w:tcPr>
                <w:p w14:paraId="2282C550">
                  <w:pPr>
                    <w:pStyle w:val="20"/>
                    <w:spacing w:line="240" w:lineRule="auto"/>
                    <w:ind w:left="0" w:leftChars="0" w:firstLine="0" w:firstLineChars="0"/>
                    <w:jc w:val="center"/>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序号</w:t>
                  </w:r>
                </w:p>
              </w:tc>
              <w:tc>
                <w:tcPr>
                  <w:tcW w:w="3030" w:type="pct"/>
                  <w:vAlign w:val="center"/>
                </w:tcPr>
                <w:p w14:paraId="6960FF06">
                  <w:pPr>
                    <w:pStyle w:val="20"/>
                    <w:spacing w:line="240" w:lineRule="auto"/>
                    <w:ind w:left="0" w:leftChars="0" w:firstLine="0" w:firstLineChars="0"/>
                    <w:jc w:val="center"/>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园区规划审查意见要求</w:t>
                  </w:r>
                </w:p>
              </w:tc>
              <w:tc>
                <w:tcPr>
                  <w:tcW w:w="1379" w:type="pct"/>
                  <w:vAlign w:val="center"/>
                </w:tcPr>
                <w:p w14:paraId="62EC6308">
                  <w:pPr>
                    <w:pStyle w:val="20"/>
                    <w:spacing w:line="240" w:lineRule="auto"/>
                    <w:ind w:left="0" w:leftChars="0" w:firstLine="0" w:firstLineChars="0"/>
                    <w:jc w:val="center"/>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本项目情况</w:t>
                  </w:r>
                </w:p>
              </w:tc>
              <w:tc>
                <w:tcPr>
                  <w:tcW w:w="381" w:type="pct"/>
                  <w:vAlign w:val="center"/>
                </w:tcPr>
                <w:p w14:paraId="2A20807C">
                  <w:pPr>
                    <w:pStyle w:val="20"/>
                    <w:spacing w:line="240" w:lineRule="auto"/>
                    <w:ind w:left="0" w:leftChars="0" w:firstLine="0" w:firstLineChars="0"/>
                    <w:jc w:val="center"/>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相符性</w:t>
                  </w:r>
                </w:p>
              </w:tc>
            </w:tr>
            <w:tr w14:paraId="26B621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7" w:type="pct"/>
                  <w:vAlign w:val="center"/>
                </w:tcPr>
                <w:p w14:paraId="4E8F67D0">
                  <w:pPr>
                    <w:pStyle w:val="20"/>
                    <w:spacing w:line="240" w:lineRule="auto"/>
                    <w:ind w:left="0" w:leftChars="0" w:firstLine="0" w:firstLineChars="0"/>
                    <w:jc w:val="center"/>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1</w:t>
                  </w:r>
                </w:p>
              </w:tc>
              <w:tc>
                <w:tcPr>
                  <w:tcW w:w="3030" w:type="pct"/>
                  <w:vAlign w:val="center"/>
                </w:tcPr>
                <w:p w14:paraId="505D9FE6">
                  <w:pPr>
                    <w:pStyle w:val="20"/>
                    <w:spacing w:line="240" w:lineRule="auto"/>
                    <w:ind w:left="0" w:leftChars="0" w:firstLine="0" w:firstLineChars="0"/>
                    <w:jc w:val="center"/>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一)加强《规划》引领，坚持绿色协调发展。《规划》应全面贯彻落实习近平生态文明思想，加强《规划》与《长江三角洲区域一体化发展规划纲要》、深入打好污染防治攻坚战等相关要求、区域生态环境分区管控要求、“三区三线”等的协调衔接，未纳入城镇开发边界的区域，建议按照自然资源部门管理要求进一步优化。统筹推进开发区整体发展和生态保护，基于区域资源、生态、环境等制约因素合理控制开发利用强度和开发区建设时序，进一步提高土地利用效率，协调好产业发展与区域环境保护的关系。</w:t>
                  </w:r>
                </w:p>
              </w:tc>
              <w:tc>
                <w:tcPr>
                  <w:tcW w:w="1379" w:type="pct"/>
                  <w:vAlign w:val="center"/>
                </w:tcPr>
                <w:p w14:paraId="488B87A2">
                  <w:pPr>
                    <w:pStyle w:val="20"/>
                    <w:spacing w:line="240" w:lineRule="auto"/>
                    <w:ind w:left="0" w:leftChars="0" w:firstLine="0" w:firstLineChars="0"/>
                    <w:jc w:val="center"/>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本项目位于开发区范围内，属于</w:t>
                  </w:r>
                  <w:r>
                    <w:rPr>
                      <w:rFonts w:hint="eastAsia" w:ascii="Times New Roman" w:hAnsi="Times New Roman" w:cs="Times New Roman"/>
                      <w:color w:val="000000" w:themeColor="text1"/>
                      <w:sz w:val="21"/>
                      <w:szCs w:val="21"/>
                      <w:vertAlign w:val="baseline"/>
                      <w:lang w:val="en-US" w:eastAsia="zh-CN"/>
                    </w:rPr>
                    <w:t>C3821变压器、整流器和电感器制造</w:t>
                  </w:r>
                  <w:r>
                    <w:rPr>
                      <w:rFonts w:hint="default" w:ascii="Times New Roman" w:hAnsi="Times New Roman" w:eastAsia="宋体" w:cs="Times New Roman"/>
                      <w:color w:val="000000" w:themeColor="text1"/>
                      <w:sz w:val="21"/>
                      <w:szCs w:val="21"/>
                      <w:vertAlign w:val="baseline"/>
                      <w:lang w:val="en-US" w:eastAsia="zh-CN"/>
                    </w:rPr>
                    <w:t>，</w:t>
                  </w:r>
                  <w:r>
                    <w:rPr>
                      <w:rFonts w:hint="eastAsia" w:ascii="Times New Roman" w:hAnsi="Times New Roman" w:eastAsia="宋体" w:cs="Times New Roman"/>
                      <w:color w:val="000000" w:themeColor="text1"/>
                      <w:sz w:val="21"/>
                      <w:szCs w:val="21"/>
                      <w:vertAlign w:val="baseline"/>
                      <w:lang w:val="en-US" w:eastAsia="zh-CN"/>
                    </w:rPr>
                    <w:t>属于园区主导产业</w:t>
                  </w:r>
                  <w:r>
                    <w:rPr>
                      <w:rFonts w:hint="default" w:ascii="Times New Roman" w:hAnsi="Times New Roman" w:eastAsia="宋体" w:cs="Times New Roman"/>
                      <w:color w:val="000000" w:themeColor="text1"/>
                      <w:sz w:val="21"/>
                      <w:szCs w:val="21"/>
                      <w:vertAlign w:val="baseline"/>
                      <w:lang w:val="en-US" w:eastAsia="zh-CN"/>
                    </w:rPr>
                    <w:t>，选址符合园区布局要求。</w:t>
                  </w:r>
                </w:p>
              </w:tc>
              <w:tc>
                <w:tcPr>
                  <w:tcW w:w="381" w:type="pct"/>
                  <w:vAlign w:val="center"/>
                </w:tcPr>
                <w:p w14:paraId="752C24A6">
                  <w:pPr>
                    <w:pStyle w:val="20"/>
                    <w:spacing w:line="240" w:lineRule="auto"/>
                    <w:ind w:left="0" w:leftChars="0" w:firstLine="0" w:firstLineChars="0"/>
                    <w:jc w:val="center"/>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符合</w:t>
                  </w:r>
                </w:p>
              </w:tc>
            </w:tr>
            <w:tr w14:paraId="2DCAB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7" w:type="pct"/>
                  <w:vAlign w:val="center"/>
                </w:tcPr>
                <w:p w14:paraId="19E6019B">
                  <w:pPr>
                    <w:pStyle w:val="20"/>
                    <w:spacing w:line="240" w:lineRule="auto"/>
                    <w:ind w:left="0" w:leftChars="0" w:firstLine="0" w:firstLineChars="0"/>
                    <w:jc w:val="center"/>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2</w:t>
                  </w:r>
                </w:p>
              </w:tc>
              <w:tc>
                <w:tcPr>
                  <w:tcW w:w="3030" w:type="pct"/>
                  <w:vAlign w:val="center"/>
                </w:tcPr>
                <w:p w14:paraId="74CE3853">
                  <w:pPr>
                    <w:spacing w:line="240" w:lineRule="auto"/>
                    <w:ind w:left="0" w:leftChars="0" w:firstLine="0" w:firstLineChars="0"/>
                    <w:jc w:val="center"/>
                    <w:rPr>
                      <w:rFonts w:hint="default" w:ascii="Times New Roman" w:hAnsi="Times New Roman" w:eastAsia="宋体" w:cs="Times New Roman"/>
                      <w:b/>
                      <w:bCs/>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rPr>
                    <w:t>（二）严守环境质量底线，保护区域生态环境质量。根据国家和安徽省大气、水、土壤、环境风险防范和固体废物污染防治相关要求，妥善解决区域现存生态环境问题，确保开发区建设项目污染物长期稳定达标排放，区域生态环境质量持续改善。开发区应根据受纳水体水环境质量现状及特征因子现状情况，审慎考虑并严格控制涉氟产业发展规模及水污染物排放强度，重金属污染物排放量和水污染物排放强度不得突破现有控制要求。</w:t>
                  </w:r>
                </w:p>
              </w:tc>
              <w:tc>
                <w:tcPr>
                  <w:tcW w:w="1379" w:type="pct"/>
                  <w:vAlign w:val="center"/>
                </w:tcPr>
                <w:p w14:paraId="343BAEB9">
                  <w:pPr>
                    <w:spacing w:line="240" w:lineRule="auto"/>
                    <w:ind w:left="0" w:leftChars="0" w:firstLine="0" w:firstLineChars="0"/>
                    <w:jc w:val="center"/>
                    <w:rPr>
                      <w:rFonts w:hint="default" w:ascii="Times New Roman" w:hAnsi="Times New Roman" w:eastAsia="宋体" w:cs="Times New Roman"/>
                      <w:b/>
                      <w:bCs/>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rPr>
                    <w:t>本项目污染物经处理后达标排放，固废按要求合理处理，本项目废水主要为生活污水</w:t>
                  </w:r>
                  <w:r>
                    <w:rPr>
                      <w:rFonts w:hint="default" w:ascii="Times New Roman" w:hAnsi="Times New Roman" w:cs="Times New Roman"/>
                      <w:color w:val="000000" w:themeColor="text1"/>
                      <w:sz w:val="21"/>
                      <w:szCs w:val="21"/>
                      <w:lang w:eastAsia="zh-CN"/>
                    </w:rPr>
                    <w:t>，</w:t>
                  </w:r>
                  <w:r>
                    <w:rPr>
                      <w:rFonts w:hint="default" w:ascii="Times New Roman" w:hAnsi="Times New Roman" w:eastAsia="宋体" w:cs="Times New Roman"/>
                      <w:color w:val="000000" w:themeColor="text1"/>
                      <w:kern w:val="0"/>
                      <w:sz w:val="21"/>
                      <w:szCs w:val="21"/>
                      <w:lang w:val="en-AU" w:eastAsia="zh-CN"/>
                    </w:rPr>
                    <w:t>生活污水经化粪池预处理</w:t>
                  </w:r>
                  <w:r>
                    <w:rPr>
                      <w:rFonts w:hint="eastAsia" w:ascii="Times New Roman" w:hAnsi="Times New Roman" w:eastAsia="宋体" w:cs="Times New Roman"/>
                      <w:color w:val="000000" w:themeColor="text1"/>
                      <w:sz w:val="21"/>
                      <w:szCs w:val="21"/>
                      <w:lang w:val="en-US" w:eastAsia="zh-CN"/>
                    </w:rPr>
                    <w:t>达标后</w:t>
                  </w:r>
                  <w:r>
                    <w:rPr>
                      <w:rFonts w:hint="default" w:ascii="Times New Roman" w:hAnsi="Times New Roman" w:eastAsia="宋体" w:cs="Times New Roman"/>
                      <w:color w:val="000000" w:themeColor="text1"/>
                      <w:sz w:val="21"/>
                      <w:szCs w:val="21"/>
                      <w:highlight w:val="none"/>
                      <w:lang w:val="en-US" w:eastAsia="zh-CN"/>
                    </w:rPr>
                    <w:t>进入</w:t>
                  </w:r>
                  <w:r>
                    <w:rPr>
                      <w:rFonts w:hint="default" w:ascii="Times New Roman" w:hAnsi="Times New Roman" w:cs="Times New Roman"/>
                      <w:color w:val="000000" w:themeColor="text1"/>
                      <w:sz w:val="21"/>
                      <w:szCs w:val="21"/>
                      <w:lang w:eastAsia="zh-CN"/>
                    </w:rPr>
                    <w:t>龙湖污水处理厂</w:t>
                  </w:r>
                  <w:r>
                    <w:rPr>
                      <w:rFonts w:hint="default" w:ascii="Times New Roman" w:hAnsi="Times New Roman" w:eastAsia="宋体" w:cs="Times New Roman"/>
                      <w:color w:val="000000" w:themeColor="text1"/>
                      <w:sz w:val="21"/>
                      <w:szCs w:val="21"/>
                      <w:highlight w:val="none"/>
                      <w:lang w:val="en-US" w:eastAsia="zh-CN"/>
                    </w:rPr>
                    <w:t>进行深度处理</w:t>
                  </w:r>
                  <w:r>
                    <w:rPr>
                      <w:rFonts w:hint="eastAsia" w:ascii="Times New Roman" w:hAnsi="Times New Roman" w:eastAsia="宋体" w:cs="Times New Roman"/>
                      <w:color w:val="000000" w:themeColor="text1"/>
                      <w:sz w:val="21"/>
                      <w:szCs w:val="21"/>
                      <w:highlight w:val="none"/>
                      <w:lang w:val="en-US" w:eastAsia="zh-CN"/>
                    </w:rPr>
                    <w:t>；废气经</w:t>
                  </w:r>
                  <w:r>
                    <w:rPr>
                      <w:rFonts w:hint="eastAsia" w:cs="Times New Roman"/>
                      <w:color w:val="000000" w:themeColor="text1"/>
                      <w:sz w:val="21"/>
                      <w:szCs w:val="21"/>
                      <w:highlight w:val="none"/>
                      <w:lang w:val="en-US" w:eastAsia="zh-CN"/>
                    </w:rPr>
                    <w:t>干式过滤棉+</w:t>
                  </w:r>
                  <w:r>
                    <w:rPr>
                      <w:rFonts w:hint="eastAsia" w:ascii="Times New Roman" w:hAnsi="Times New Roman" w:eastAsia="宋体" w:cs="Times New Roman"/>
                      <w:color w:val="000000" w:themeColor="text1"/>
                      <w:sz w:val="21"/>
                      <w:szCs w:val="21"/>
                      <w:highlight w:val="none"/>
                      <w:lang w:val="en-US" w:eastAsia="zh-CN"/>
                    </w:rPr>
                    <w:t>二级活性炭吸附装置处理后达标排放</w:t>
                  </w:r>
                  <w:r>
                    <w:rPr>
                      <w:rFonts w:hint="default" w:ascii="Times New Roman" w:hAnsi="Times New Roman" w:eastAsia="宋体" w:cs="Times New Roman"/>
                      <w:color w:val="000000" w:themeColor="text1"/>
                      <w:sz w:val="21"/>
                      <w:szCs w:val="21"/>
                    </w:rPr>
                    <w:t>。</w:t>
                  </w:r>
                </w:p>
              </w:tc>
              <w:tc>
                <w:tcPr>
                  <w:tcW w:w="381" w:type="pct"/>
                  <w:vAlign w:val="center"/>
                </w:tcPr>
                <w:p w14:paraId="18A9EFCE">
                  <w:pPr>
                    <w:spacing w:line="240" w:lineRule="auto"/>
                    <w:ind w:left="0" w:leftChars="0" w:firstLine="0" w:firstLineChars="0"/>
                    <w:jc w:val="center"/>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符合</w:t>
                  </w:r>
                </w:p>
              </w:tc>
            </w:tr>
            <w:tr w14:paraId="7ED50B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7" w:type="pct"/>
                  <w:vAlign w:val="center"/>
                </w:tcPr>
                <w:p w14:paraId="60DC51E5">
                  <w:pPr>
                    <w:pStyle w:val="20"/>
                    <w:spacing w:line="240" w:lineRule="auto"/>
                    <w:ind w:left="0" w:leftChars="0" w:firstLine="0" w:firstLineChars="0"/>
                    <w:jc w:val="center"/>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3</w:t>
                  </w:r>
                </w:p>
              </w:tc>
              <w:tc>
                <w:tcPr>
                  <w:tcW w:w="3030" w:type="pct"/>
                  <w:vAlign w:val="center"/>
                </w:tcPr>
                <w:p w14:paraId="0A746FA6">
                  <w:pPr>
                    <w:pStyle w:val="20"/>
                    <w:spacing w:line="240" w:lineRule="auto"/>
                    <w:ind w:left="0" w:leftChars="0" w:firstLine="0" w:firstLineChars="0"/>
                    <w:jc w:val="center"/>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三）优化产业布局，加强生态环境分区管控。落实生态环境分区管控要求，结合国家和省长江经济带发展负面清单管控要求、区域资源优势和环境制约因素、开发区产业定位等，进一步完善产业发展规划，优化主导产业发展方向、功能分区和重大项目布局，严禁引入安徽省长江经济带发展负面清单中的项目。合理规划不同功能区的环境保护空间，严禁不符合管控要求的各类开发建设活动，规划实施不得损害周边地表水、地下水、环境空气和声环境等敏感目标环境质量和生态功能。做好开发区与周边生态敏感区、地表水、居住区之间的有效隔离和管控，敏感区周边严禁布设生态环境影响较大的建设项目，保障居住区和各类自然保护地的生态环境质量，实现产业发展与区域生态环境保护相协调。</w:t>
                  </w:r>
                </w:p>
              </w:tc>
              <w:tc>
                <w:tcPr>
                  <w:tcW w:w="1379" w:type="pct"/>
                  <w:vAlign w:val="center"/>
                </w:tcPr>
                <w:p w14:paraId="6693E0D5">
                  <w:pPr>
                    <w:pStyle w:val="20"/>
                    <w:keepNext w:val="0"/>
                    <w:keepLines w:val="0"/>
                    <w:pageBreakBefore w:val="0"/>
                    <w:widowControl w:val="0"/>
                    <w:kinsoku/>
                    <w:wordWrap w:val="0"/>
                    <w:overflowPunct/>
                    <w:topLinePunct/>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对照《产业结构调整指导目录》（2024年本），本项目不属于“鼓励类”、“限制类”和“淘汰类”项目。项目已于202</w:t>
                  </w:r>
                  <w:r>
                    <w:rPr>
                      <w:rFonts w:hint="eastAsia" w:cs="Times New Roman"/>
                      <w:color w:val="000000" w:themeColor="text1"/>
                      <w:sz w:val="21"/>
                      <w:szCs w:val="21"/>
                      <w:vertAlign w:val="baseline"/>
                      <w:lang w:val="en-US" w:eastAsia="zh-CN"/>
                    </w:rPr>
                    <w:t>6</w:t>
                  </w:r>
                  <w:r>
                    <w:rPr>
                      <w:rFonts w:hint="default" w:ascii="Times New Roman" w:hAnsi="Times New Roman" w:eastAsia="宋体" w:cs="Times New Roman"/>
                      <w:color w:val="000000" w:themeColor="text1"/>
                      <w:sz w:val="21"/>
                      <w:szCs w:val="21"/>
                      <w:vertAlign w:val="baseline"/>
                      <w:lang w:val="en-US" w:eastAsia="zh-CN"/>
                    </w:rPr>
                    <w:t>年</w:t>
                  </w:r>
                  <w:r>
                    <w:rPr>
                      <w:rFonts w:hint="eastAsia" w:ascii="Times New Roman" w:hAnsi="Times New Roman" w:cs="Times New Roman"/>
                      <w:color w:val="000000" w:themeColor="text1"/>
                      <w:sz w:val="21"/>
                      <w:szCs w:val="21"/>
                      <w:vertAlign w:val="baseline"/>
                      <w:lang w:val="en-US" w:eastAsia="zh-CN"/>
                    </w:rPr>
                    <w:t>4</w:t>
                  </w:r>
                  <w:r>
                    <w:rPr>
                      <w:rFonts w:hint="default" w:ascii="Times New Roman" w:hAnsi="Times New Roman" w:eastAsia="宋体" w:cs="Times New Roman"/>
                      <w:color w:val="000000" w:themeColor="text1"/>
                      <w:sz w:val="21"/>
                      <w:szCs w:val="21"/>
                      <w:vertAlign w:val="baseline"/>
                      <w:lang w:val="en-US" w:eastAsia="zh-CN"/>
                    </w:rPr>
                    <w:t>月</w:t>
                  </w:r>
                  <w:r>
                    <w:rPr>
                      <w:rFonts w:hint="eastAsia" w:cs="Times New Roman"/>
                      <w:color w:val="000000" w:themeColor="text1"/>
                      <w:sz w:val="21"/>
                      <w:szCs w:val="21"/>
                      <w:vertAlign w:val="baseline"/>
                      <w:lang w:val="en-US" w:eastAsia="zh-CN"/>
                    </w:rPr>
                    <w:t>13</w:t>
                  </w:r>
                  <w:r>
                    <w:rPr>
                      <w:rFonts w:hint="default" w:ascii="Times New Roman" w:hAnsi="Times New Roman" w:eastAsia="宋体" w:cs="Times New Roman"/>
                      <w:color w:val="000000" w:themeColor="text1"/>
                      <w:sz w:val="21"/>
                      <w:szCs w:val="21"/>
                      <w:vertAlign w:val="baseline"/>
                      <w:lang w:val="en-US" w:eastAsia="zh-CN"/>
                    </w:rPr>
                    <w:t>日，取得</w:t>
                  </w:r>
                  <w:r>
                    <w:rPr>
                      <w:rFonts w:hint="eastAsia" w:ascii="Times New Roman" w:hAnsi="Times New Roman" w:eastAsia="宋体" w:cs="Times New Roman"/>
                      <w:color w:val="000000" w:themeColor="text1"/>
                      <w:sz w:val="21"/>
                      <w:szCs w:val="21"/>
                      <w:vertAlign w:val="baseline"/>
                      <w:lang w:val="en-US" w:eastAsia="zh-CN"/>
                    </w:rPr>
                    <w:t>淮北市杜集区工业和信息化局</w:t>
                  </w:r>
                  <w:r>
                    <w:rPr>
                      <w:rFonts w:hint="default" w:ascii="Times New Roman" w:hAnsi="Times New Roman" w:eastAsia="宋体" w:cs="Times New Roman"/>
                      <w:color w:val="000000" w:themeColor="text1"/>
                      <w:sz w:val="21"/>
                      <w:szCs w:val="21"/>
                      <w:vertAlign w:val="baseline"/>
                      <w:lang w:val="en-US" w:eastAsia="zh-CN"/>
                    </w:rPr>
                    <w:t>备案（项目代码：</w:t>
                  </w:r>
                  <w:r>
                    <w:rPr>
                      <w:rFonts w:hint="eastAsia" w:ascii="Times New Roman" w:hAnsi="Times New Roman" w:eastAsia="宋体" w:cs="Times New Roman"/>
                      <w:color w:val="000000" w:themeColor="text1"/>
                      <w:sz w:val="21"/>
                      <w:szCs w:val="21"/>
                      <w:vertAlign w:val="baseline"/>
                      <w:lang w:val="en-US" w:eastAsia="zh-CN"/>
                    </w:rPr>
                    <w:t>2504-340602-07-02-674252</w:t>
                  </w:r>
                  <w:r>
                    <w:rPr>
                      <w:rFonts w:hint="default" w:ascii="Times New Roman" w:hAnsi="Times New Roman" w:eastAsia="宋体" w:cs="Times New Roman"/>
                      <w:color w:val="000000" w:themeColor="text1"/>
                      <w:sz w:val="21"/>
                      <w:szCs w:val="21"/>
                      <w:vertAlign w:val="baseline"/>
                      <w:lang w:val="en-US" w:eastAsia="zh-CN"/>
                    </w:rPr>
                    <w:t>），属于允许入园项目。且项目不属于安徽省长江经济带发展负面清单中的项目。</w:t>
                  </w:r>
                </w:p>
              </w:tc>
              <w:tc>
                <w:tcPr>
                  <w:tcW w:w="381" w:type="pct"/>
                  <w:vAlign w:val="center"/>
                </w:tcPr>
                <w:p w14:paraId="6DE56A29">
                  <w:pPr>
                    <w:spacing w:line="240" w:lineRule="auto"/>
                    <w:ind w:left="0" w:leftChars="0" w:firstLine="0" w:firstLineChars="0"/>
                    <w:jc w:val="center"/>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符合</w:t>
                  </w:r>
                </w:p>
              </w:tc>
            </w:tr>
            <w:tr w14:paraId="61B85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7" w:type="pct"/>
                  <w:vAlign w:val="center"/>
                </w:tcPr>
                <w:p w14:paraId="051C3D2A">
                  <w:pPr>
                    <w:pStyle w:val="20"/>
                    <w:spacing w:line="240" w:lineRule="auto"/>
                    <w:ind w:left="0" w:leftChars="0" w:firstLine="0" w:firstLineChars="0"/>
                    <w:jc w:val="center"/>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4</w:t>
                  </w:r>
                </w:p>
              </w:tc>
              <w:tc>
                <w:tcPr>
                  <w:tcW w:w="3030" w:type="pct"/>
                  <w:vAlign w:val="center"/>
                </w:tcPr>
                <w:p w14:paraId="77659469">
                  <w:pPr>
                    <w:pStyle w:val="20"/>
                    <w:spacing w:line="240" w:lineRule="auto"/>
                    <w:ind w:left="0" w:leftChars="0" w:firstLine="0" w:firstLineChars="0"/>
                    <w:jc w:val="center"/>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四）完善环保基础设施建设，强化环境污染防控。根据开发时序和开发强度要求，进一步优化区域供水、排水、中水回用等规划。按照科学规划、适度超前的原则，结合区域地表水环境质量现状、已批光伏产业、电池行业开发强度等，加快推进开发区含氟废水预处理设施工程，细化园区污染防治基础设施建设、排放和运行管理要求，强化开发区中水回用。落实开发区雨污分流、清污分流，做好初期雨水截污、收集、处理，保障开发区周边受纳水体的水环境功能、下游水环境保护目标及相关考核断面水质稳定达标。</w:t>
                  </w:r>
                </w:p>
              </w:tc>
              <w:tc>
                <w:tcPr>
                  <w:tcW w:w="1379" w:type="pct"/>
                  <w:vAlign w:val="center"/>
                </w:tcPr>
                <w:p w14:paraId="7113251D">
                  <w:pPr>
                    <w:pStyle w:val="20"/>
                    <w:spacing w:line="240" w:lineRule="auto"/>
                    <w:ind w:left="0" w:leftChars="0" w:firstLine="0" w:firstLineChars="0"/>
                    <w:jc w:val="center"/>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项目排水实行雨污分流</w:t>
                  </w:r>
                  <w:r>
                    <w:rPr>
                      <w:rFonts w:hint="eastAsia" w:ascii="Times New Roman" w:hAnsi="Times New Roman" w:eastAsia="宋体" w:cs="Times New Roman"/>
                      <w:color w:val="000000" w:themeColor="text1"/>
                      <w:sz w:val="21"/>
                      <w:szCs w:val="21"/>
                      <w:vertAlign w:val="baseline"/>
                      <w:lang w:val="en-US" w:eastAsia="zh-CN"/>
                    </w:rPr>
                    <w:t>。项目不涉及生产废水，</w:t>
                  </w:r>
                  <w:r>
                    <w:rPr>
                      <w:rFonts w:hint="default" w:ascii="Times New Roman" w:hAnsi="Times New Roman" w:eastAsia="宋体" w:cs="Times New Roman"/>
                      <w:color w:val="000000" w:themeColor="text1"/>
                      <w:sz w:val="21"/>
                      <w:szCs w:val="21"/>
                      <w:vertAlign w:val="baseline"/>
                      <w:lang w:val="en-US" w:eastAsia="zh-CN"/>
                    </w:rPr>
                    <w:t>生活污水</w:t>
                  </w:r>
                  <w:r>
                    <w:rPr>
                      <w:rFonts w:hint="default" w:ascii="Times New Roman" w:hAnsi="Times New Roman" w:eastAsia="宋体" w:cs="Times New Roman"/>
                      <w:color w:val="000000" w:themeColor="text1"/>
                      <w:kern w:val="0"/>
                      <w:sz w:val="21"/>
                      <w:szCs w:val="21"/>
                      <w:lang w:val="en-AU" w:eastAsia="zh-CN"/>
                    </w:rPr>
                    <w:t>经化粪池预处理</w:t>
                  </w:r>
                  <w:r>
                    <w:rPr>
                      <w:rFonts w:hint="default" w:ascii="Times New Roman" w:hAnsi="Times New Roman" w:eastAsia="宋体" w:cs="Times New Roman"/>
                      <w:color w:val="000000" w:themeColor="text1"/>
                      <w:sz w:val="21"/>
                      <w:szCs w:val="21"/>
                      <w:vertAlign w:val="baseline"/>
                      <w:lang w:val="en-US" w:eastAsia="zh-CN"/>
                    </w:rPr>
                    <w:t>，</w:t>
                  </w:r>
                  <w:r>
                    <w:rPr>
                      <w:rFonts w:hint="default" w:ascii="Times New Roman" w:hAnsi="Times New Roman" w:eastAsia="宋体" w:cs="Times New Roman"/>
                      <w:color w:val="000000" w:themeColor="text1"/>
                      <w:sz w:val="21"/>
                      <w:szCs w:val="21"/>
                      <w:highlight w:val="none"/>
                      <w:lang w:val="en-US" w:eastAsia="zh-CN"/>
                    </w:rPr>
                    <w:t>满足</w:t>
                  </w:r>
                  <w:r>
                    <w:rPr>
                      <w:rFonts w:hint="default" w:ascii="Times New Roman" w:hAnsi="Times New Roman" w:eastAsia="宋体" w:cs="Times New Roman"/>
                      <w:color w:val="000000" w:themeColor="text1"/>
                      <w:sz w:val="21"/>
                      <w:szCs w:val="21"/>
                      <w:highlight w:val="none"/>
                      <w:lang w:val="en-AU" w:eastAsia="zh-CN"/>
                    </w:rPr>
                    <w:t>《污水综合排放标准》（GB8978-1996）表4中三级标准</w:t>
                  </w:r>
                  <w:r>
                    <w:rPr>
                      <w:rFonts w:hint="default" w:ascii="Times New Roman" w:hAnsi="Times New Roman" w:cs="Times New Roman"/>
                      <w:color w:val="000000" w:themeColor="text1"/>
                      <w:sz w:val="21"/>
                      <w:szCs w:val="21"/>
                    </w:rPr>
                    <w:t>及</w:t>
                  </w:r>
                  <w:r>
                    <w:rPr>
                      <w:rFonts w:hint="default" w:ascii="Times New Roman" w:hAnsi="Times New Roman" w:cs="Times New Roman"/>
                      <w:color w:val="000000" w:themeColor="text1"/>
                      <w:sz w:val="21"/>
                      <w:szCs w:val="21"/>
                      <w:lang w:eastAsia="zh-CN"/>
                    </w:rPr>
                    <w:t>龙湖污水处理厂</w:t>
                  </w:r>
                  <w:r>
                    <w:rPr>
                      <w:rFonts w:hint="default" w:ascii="Times New Roman" w:hAnsi="Times New Roman" w:cs="Times New Roman"/>
                      <w:color w:val="000000" w:themeColor="text1"/>
                      <w:sz w:val="21"/>
                      <w:szCs w:val="21"/>
                    </w:rPr>
                    <w:t>接管</w:t>
                  </w:r>
                  <w:r>
                    <w:rPr>
                      <w:rFonts w:hint="default" w:ascii="Times New Roman" w:hAnsi="Times New Roman" w:cs="Times New Roman"/>
                      <w:color w:val="000000" w:themeColor="text1"/>
                      <w:sz w:val="21"/>
                      <w:szCs w:val="21"/>
                      <w:lang w:eastAsia="zh-CN"/>
                    </w:rPr>
                    <w:t>限值后</w:t>
                  </w:r>
                  <w:r>
                    <w:rPr>
                      <w:rFonts w:hint="default" w:ascii="Times New Roman" w:hAnsi="Times New Roman" w:eastAsia="宋体" w:cs="Times New Roman"/>
                      <w:color w:val="000000" w:themeColor="text1"/>
                      <w:sz w:val="21"/>
                      <w:szCs w:val="21"/>
                      <w:highlight w:val="none"/>
                      <w:lang w:val="en-AU" w:eastAsia="zh-CN"/>
                    </w:rPr>
                    <w:t>，</w:t>
                  </w:r>
                  <w:r>
                    <w:rPr>
                      <w:rFonts w:hint="default" w:ascii="Times New Roman" w:hAnsi="Times New Roman" w:eastAsia="宋体" w:cs="Times New Roman"/>
                      <w:color w:val="000000" w:themeColor="text1"/>
                      <w:sz w:val="21"/>
                      <w:szCs w:val="21"/>
                      <w:highlight w:val="none"/>
                      <w:lang w:val="en-US" w:eastAsia="zh-CN"/>
                    </w:rPr>
                    <w:t>进入</w:t>
                  </w:r>
                  <w:r>
                    <w:rPr>
                      <w:rFonts w:hint="default" w:ascii="Times New Roman" w:hAnsi="Times New Roman" w:cs="Times New Roman"/>
                      <w:color w:val="000000" w:themeColor="text1"/>
                      <w:sz w:val="21"/>
                      <w:szCs w:val="21"/>
                      <w:lang w:eastAsia="zh-CN"/>
                    </w:rPr>
                    <w:t>龙湖污水处理厂</w:t>
                  </w:r>
                  <w:r>
                    <w:rPr>
                      <w:rFonts w:hint="default" w:ascii="Times New Roman" w:hAnsi="Times New Roman" w:eastAsia="宋体" w:cs="Times New Roman"/>
                      <w:color w:val="000000" w:themeColor="text1"/>
                      <w:sz w:val="21"/>
                      <w:szCs w:val="21"/>
                      <w:highlight w:val="none"/>
                      <w:lang w:val="en-US" w:eastAsia="zh-CN"/>
                    </w:rPr>
                    <w:t>进行深度处理</w:t>
                  </w:r>
                  <w:r>
                    <w:rPr>
                      <w:rFonts w:hint="default" w:ascii="Times New Roman" w:hAnsi="Times New Roman" w:eastAsia="宋体" w:cs="Times New Roman"/>
                      <w:color w:val="000000" w:themeColor="text1"/>
                      <w:sz w:val="21"/>
                      <w:szCs w:val="21"/>
                      <w:vertAlign w:val="baseline"/>
                      <w:lang w:val="en-US" w:eastAsia="zh-CN"/>
                    </w:rPr>
                    <w:t>，达标后排入龙河。</w:t>
                  </w:r>
                </w:p>
              </w:tc>
              <w:tc>
                <w:tcPr>
                  <w:tcW w:w="381" w:type="pct"/>
                  <w:vAlign w:val="center"/>
                </w:tcPr>
                <w:p w14:paraId="50E2CD24">
                  <w:pPr>
                    <w:spacing w:line="240" w:lineRule="auto"/>
                    <w:ind w:left="0" w:leftChars="0" w:firstLine="0" w:firstLineChars="0"/>
                    <w:jc w:val="center"/>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符合</w:t>
                  </w:r>
                </w:p>
              </w:tc>
            </w:tr>
            <w:tr w14:paraId="57595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7" w:type="pct"/>
                  <w:vAlign w:val="center"/>
                </w:tcPr>
                <w:p w14:paraId="6D3AF698">
                  <w:pPr>
                    <w:pStyle w:val="20"/>
                    <w:spacing w:line="240" w:lineRule="auto"/>
                    <w:ind w:left="0" w:leftChars="0" w:firstLine="0" w:firstLineChars="0"/>
                    <w:jc w:val="center"/>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5</w:t>
                  </w:r>
                </w:p>
              </w:tc>
              <w:tc>
                <w:tcPr>
                  <w:tcW w:w="3030" w:type="pct"/>
                  <w:vAlign w:val="center"/>
                </w:tcPr>
                <w:p w14:paraId="3D0D58F3">
                  <w:pPr>
                    <w:pStyle w:val="20"/>
                    <w:spacing w:line="240" w:lineRule="auto"/>
                    <w:ind w:left="0" w:leftChars="0" w:firstLine="0" w:firstLineChars="0"/>
                    <w:jc w:val="center"/>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五）细化生态环境准入清单，推动高质量发展。根据国家和区域发展战略，结合区域生态环境质量现状、生态环境分区管控要求、“三区三线”成果等，严格落实《报告书》生态环境准入要求。严格执行国家产业政策，坚决遏制高耗能、高排放项目盲目发展，限制与规划主导产业不相关且污染物排放量大的项目，严禁引入安徽省长江经济带发展负面清单中的项目。引进项目的生产工艺、设备、自动化水平，以及单位产品能耗、污染物排放、碳排放等不应低于国内同行业先进水平。</w:t>
                  </w:r>
                </w:p>
              </w:tc>
              <w:tc>
                <w:tcPr>
                  <w:tcW w:w="1379" w:type="pct"/>
                  <w:vAlign w:val="center"/>
                </w:tcPr>
                <w:p w14:paraId="1A9B486A">
                  <w:pPr>
                    <w:pStyle w:val="20"/>
                    <w:spacing w:line="240" w:lineRule="auto"/>
                    <w:ind w:left="0" w:leftChars="0" w:firstLine="0" w:firstLineChars="0"/>
                    <w:jc w:val="center"/>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本项目不属于高耗能、高排放项目，不属于安徽省长江经济带发展负面清单中的项目。</w:t>
                  </w:r>
                </w:p>
              </w:tc>
              <w:tc>
                <w:tcPr>
                  <w:tcW w:w="381" w:type="pct"/>
                  <w:vAlign w:val="center"/>
                </w:tcPr>
                <w:p w14:paraId="23A2F32E">
                  <w:pPr>
                    <w:spacing w:line="240" w:lineRule="auto"/>
                    <w:ind w:left="0" w:leftChars="0" w:firstLine="0" w:firstLineChars="0"/>
                    <w:jc w:val="center"/>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符合</w:t>
                  </w:r>
                </w:p>
              </w:tc>
            </w:tr>
            <w:tr w14:paraId="2D0BAF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07" w:type="pct"/>
                  <w:vAlign w:val="center"/>
                </w:tcPr>
                <w:p w14:paraId="73BDB0EC">
                  <w:pPr>
                    <w:pStyle w:val="20"/>
                    <w:spacing w:line="240" w:lineRule="auto"/>
                    <w:ind w:left="0" w:leftChars="0" w:firstLine="0" w:firstLineChars="0"/>
                    <w:jc w:val="center"/>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6</w:t>
                  </w:r>
                </w:p>
              </w:tc>
              <w:tc>
                <w:tcPr>
                  <w:tcW w:w="3030" w:type="pct"/>
                  <w:vAlign w:val="center"/>
                </w:tcPr>
                <w:p w14:paraId="0D93A778">
                  <w:pPr>
                    <w:pStyle w:val="20"/>
                    <w:spacing w:line="240" w:lineRule="auto"/>
                    <w:ind w:left="0" w:leftChars="0" w:firstLine="0" w:firstLineChars="0"/>
                    <w:jc w:val="center"/>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六）提升环境管理水平，加强生态环境风险防控。着力提升开发区环境管理水平，统筹考虑区域内污染物排放、大气环境保护、水环境保护、环境风险防范、环境管理等要求，健全区域风险防范体系和生态安全保障体系，完善环境风险防范应急措施，落实应急处理处置方案要求，完善开发区环境风险“三级防控”体系建设要求。加强日常环境监管与监测，落实区域环境管理要求。做好开发区重大环境风险源的识别与管控，确保事故废水与外环境有效隔离、及时处置。</w:t>
                  </w:r>
                </w:p>
              </w:tc>
              <w:tc>
                <w:tcPr>
                  <w:tcW w:w="1379" w:type="pct"/>
                  <w:vAlign w:val="center"/>
                </w:tcPr>
                <w:p w14:paraId="18F82CFF">
                  <w:pPr>
                    <w:pStyle w:val="20"/>
                    <w:spacing w:line="240" w:lineRule="auto"/>
                    <w:ind w:left="0" w:leftChars="0" w:firstLine="0" w:firstLineChars="0"/>
                    <w:jc w:val="center"/>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本项目按要求制定突发环境事件应急预案，落实环境风险防范措施等。</w:t>
                  </w:r>
                </w:p>
              </w:tc>
              <w:tc>
                <w:tcPr>
                  <w:tcW w:w="381" w:type="pct"/>
                  <w:vAlign w:val="center"/>
                </w:tcPr>
                <w:p w14:paraId="0C75D863">
                  <w:pPr>
                    <w:spacing w:line="240" w:lineRule="auto"/>
                    <w:ind w:left="0" w:leftChars="0" w:firstLine="0" w:firstLineChars="0"/>
                    <w:jc w:val="center"/>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符合</w:t>
                  </w:r>
                </w:p>
              </w:tc>
            </w:tr>
          </w:tbl>
          <w:p w14:paraId="7FCC1D2E">
            <w:pPr>
              <w:autoSpaceDE w:val="0"/>
              <w:autoSpaceDN w:val="0"/>
              <w:adjustRightInd w:val="0"/>
              <w:snapToGrid w:val="0"/>
              <w:spacing w:line="360" w:lineRule="auto"/>
              <w:ind w:firstLine="422" w:firstLineChars="200"/>
              <w:jc w:val="left"/>
              <w:rPr>
                <w:rFonts w:hint="default" w:ascii="Times New Roman" w:hAnsi="Times New Roman" w:cs="Times New Roman"/>
                <w:b/>
                <w:bCs/>
                <w:color w:val="000000" w:themeColor="text1"/>
              </w:rPr>
            </w:pPr>
          </w:p>
        </w:tc>
      </w:tr>
      <w:tr w14:paraId="48BB4B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28" w:type="dxa"/>
            <w:tcBorders>
              <w:bottom w:val="single" w:color="auto" w:sz="8" w:space="0"/>
            </w:tcBorders>
            <w:vAlign w:val="center"/>
          </w:tcPr>
          <w:p w14:paraId="4E2245C5">
            <w:pPr>
              <w:autoSpaceDE w:val="0"/>
              <w:autoSpaceDN w:val="0"/>
              <w:adjustRightInd w:val="0"/>
              <w:snapToGrid w:val="0"/>
              <w:spacing w:line="460" w:lineRule="exact"/>
              <w:jc w:val="center"/>
              <w:rPr>
                <w:rFonts w:hint="default" w:ascii="Times New Roman" w:hAnsi="Times New Roman" w:cs="Times New Roman"/>
                <w:color w:val="000000" w:themeColor="text1"/>
                <w:kern w:val="0"/>
                <w:sz w:val="24"/>
                <w:szCs w:val="24"/>
              </w:rPr>
            </w:pPr>
            <w:r>
              <w:rPr>
                <w:rFonts w:hint="default" w:ascii="Times New Roman" w:hAnsi="Times New Roman" w:cs="Times New Roman"/>
                <w:color w:val="000000" w:themeColor="text1"/>
                <w:kern w:val="0"/>
                <w:sz w:val="24"/>
                <w:szCs w:val="24"/>
              </w:rPr>
              <w:t>其他符合性分析</w:t>
            </w:r>
          </w:p>
        </w:tc>
        <w:tc>
          <w:tcPr>
            <w:tcW w:w="7546" w:type="dxa"/>
            <w:gridSpan w:val="3"/>
            <w:tcBorders>
              <w:bottom w:val="single" w:color="auto" w:sz="8" w:space="0"/>
            </w:tcBorders>
            <w:vAlign w:val="center"/>
          </w:tcPr>
          <w:p w14:paraId="11B745D1">
            <w:pPr>
              <w:keepNext w:val="0"/>
              <w:keepLines w:val="0"/>
              <w:pageBreakBefore w:val="0"/>
              <w:kinsoku/>
              <w:wordWrap/>
              <w:overflowPunct/>
              <w:topLinePunct w:val="0"/>
              <w:bidi w:val="0"/>
              <w:spacing w:line="360" w:lineRule="auto"/>
              <w:ind w:firstLine="482" w:firstLineChars="200"/>
              <w:textAlignment w:val="auto"/>
              <w:rPr>
                <w:rFonts w:hint="default" w:ascii="Times New Roman" w:hAnsi="Times New Roman" w:cs="Times New Roman"/>
                <w:b/>
                <w:color w:val="000000" w:themeColor="text1"/>
                <w:sz w:val="24"/>
              </w:rPr>
            </w:pPr>
            <w:r>
              <w:rPr>
                <w:rFonts w:hint="default" w:ascii="Times New Roman" w:hAnsi="Times New Roman" w:cs="Times New Roman"/>
                <w:b/>
                <w:color w:val="000000" w:themeColor="text1"/>
                <w:sz w:val="24"/>
              </w:rPr>
              <w:t>1、产业政策符合性分析</w:t>
            </w:r>
          </w:p>
          <w:p w14:paraId="6D602A3D">
            <w:pPr>
              <w:pStyle w:val="9"/>
              <w:keepNext w:val="0"/>
              <w:keepLines w:val="0"/>
              <w:pageBreakBefore w:val="0"/>
              <w:kinsoku/>
              <w:wordWrap/>
              <w:overflowPunct/>
              <w:topLinePunct w:val="0"/>
              <w:bidi w:val="0"/>
              <w:spacing w:line="360" w:lineRule="auto"/>
              <w:ind w:firstLine="480" w:firstLineChars="200"/>
              <w:textAlignment w:val="auto"/>
              <w:rPr>
                <w:rFonts w:hint="default" w:ascii="Times New Roman" w:hAnsi="Times New Roman" w:eastAsia="宋体" w:cs="Times New Roman"/>
                <w:color w:val="000000" w:themeColor="text1"/>
                <w:lang w:val="en-US" w:eastAsia="zh-CN"/>
              </w:rPr>
            </w:pPr>
            <w:r>
              <w:rPr>
                <w:rFonts w:hint="default" w:ascii="Times New Roman" w:hAnsi="Times New Roman" w:cs="Times New Roman"/>
                <w:color w:val="000000" w:themeColor="text1"/>
              </w:rPr>
              <w:t>根据《国民经济行业分类》（</w:t>
            </w:r>
            <w:r>
              <w:rPr>
                <w:rFonts w:hint="default" w:ascii="Times New Roman" w:hAnsi="Times New Roman" w:eastAsia="宋体" w:cs="Times New Roman"/>
                <w:color w:val="000000" w:themeColor="text1"/>
                <w:lang w:val="en-US" w:eastAsia="zh-CN"/>
              </w:rPr>
              <w:t>GB/T4754-2017）2019年修改版，本</w:t>
            </w:r>
            <w:r>
              <w:rPr>
                <w:rFonts w:hint="eastAsia" w:eastAsia="宋体" w:cs="Times New Roman"/>
                <w:color w:val="000000" w:themeColor="text1"/>
                <w:lang w:val="en-US" w:eastAsia="zh-CN"/>
              </w:rPr>
              <w:t>项目</w:t>
            </w:r>
            <w:r>
              <w:rPr>
                <w:rFonts w:hint="default" w:ascii="Times New Roman" w:hAnsi="Times New Roman" w:eastAsia="宋体" w:cs="Times New Roman"/>
                <w:color w:val="000000" w:themeColor="text1"/>
                <w:lang w:val="en-US" w:eastAsia="zh-CN"/>
              </w:rPr>
              <w:t>属于“C3821变压器、整流器和电感器制造</w:t>
            </w:r>
            <w:r>
              <w:rPr>
                <w:rFonts w:hint="eastAsia" w:eastAsia="宋体" w:cs="Times New Roman"/>
                <w:color w:val="000000" w:themeColor="text1"/>
                <w:lang w:val="en-US" w:eastAsia="zh-CN"/>
              </w:rPr>
              <w:t>”</w:t>
            </w:r>
            <w:r>
              <w:rPr>
                <w:rFonts w:hint="default" w:ascii="Times New Roman" w:hAnsi="Times New Roman" w:eastAsia="宋体" w:cs="Times New Roman"/>
                <w:color w:val="000000" w:themeColor="text1"/>
                <w:lang w:val="en-US" w:eastAsia="zh-CN"/>
              </w:rPr>
              <w:t>。对照《产业结构调整指导目录（2024年本）》，</w:t>
            </w:r>
            <w:r>
              <w:rPr>
                <w:rFonts w:hint="eastAsia" w:eastAsia="宋体" w:cs="Times New Roman"/>
                <w:color w:val="000000" w:themeColor="text1"/>
                <w:lang w:val="en-US" w:eastAsia="zh-CN"/>
              </w:rPr>
              <w:t>本项目</w:t>
            </w:r>
            <w:r>
              <w:rPr>
                <w:rFonts w:hint="default" w:ascii="Times New Roman" w:hAnsi="Times New Roman" w:eastAsia="宋体" w:cs="Times New Roman"/>
                <w:color w:val="000000" w:themeColor="text1"/>
                <w:lang w:val="en-US" w:eastAsia="zh-CN"/>
              </w:rPr>
              <w:t>不属于产业政策中规定的限制类、淘汰类建设项目之列。</w:t>
            </w:r>
          </w:p>
          <w:p w14:paraId="2D8433F8">
            <w:pPr>
              <w:pStyle w:val="9"/>
              <w:keepNext w:val="0"/>
              <w:keepLines w:val="0"/>
              <w:pageBreakBefore w:val="0"/>
              <w:kinsoku/>
              <w:wordWrap/>
              <w:overflowPunct/>
              <w:topLinePunct w:val="0"/>
              <w:bidi w:val="0"/>
              <w:spacing w:line="360" w:lineRule="auto"/>
              <w:ind w:firstLine="480" w:firstLineChars="200"/>
              <w:textAlignment w:val="auto"/>
              <w:rPr>
                <w:rFonts w:hint="default" w:ascii="Times New Roman" w:hAnsi="Times New Roman" w:eastAsia="宋体" w:cs="Times New Roman"/>
                <w:color w:val="000000" w:themeColor="text1"/>
                <w:lang w:val="en-US" w:eastAsia="zh-CN"/>
              </w:rPr>
            </w:pPr>
            <w:r>
              <w:rPr>
                <w:rFonts w:hint="eastAsia" w:eastAsia="宋体" w:cs="Times New Roman"/>
                <w:color w:val="000000" w:themeColor="text1"/>
                <w:lang w:val="en-US" w:eastAsia="zh-CN"/>
              </w:rPr>
              <w:t>本项目</w:t>
            </w:r>
            <w:r>
              <w:rPr>
                <w:rFonts w:hint="default" w:ascii="Times New Roman" w:hAnsi="Times New Roman" w:eastAsia="宋体" w:cs="Times New Roman"/>
                <w:color w:val="000000" w:themeColor="text1"/>
                <w:lang w:val="en-US" w:eastAsia="zh-CN"/>
              </w:rPr>
              <w:t>已于202</w:t>
            </w:r>
            <w:r>
              <w:rPr>
                <w:rFonts w:hint="eastAsia" w:cs="Times New Roman"/>
                <w:color w:val="000000" w:themeColor="text1"/>
                <w:lang w:val="en-US" w:eastAsia="zh-CN"/>
              </w:rPr>
              <w:t>6</w:t>
            </w:r>
            <w:r>
              <w:rPr>
                <w:rFonts w:hint="default" w:ascii="Times New Roman" w:hAnsi="Times New Roman" w:eastAsia="宋体" w:cs="Times New Roman"/>
                <w:color w:val="000000" w:themeColor="text1"/>
                <w:lang w:val="en-US" w:eastAsia="zh-CN"/>
              </w:rPr>
              <w:t>年</w:t>
            </w:r>
            <w:r>
              <w:rPr>
                <w:rFonts w:hint="eastAsia" w:ascii="Times New Roman" w:hAnsi="Times New Roman" w:eastAsia="宋体" w:cs="Times New Roman"/>
                <w:color w:val="000000" w:themeColor="text1"/>
                <w:lang w:val="en-US" w:eastAsia="zh-CN"/>
              </w:rPr>
              <w:t>4</w:t>
            </w:r>
            <w:r>
              <w:rPr>
                <w:rFonts w:hint="default" w:ascii="Times New Roman" w:hAnsi="Times New Roman" w:eastAsia="宋体" w:cs="Times New Roman"/>
                <w:color w:val="000000" w:themeColor="text1"/>
                <w:lang w:val="en-US" w:eastAsia="zh-CN"/>
              </w:rPr>
              <w:t>月</w:t>
            </w:r>
            <w:r>
              <w:rPr>
                <w:rFonts w:hint="eastAsia" w:cs="Times New Roman"/>
                <w:color w:val="000000" w:themeColor="text1"/>
                <w:lang w:val="en-US" w:eastAsia="zh-CN"/>
              </w:rPr>
              <w:t>13</w:t>
            </w:r>
            <w:r>
              <w:rPr>
                <w:rFonts w:hint="default" w:ascii="Times New Roman" w:hAnsi="Times New Roman" w:eastAsia="宋体" w:cs="Times New Roman"/>
                <w:color w:val="000000" w:themeColor="text1"/>
                <w:lang w:val="en-US" w:eastAsia="zh-CN"/>
              </w:rPr>
              <w:t>日，取得淮北市杜集区工业和信息化局备案（项目代码：2504-340602-07-02-674252）。</w:t>
            </w:r>
          </w:p>
          <w:p w14:paraId="25941469">
            <w:pPr>
              <w:pStyle w:val="9"/>
              <w:keepNext w:val="0"/>
              <w:keepLines w:val="0"/>
              <w:pageBreakBefore w:val="0"/>
              <w:kinsoku/>
              <w:wordWrap/>
              <w:overflowPunct/>
              <w:topLinePunct w:val="0"/>
              <w:bidi w:val="0"/>
              <w:spacing w:line="360" w:lineRule="auto"/>
              <w:ind w:firstLine="480" w:firstLineChars="200"/>
              <w:textAlignment w:val="auto"/>
              <w:rPr>
                <w:rFonts w:hint="default" w:ascii="Times New Roman" w:hAnsi="Times New Roman" w:eastAsia="宋体" w:cs="Times New Roman"/>
                <w:color w:val="000000" w:themeColor="text1"/>
                <w:lang w:val="en-US" w:eastAsia="zh-CN"/>
              </w:rPr>
            </w:pPr>
            <w:r>
              <w:rPr>
                <w:rFonts w:hint="default" w:ascii="Times New Roman" w:hAnsi="Times New Roman" w:eastAsia="宋体" w:cs="Times New Roman"/>
                <w:color w:val="000000" w:themeColor="text1"/>
                <w:lang w:val="en-US" w:eastAsia="zh-CN"/>
              </w:rPr>
              <w:t>因此，项目的建设符合国家和地方的产业政策要求。</w:t>
            </w:r>
          </w:p>
          <w:p w14:paraId="72443DE7">
            <w:pPr>
              <w:pStyle w:val="9"/>
              <w:keepNext w:val="0"/>
              <w:keepLines w:val="0"/>
              <w:pageBreakBefore w:val="0"/>
              <w:kinsoku/>
              <w:wordWrap/>
              <w:overflowPunct/>
              <w:topLinePunct w:val="0"/>
              <w:bidi w:val="0"/>
              <w:spacing w:line="360" w:lineRule="auto"/>
              <w:ind w:firstLine="482" w:firstLineChars="200"/>
              <w:textAlignment w:val="auto"/>
              <w:rPr>
                <w:rFonts w:hint="default" w:ascii="Times New Roman" w:hAnsi="Times New Roman" w:cs="Times New Roman"/>
                <w:b/>
                <w:color w:val="000000" w:themeColor="text1"/>
                <w:szCs w:val="24"/>
                <w:lang w:val="en-US" w:eastAsia="zh-CN"/>
              </w:rPr>
            </w:pPr>
            <w:r>
              <w:rPr>
                <w:rFonts w:hint="default" w:ascii="Times New Roman" w:hAnsi="Times New Roman" w:cs="Times New Roman"/>
                <w:b/>
                <w:color w:val="000000" w:themeColor="text1"/>
                <w:szCs w:val="24"/>
                <w:lang w:val="en-US" w:eastAsia="zh-CN"/>
              </w:rPr>
              <w:t>2、选址可行性分析</w:t>
            </w:r>
          </w:p>
          <w:p w14:paraId="1651D5C0">
            <w:pPr>
              <w:adjustRightInd w:val="0"/>
              <w:spacing w:line="360" w:lineRule="auto"/>
              <w:ind w:firstLine="480" w:firstLineChars="200"/>
              <w:rPr>
                <w:rFonts w:hint="default" w:ascii="Times New Roman" w:hAnsi="Times New Roman" w:cs="Times New Roman"/>
                <w:color w:val="000000" w:themeColor="text1"/>
                <w:sz w:val="24"/>
              </w:rPr>
            </w:pPr>
            <w:r>
              <w:rPr>
                <w:rFonts w:hint="default" w:ascii="Times New Roman" w:hAnsi="Times New Roman" w:cs="Times New Roman"/>
                <w:color w:val="000000" w:themeColor="text1"/>
                <w:sz w:val="24"/>
              </w:rPr>
              <w:t>（1）用地规划符合性</w:t>
            </w:r>
          </w:p>
          <w:p w14:paraId="4BD1D466">
            <w:pPr>
              <w:adjustRightInd w:val="0"/>
              <w:spacing w:line="360" w:lineRule="auto"/>
              <w:ind w:firstLine="480" w:firstLineChars="200"/>
              <w:rPr>
                <w:rFonts w:hint="default" w:ascii="Times New Roman" w:hAnsi="Times New Roman" w:eastAsia="宋体" w:cs="Times New Roman"/>
                <w:color w:val="000000" w:themeColor="text1"/>
                <w:sz w:val="24"/>
                <w:szCs w:val="24"/>
                <w:lang w:val="en-US" w:eastAsia="zh-CN"/>
              </w:rPr>
            </w:pPr>
            <w:r>
              <w:rPr>
                <w:rFonts w:hint="default" w:ascii="Times New Roman" w:hAnsi="Times New Roman" w:eastAsia="宋体" w:cs="Times New Roman"/>
                <w:color w:val="000000" w:themeColor="text1"/>
                <w:sz w:val="24"/>
                <w:szCs w:val="24"/>
                <w:lang w:val="en-US" w:eastAsia="zh-CN"/>
              </w:rPr>
              <w:t>本项目位于建设地点</w:t>
            </w:r>
            <w:r>
              <w:rPr>
                <w:rFonts w:hint="eastAsia"/>
                <w:color w:val="000000" w:themeColor="text1"/>
                <w:sz w:val="24"/>
                <w:szCs w:val="24"/>
                <w:lang w:val="en-US" w:eastAsia="zh-CN"/>
              </w:rPr>
              <w:t>位于</w:t>
            </w:r>
            <w:r>
              <w:rPr>
                <w:rFonts w:hint="eastAsia" w:cs="Times New Roman"/>
                <w:color w:val="000000" w:themeColor="text1"/>
                <w:sz w:val="24"/>
                <w:szCs w:val="24"/>
                <w:lang w:val="en-US" w:eastAsia="zh-CN"/>
              </w:rPr>
              <w:t>安徽省淮北市杜集区经济开发区发展路10号</w:t>
            </w:r>
            <w:r>
              <w:rPr>
                <w:rFonts w:hint="default" w:ascii="Times New Roman" w:hAnsi="Times New Roman" w:eastAsia="宋体" w:cs="Times New Roman"/>
                <w:color w:val="000000" w:themeColor="text1"/>
                <w:sz w:val="24"/>
                <w:szCs w:val="24"/>
                <w:lang w:val="en-US" w:eastAsia="zh-CN"/>
              </w:rPr>
              <w:t>，</w:t>
            </w:r>
            <w:r>
              <w:rPr>
                <w:rFonts w:hint="eastAsia" w:cs="Times New Roman"/>
                <w:color w:val="000000" w:themeColor="text1"/>
                <w:sz w:val="24"/>
                <w:szCs w:val="24"/>
                <w:lang w:val="en-US" w:eastAsia="zh-CN"/>
              </w:rPr>
              <w:t>对照“安徽省淮北市杜集经济开发区总体发展规划土里使用规划图”，项目选址属于工业用地</w:t>
            </w:r>
            <w:r>
              <w:rPr>
                <w:rFonts w:hint="default" w:ascii="Times New Roman" w:hAnsi="Times New Roman" w:eastAsia="宋体" w:cs="Times New Roman"/>
                <w:color w:val="000000" w:themeColor="text1"/>
                <w:sz w:val="24"/>
                <w:szCs w:val="24"/>
                <w:lang w:val="en-US" w:eastAsia="zh-CN"/>
              </w:rPr>
              <w:t>。</w:t>
            </w:r>
          </w:p>
          <w:p w14:paraId="2CF2D8F5">
            <w:pPr>
              <w:adjustRightInd w:val="0"/>
              <w:spacing w:line="360" w:lineRule="auto"/>
              <w:ind w:firstLine="480" w:firstLineChars="200"/>
              <w:rPr>
                <w:rFonts w:hint="default" w:ascii="Times New Roman" w:hAnsi="Times New Roman" w:eastAsia="宋体" w:cs="Times New Roman"/>
                <w:color w:val="000000" w:themeColor="text1"/>
                <w:sz w:val="24"/>
                <w:szCs w:val="24"/>
                <w:lang w:val="en-US" w:eastAsia="zh-CN"/>
              </w:rPr>
            </w:pPr>
            <w:r>
              <w:rPr>
                <w:rFonts w:hint="default" w:ascii="Times New Roman" w:hAnsi="Times New Roman" w:eastAsia="宋体" w:cs="Times New Roman"/>
                <w:color w:val="000000" w:themeColor="text1"/>
                <w:sz w:val="24"/>
                <w:szCs w:val="24"/>
                <w:lang w:val="en-US" w:eastAsia="zh-CN"/>
              </w:rPr>
              <w:t>本项目为</w:t>
            </w:r>
            <w:r>
              <w:rPr>
                <w:rFonts w:hint="eastAsia" w:ascii="Times New Roman" w:hAnsi="Times New Roman" w:cs="Times New Roman"/>
                <w:b w:val="0"/>
                <w:bCs w:val="0"/>
                <w:color w:val="000000" w:themeColor="text1"/>
                <w:sz w:val="24"/>
                <w:szCs w:val="24"/>
                <w:lang w:val="en-US" w:eastAsia="zh-CN"/>
              </w:rPr>
              <w:t>电气机械和器材制造业，</w:t>
            </w:r>
            <w:r>
              <w:rPr>
                <w:rFonts w:hint="eastAsia" w:ascii="Times New Roman" w:hAnsi="Times New Roman" w:cs="Times New Roman"/>
                <w:b w:val="0"/>
                <w:bCs w:val="0"/>
                <w:color w:val="000000" w:themeColor="text1"/>
                <w:sz w:val="24"/>
                <w:szCs w:val="24"/>
                <w:lang w:eastAsia="zh-CN"/>
              </w:rPr>
              <w:t>产业类别</w:t>
            </w:r>
            <w:r>
              <w:rPr>
                <w:rFonts w:hint="eastAsia" w:ascii="Times New Roman" w:hAnsi="Times New Roman" w:eastAsia="宋体" w:cs="Times New Roman"/>
                <w:b w:val="0"/>
                <w:bCs w:val="0"/>
                <w:color w:val="000000" w:themeColor="text1"/>
                <w:sz w:val="24"/>
                <w:szCs w:val="24"/>
              </w:rPr>
              <w:t>属于</w:t>
            </w:r>
            <w:r>
              <w:rPr>
                <w:rFonts w:hint="default" w:ascii="Times New Roman" w:hAnsi="Times New Roman" w:cs="Times New Roman"/>
                <w:b w:val="0"/>
                <w:bCs w:val="0"/>
                <w:color w:val="000000" w:themeColor="text1"/>
                <w:sz w:val="24"/>
                <w:szCs w:val="24"/>
                <w:lang w:val="en-US" w:eastAsia="zh-CN"/>
              </w:rPr>
              <w:t>《安徽淮北杜集经济</w:t>
            </w:r>
            <w:r>
              <w:rPr>
                <w:rFonts w:hint="eastAsia" w:ascii="Times New Roman" w:hAnsi="Times New Roman" w:cs="Times New Roman"/>
                <w:b w:val="0"/>
                <w:bCs w:val="0"/>
                <w:color w:val="000000" w:themeColor="text1"/>
                <w:sz w:val="24"/>
                <w:szCs w:val="24"/>
                <w:lang w:val="en-US" w:eastAsia="zh-CN"/>
              </w:rPr>
              <w:t>开发区总体发展规划（2023-2035年）</w:t>
            </w:r>
            <w:r>
              <w:rPr>
                <w:rFonts w:hint="default" w:ascii="Times New Roman" w:hAnsi="Times New Roman" w:cs="Times New Roman"/>
                <w:b w:val="0"/>
                <w:bCs w:val="0"/>
                <w:color w:val="000000" w:themeColor="text1"/>
                <w:sz w:val="24"/>
                <w:szCs w:val="24"/>
                <w:lang w:val="en-US" w:eastAsia="zh-CN"/>
              </w:rPr>
              <w:t>》</w:t>
            </w:r>
            <w:r>
              <w:rPr>
                <w:rFonts w:hint="eastAsia" w:ascii="Times New Roman" w:hAnsi="Times New Roman" w:eastAsia="宋体" w:cs="Times New Roman"/>
                <w:b w:val="0"/>
                <w:bCs w:val="0"/>
                <w:color w:val="000000" w:themeColor="text1"/>
                <w:sz w:val="24"/>
                <w:szCs w:val="24"/>
              </w:rPr>
              <w:t>主导产业</w:t>
            </w:r>
            <w:r>
              <w:rPr>
                <w:rFonts w:hint="eastAsia" w:ascii="Times New Roman" w:hAnsi="Times New Roman" w:cs="Times New Roman"/>
                <w:b w:val="0"/>
                <w:bCs w:val="0"/>
                <w:color w:val="000000" w:themeColor="text1"/>
                <w:sz w:val="24"/>
                <w:szCs w:val="24"/>
                <w:lang w:val="en-US" w:eastAsia="zh-CN"/>
              </w:rPr>
              <w:t>中的</w:t>
            </w:r>
            <w:r>
              <w:rPr>
                <w:rFonts w:hint="eastAsia" w:ascii="Times New Roman" w:hAnsi="Times New Roman" w:eastAsia="宋体" w:cs="Times New Roman"/>
                <w:b w:val="0"/>
                <w:bCs w:val="0"/>
                <w:color w:val="000000" w:themeColor="text1"/>
                <w:sz w:val="24"/>
                <w:szCs w:val="24"/>
                <w:lang w:eastAsia="zh-CN"/>
              </w:rPr>
              <w:t>“</w:t>
            </w:r>
            <w:r>
              <w:rPr>
                <w:rFonts w:hint="eastAsia" w:ascii="Times New Roman" w:hAnsi="Times New Roman" w:eastAsia="宋体" w:cs="Times New Roman"/>
                <w:b w:val="0"/>
                <w:bCs w:val="0"/>
                <w:color w:val="000000" w:themeColor="text1"/>
                <w:sz w:val="24"/>
                <w:szCs w:val="24"/>
                <w:lang w:val="en-US" w:eastAsia="zh-CN"/>
              </w:rPr>
              <w:t>电器机械制造</w:t>
            </w:r>
            <w:r>
              <w:rPr>
                <w:rFonts w:hint="eastAsia" w:ascii="Times New Roman" w:hAnsi="Times New Roman" w:eastAsia="宋体" w:cs="Times New Roman"/>
                <w:b w:val="0"/>
                <w:bCs w:val="0"/>
                <w:color w:val="000000" w:themeColor="text1"/>
                <w:sz w:val="24"/>
                <w:szCs w:val="24"/>
                <w:lang w:eastAsia="zh-CN"/>
              </w:rPr>
              <w:t>”</w:t>
            </w:r>
            <w:r>
              <w:rPr>
                <w:rFonts w:hint="default" w:ascii="Times New Roman" w:hAnsi="Times New Roman" w:eastAsia="宋体" w:cs="Times New Roman"/>
                <w:color w:val="000000" w:themeColor="text1"/>
                <w:sz w:val="24"/>
                <w:szCs w:val="24"/>
                <w:lang w:val="en-US" w:eastAsia="zh-CN"/>
              </w:rPr>
              <w:t>。</w:t>
            </w:r>
          </w:p>
          <w:p w14:paraId="70F376F7">
            <w:pPr>
              <w:adjustRightInd w:val="0"/>
              <w:spacing w:line="360" w:lineRule="auto"/>
              <w:ind w:firstLine="480" w:firstLineChars="200"/>
              <w:rPr>
                <w:rFonts w:hint="default" w:ascii="Times New Roman" w:hAnsi="Times New Roman" w:eastAsia="宋体" w:cs="Times New Roman"/>
                <w:color w:val="000000" w:themeColor="text1"/>
                <w:sz w:val="24"/>
                <w:szCs w:val="24"/>
                <w:lang w:val="en-US" w:eastAsia="zh-CN"/>
              </w:rPr>
            </w:pPr>
            <w:r>
              <w:rPr>
                <w:rFonts w:hint="default" w:ascii="Times New Roman" w:hAnsi="Times New Roman" w:eastAsia="宋体" w:cs="Times New Roman"/>
                <w:color w:val="000000" w:themeColor="text1"/>
                <w:sz w:val="24"/>
                <w:szCs w:val="24"/>
                <w:lang w:val="en-US" w:eastAsia="zh-CN"/>
              </w:rPr>
              <w:t>综上，项目建设符合当地总体规划</w:t>
            </w:r>
            <w:r>
              <w:rPr>
                <w:rFonts w:hint="eastAsia" w:ascii="Times New Roman" w:hAnsi="Times New Roman" w:eastAsia="宋体" w:cs="Times New Roman"/>
                <w:color w:val="000000" w:themeColor="text1"/>
                <w:sz w:val="24"/>
                <w:szCs w:val="24"/>
                <w:lang w:val="en-US" w:eastAsia="zh-CN"/>
              </w:rPr>
              <w:t>。</w:t>
            </w:r>
          </w:p>
          <w:p w14:paraId="77C72DA0">
            <w:pPr>
              <w:adjustRightInd w:val="0"/>
              <w:spacing w:line="360" w:lineRule="auto"/>
              <w:ind w:firstLine="480" w:firstLineChars="200"/>
              <w:rPr>
                <w:rFonts w:hint="default" w:ascii="Times New Roman" w:hAnsi="Times New Roman" w:eastAsia="宋体" w:cs="Times New Roman"/>
                <w:color w:val="000000" w:themeColor="text1"/>
                <w:sz w:val="24"/>
                <w:highlight w:val="none"/>
                <w:lang w:val="en-US" w:eastAsia="zh-CN"/>
              </w:rPr>
            </w:pPr>
            <w:r>
              <w:rPr>
                <w:rFonts w:hint="default" w:ascii="Times New Roman" w:hAnsi="Times New Roman" w:eastAsia="宋体" w:cs="Times New Roman"/>
                <w:color w:val="000000" w:themeColor="text1"/>
                <w:sz w:val="24"/>
                <w:highlight w:val="none"/>
                <w:lang w:val="en-US" w:eastAsia="zh-CN"/>
              </w:rPr>
              <w:t>（2）环境相容性</w:t>
            </w:r>
          </w:p>
          <w:p w14:paraId="01147106">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000000" w:themeColor="text1"/>
                <w:sz w:val="24"/>
                <w:szCs w:val="24"/>
                <w:lang w:val="en-US" w:eastAsia="zh-CN"/>
              </w:rPr>
            </w:pPr>
            <w:r>
              <w:rPr>
                <w:rFonts w:hint="default" w:ascii="Times New Roman" w:hAnsi="Times New Roman" w:eastAsia="宋体" w:cs="Times New Roman"/>
                <w:color w:val="000000" w:themeColor="text1"/>
                <w:sz w:val="24"/>
                <w:szCs w:val="24"/>
                <w:lang w:val="en-US" w:eastAsia="zh-CN"/>
              </w:rPr>
              <w:t>项目位于安徽省淮北市杜集经济开发区</w:t>
            </w:r>
            <w:r>
              <w:rPr>
                <w:rFonts w:hint="eastAsia" w:cs="Times New Roman"/>
                <w:color w:val="000000" w:themeColor="text1"/>
                <w:sz w:val="24"/>
                <w:szCs w:val="24"/>
                <w:lang w:val="en-US" w:eastAsia="zh-CN"/>
              </w:rPr>
              <w:t>发展路10号</w:t>
            </w:r>
            <w:r>
              <w:rPr>
                <w:rFonts w:hint="default" w:ascii="Times New Roman" w:hAnsi="Times New Roman" w:eastAsia="宋体" w:cs="Times New Roman"/>
                <w:color w:val="000000" w:themeColor="text1"/>
                <w:sz w:val="24"/>
                <w:szCs w:val="24"/>
                <w:lang w:val="en-US" w:eastAsia="zh-CN"/>
              </w:rPr>
              <w:t>，</w:t>
            </w:r>
            <w:r>
              <w:rPr>
                <w:rFonts w:hint="eastAsia" w:cs="Times New Roman"/>
                <w:color w:val="000000" w:themeColor="text1"/>
                <w:sz w:val="24"/>
                <w:szCs w:val="24"/>
                <w:lang w:val="en-US" w:eastAsia="zh-CN"/>
              </w:rPr>
              <w:t>根据现场踏勘，企业西侧和南侧均为园区企业，东侧为东山路，北侧距离居民点谢庄较近，企业租赁厂房距居民点距离为46m，租赁厂房所在厂区距居民点距离为12m。</w:t>
            </w:r>
          </w:p>
          <w:p w14:paraId="6FC9BF80">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cs="Times New Roman"/>
                <w:color w:val="000000" w:themeColor="text1"/>
                <w:sz w:val="24"/>
                <w:szCs w:val="24"/>
                <w:lang w:val="en-US" w:eastAsia="zh-CN"/>
              </w:rPr>
            </w:pPr>
            <w:r>
              <w:rPr>
                <w:rFonts w:hint="eastAsia" w:cs="Times New Roman"/>
                <w:color w:val="000000" w:themeColor="text1"/>
                <w:sz w:val="24"/>
                <w:szCs w:val="24"/>
                <w:lang w:val="en-US" w:eastAsia="zh-CN"/>
              </w:rPr>
              <w:t>企业生产过程中产生的废气均合理处置，且废气治理设施位于租赁厂房南侧布置；生产过程中选用低噪声设备，设备采取减震、隔声等措施以及夜间不生产，采取上述措施后，本项目生产对居民点影响较小。</w:t>
            </w:r>
          </w:p>
          <w:p w14:paraId="42AF140B">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000000" w:themeColor="text1"/>
                <w:sz w:val="24"/>
                <w:szCs w:val="24"/>
                <w:lang w:val="en-US" w:eastAsia="zh-CN"/>
              </w:rPr>
            </w:pPr>
            <w:r>
              <w:rPr>
                <w:rFonts w:hint="eastAsia" w:ascii="Times New Roman" w:hAnsi="Times New Roman" w:cs="Times New Roman"/>
                <w:color w:val="000000" w:themeColor="text1"/>
                <w:sz w:val="24"/>
                <w:szCs w:val="24"/>
                <w:lang w:eastAsia="zh-CN"/>
              </w:rPr>
              <w:t>（</w:t>
            </w:r>
            <w:r>
              <w:rPr>
                <w:rFonts w:hint="eastAsia" w:ascii="Times New Roman" w:hAnsi="Times New Roman" w:cs="Times New Roman"/>
                <w:color w:val="000000" w:themeColor="text1"/>
                <w:sz w:val="24"/>
                <w:szCs w:val="24"/>
                <w:lang w:val="en-US" w:eastAsia="zh-CN"/>
              </w:rPr>
              <w:t>3</w:t>
            </w:r>
            <w:r>
              <w:rPr>
                <w:rFonts w:hint="eastAsia" w:ascii="Times New Roman" w:hAnsi="Times New Roman" w:cs="Times New Roman"/>
                <w:color w:val="000000" w:themeColor="text1"/>
                <w:sz w:val="24"/>
                <w:szCs w:val="24"/>
                <w:lang w:eastAsia="zh-CN"/>
              </w:rPr>
              <w:t>）</w:t>
            </w:r>
            <w:r>
              <w:rPr>
                <w:rFonts w:hint="eastAsia" w:ascii="Times New Roman" w:hAnsi="Times New Roman" w:cs="Times New Roman"/>
                <w:color w:val="000000" w:themeColor="text1"/>
                <w:sz w:val="24"/>
                <w:szCs w:val="24"/>
                <w:lang w:val="en-US" w:eastAsia="zh-CN"/>
              </w:rPr>
              <w:t>环境承载能力</w:t>
            </w:r>
          </w:p>
          <w:p w14:paraId="2C6529A2">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color w:val="000000" w:themeColor="text1"/>
                <w:sz w:val="24"/>
                <w:szCs w:val="24"/>
                <w:lang w:eastAsia="zh-CN"/>
              </w:rPr>
            </w:pPr>
            <w:r>
              <w:rPr>
                <w:rFonts w:hint="default" w:ascii="Times New Roman" w:hAnsi="Times New Roman" w:cs="Times New Roman"/>
                <w:color w:val="000000" w:themeColor="text1"/>
                <w:sz w:val="24"/>
                <w:szCs w:val="24"/>
              </w:rPr>
              <w:t>本项目周边500m范围内无自然保护区、风景旅游景点和文物古迹等；项目所在地交通方便，水电供应可靠</w:t>
            </w:r>
            <w:r>
              <w:rPr>
                <w:rFonts w:hint="eastAsia" w:cs="Times New Roman"/>
                <w:color w:val="000000" w:themeColor="text1"/>
                <w:sz w:val="24"/>
                <w:szCs w:val="24"/>
                <w:lang w:eastAsia="zh-CN"/>
              </w:rPr>
              <w:t>。</w:t>
            </w:r>
            <w:r>
              <w:rPr>
                <w:rFonts w:hint="eastAsia" w:cs="Times New Roman"/>
                <w:color w:val="000000" w:themeColor="text1"/>
                <w:sz w:val="24"/>
                <w:szCs w:val="24"/>
                <w:lang w:val="en-US" w:eastAsia="zh-CN"/>
              </w:rPr>
              <w:t>项目浇筑、固化废气经负压收集后通过干式过滤棉+二级活性炭处理后经排气筒排放，焊接烟尘较少，采用移动式焊烟净化器处理；项目生活污水经化粪池处理后经管网排入龙湖污水处理厂处理；固体废物分类处置。</w:t>
            </w:r>
            <w:r>
              <w:rPr>
                <w:rFonts w:hint="default" w:ascii="Times New Roman" w:hAnsi="Times New Roman" w:cs="Times New Roman"/>
                <w:color w:val="000000" w:themeColor="text1"/>
                <w:sz w:val="24"/>
                <w:szCs w:val="24"/>
              </w:rPr>
              <w:t>本项目在做好废气治理和废水处理措施的前提下，对环境质量的影响较小，建成后不会造成环境质量下降。因此，项目在环境承载能力内</w:t>
            </w:r>
            <w:r>
              <w:rPr>
                <w:rFonts w:hint="eastAsia" w:ascii="Times New Roman" w:hAnsi="Times New Roman" w:cs="Times New Roman"/>
                <w:color w:val="000000" w:themeColor="text1"/>
                <w:sz w:val="24"/>
                <w:szCs w:val="24"/>
                <w:lang w:eastAsia="zh-CN"/>
              </w:rPr>
              <w:t>。</w:t>
            </w:r>
          </w:p>
          <w:p w14:paraId="4E8E21E6">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color w:val="000000" w:themeColor="text1"/>
                <w:sz w:val="24"/>
                <w:szCs w:val="24"/>
                <w:lang w:eastAsia="zh-CN"/>
              </w:rPr>
            </w:pPr>
            <w:r>
              <w:rPr>
                <w:rFonts w:hint="eastAsia" w:ascii="Times New Roman" w:hAnsi="Times New Roman" w:cs="Times New Roman"/>
                <w:color w:val="000000" w:themeColor="text1"/>
                <w:sz w:val="24"/>
                <w:szCs w:val="24"/>
                <w:lang w:eastAsia="zh-CN"/>
              </w:rPr>
              <w:t>（</w:t>
            </w:r>
            <w:r>
              <w:rPr>
                <w:rFonts w:hint="eastAsia" w:ascii="Times New Roman" w:hAnsi="Times New Roman" w:cs="Times New Roman"/>
                <w:color w:val="000000" w:themeColor="text1"/>
                <w:sz w:val="24"/>
                <w:szCs w:val="24"/>
                <w:lang w:val="en-US" w:eastAsia="zh-CN"/>
              </w:rPr>
              <w:t>4</w:t>
            </w:r>
            <w:r>
              <w:rPr>
                <w:rFonts w:hint="eastAsia" w:ascii="Times New Roman" w:hAnsi="Times New Roman" w:cs="Times New Roman"/>
                <w:color w:val="000000" w:themeColor="text1"/>
                <w:sz w:val="24"/>
                <w:szCs w:val="24"/>
                <w:lang w:eastAsia="zh-CN"/>
              </w:rPr>
              <w:t>）环境功能区划相符性分析</w:t>
            </w:r>
          </w:p>
          <w:p w14:paraId="6A827124">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项目所在区域的</w:t>
            </w:r>
            <w:r>
              <w:rPr>
                <w:rFonts w:hint="default" w:ascii="Times New Roman" w:hAnsi="Times New Roman" w:eastAsia="宋体" w:cs="Times New Roman"/>
                <w:color w:val="000000" w:themeColor="text1"/>
                <w:sz w:val="24"/>
                <w:szCs w:val="24"/>
              </w:rPr>
              <w:t>空气环境功能为二类区，项目运营过程中产生的大气污染物经采取措施处理后，</w:t>
            </w:r>
            <w:r>
              <w:rPr>
                <w:rFonts w:hint="default" w:ascii="Times New Roman" w:hAnsi="Times New Roman" w:eastAsia="宋体" w:cs="Times New Roman"/>
                <w:color w:val="000000" w:themeColor="text1"/>
                <w:sz w:val="24"/>
                <w:szCs w:val="24"/>
                <w:lang w:val="en-US" w:eastAsia="zh-CN"/>
              </w:rPr>
              <w:t>均能达标排放，</w:t>
            </w:r>
            <w:r>
              <w:rPr>
                <w:rFonts w:hint="default" w:ascii="Times New Roman" w:hAnsi="Times New Roman" w:eastAsia="宋体" w:cs="Times New Roman"/>
                <w:color w:val="000000" w:themeColor="text1"/>
                <w:sz w:val="24"/>
                <w:szCs w:val="24"/>
              </w:rPr>
              <w:t>对所在区域环境空气质量影响较小。</w:t>
            </w:r>
            <w:r>
              <w:rPr>
                <w:rFonts w:hint="default" w:ascii="Times New Roman" w:hAnsi="Times New Roman" w:eastAsia="宋体" w:cs="Times New Roman"/>
                <w:color w:val="000000" w:themeColor="text1"/>
                <w:sz w:val="24"/>
                <w:szCs w:val="24"/>
                <w:lang w:val="en-US" w:eastAsia="zh-CN"/>
              </w:rPr>
              <w:t>本</w:t>
            </w:r>
            <w:r>
              <w:rPr>
                <w:rFonts w:hint="eastAsia" w:ascii="Times New Roman" w:hAnsi="Times New Roman" w:eastAsia="宋体" w:cs="Times New Roman"/>
                <w:color w:val="000000" w:themeColor="text1"/>
                <w:sz w:val="24"/>
                <w:szCs w:val="24"/>
                <w:lang w:val="en-US" w:eastAsia="zh-CN"/>
              </w:rPr>
              <w:t>项目</w:t>
            </w:r>
            <w:r>
              <w:rPr>
                <w:rFonts w:hint="default" w:ascii="Times New Roman" w:hAnsi="Times New Roman" w:eastAsia="宋体" w:cs="Times New Roman"/>
                <w:color w:val="000000" w:themeColor="text1"/>
                <w:sz w:val="24"/>
                <w:szCs w:val="24"/>
                <w:lang w:val="en-US" w:eastAsia="zh-CN"/>
              </w:rPr>
              <w:t>无生产废水排放，生活污水接管进入龙湖污水处理厂进一步处理</w:t>
            </w:r>
            <w:r>
              <w:rPr>
                <w:rFonts w:hint="eastAsia" w:ascii="Times New Roman" w:hAnsi="Times New Roman" w:eastAsia="宋体" w:cs="Times New Roman"/>
                <w:color w:val="000000" w:themeColor="text1"/>
                <w:sz w:val="24"/>
                <w:szCs w:val="24"/>
                <w:lang w:val="en-US" w:eastAsia="zh-CN"/>
              </w:rPr>
              <w:t>，</w:t>
            </w:r>
            <w:r>
              <w:rPr>
                <w:rFonts w:hint="default" w:ascii="Times New Roman" w:hAnsi="Times New Roman" w:eastAsia="宋体" w:cs="Times New Roman"/>
                <w:color w:val="000000" w:themeColor="text1"/>
                <w:sz w:val="24"/>
                <w:szCs w:val="24"/>
                <w:lang w:val="en-US" w:eastAsia="zh-CN"/>
              </w:rPr>
              <w:t>达标后排入龙河</w:t>
            </w:r>
            <w:r>
              <w:rPr>
                <w:rFonts w:hint="default" w:ascii="Times New Roman" w:hAnsi="Times New Roman" w:eastAsia="宋体" w:cs="Times New Roman"/>
                <w:color w:val="000000" w:themeColor="text1"/>
                <w:sz w:val="24"/>
                <w:szCs w:val="24"/>
              </w:rPr>
              <w:t>。项目所在区域声环境功能区划为</w:t>
            </w:r>
            <w:r>
              <w:rPr>
                <w:rFonts w:hint="default" w:ascii="Times New Roman" w:hAnsi="Times New Roman" w:eastAsia="宋体" w:cs="Times New Roman"/>
                <w:color w:val="000000" w:themeColor="text1"/>
                <w:sz w:val="24"/>
                <w:szCs w:val="24"/>
                <w:lang w:val="en-US" w:eastAsia="zh-CN"/>
              </w:rPr>
              <w:t>3</w:t>
            </w:r>
            <w:r>
              <w:rPr>
                <w:rFonts w:hint="default" w:ascii="Times New Roman" w:hAnsi="Times New Roman" w:eastAsia="宋体" w:cs="Times New Roman"/>
                <w:color w:val="000000" w:themeColor="text1"/>
                <w:sz w:val="24"/>
                <w:szCs w:val="24"/>
              </w:rPr>
              <w:t>类区，项目运营过程产生的噪声经落实噪声防治措施等处理后，噪声能达到相关要求，对区域声环境质量影响不大。</w:t>
            </w:r>
            <w:r>
              <w:rPr>
                <w:rFonts w:hint="default" w:ascii="Times New Roman" w:hAnsi="Times New Roman" w:eastAsia="宋体" w:cs="Times New Roman"/>
                <w:color w:val="000000" w:themeColor="text1"/>
                <w:sz w:val="24"/>
                <w:szCs w:val="24"/>
                <w:lang w:val="en-US" w:eastAsia="zh-CN"/>
              </w:rPr>
              <w:t>本项目能够与周边环境相容。</w:t>
            </w:r>
          </w:p>
          <w:p w14:paraId="6D3A6322">
            <w:pPr>
              <w:pStyle w:val="9"/>
              <w:keepNext w:val="0"/>
              <w:keepLines w:val="0"/>
              <w:pageBreakBefore w:val="0"/>
              <w:widowControl w:val="0"/>
              <w:kinsoku/>
              <w:wordWrap/>
              <w:overflowPunct/>
              <w:topLinePunct w:val="0"/>
              <w:bidi w:val="0"/>
              <w:spacing w:line="360" w:lineRule="auto"/>
              <w:ind w:firstLine="482" w:firstLineChars="200"/>
              <w:textAlignment w:val="auto"/>
              <w:rPr>
                <w:rFonts w:hint="default" w:ascii="Times New Roman" w:hAnsi="Times New Roman" w:eastAsia="宋体" w:cs="Times New Roman"/>
                <w:b/>
                <w:color w:val="000000" w:themeColor="text1"/>
                <w:szCs w:val="24"/>
                <w:lang w:val="en-US" w:eastAsia="zh-CN"/>
              </w:rPr>
            </w:pPr>
            <w:r>
              <w:rPr>
                <w:rFonts w:hint="default" w:ascii="Times New Roman" w:hAnsi="Times New Roman" w:eastAsia="宋体" w:cs="Times New Roman"/>
                <w:b/>
                <w:color w:val="000000" w:themeColor="text1"/>
                <w:szCs w:val="24"/>
                <w:lang w:val="en-US" w:eastAsia="zh-CN"/>
              </w:rPr>
              <w:t>3、与生态环境分区管控符合性</w:t>
            </w:r>
          </w:p>
          <w:p w14:paraId="4EE017FC">
            <w:pPr>
              <w:autoSpaceDE w:val="0"/>
              <w:autoSpaceDN w:val="0"/>
              <w:adjustRightInd w:val="0"/>
              <w:snapToGrid w:val="0"/>
              <w:spacing w:line="360" w:lineRule="auto"/>
              <w:ind w:firstLine="480" w:firstLineChars="200"/>
              <w:jc w:val="left"/>
              <w:rPr>
                <w:rFonts w:hint="eastAsia" w:ascii="Times New Roman" w:hAnsi="Times New Roman" w:cs="Times New Roman"/>
                <w:color w:val="000000"/>
                <w:kern w:val="0"/>
                <w:sz w:val="24"/>
                <w:szCs w:val="24"/>
                <w:lang w:val="en-US" w:eastAsia="zh-CN"/>
              </w:rPr>
            </w:pPr>
            <w:r>
              <w:rPr>
                <w:rFonts w:hint="eastAsia" w:ascii="Times New Roman" w:hAnsi="Times New Roman" w:cs="Times New Roman"/>
                <w:color w:val="000000"/>
                <w:kern w:val="0"/>
                <w:sz w:val="24"/>
                <w:szCs w:val="24"/>
                <w:lang w:val="en-US" w:eastAsia="zh-CN"/>
              </w:rPr>
              <w:t>根据安徽省生态环境厅发布的《安徽省生态环境分区管控管理实施细则》（皖环发〔2026〕1号），文件要求“在项目环评中，做好与生态环境分区管控相符性分析，充分论证是否符合生态环境准入清单要求；对不满足要求的，进一步论证其生态环境可行性，优化调整项目建设内容或重新选址”。</w:t>
            </w:r>
          </w:p>
          <w:p w14:paraId="51CEA5CE">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left"/>
              <w:textAlignment w:val="auto"/>
              <w:rPr>
                <w:rFonts w:hint="default" w:ascii="Times New Roman" w:hAnsi="Times New Roman" w:eastAsia="宋体" w:cs="Times New Roman"/>
                <w:b/>
                <w:bCs/>
                <w:color w:val="000000" w:themeColor="text1"/>
                <w:sz w:val="24"/>
                <w:lang w:val="en-US" w:eastAsia="zh-CN"/>
              </w:rPr>
            </w:pPr>
            <w:r>
              <w:rPr>
                <w:rFonts w:hint="eastAsia" w:ascii="Times New Roman" w:hAnsi="Times New Roman" w:cs="Times New Roman"/>
                <w:b/>
                <w:bCs/>
                <w:color w:val="000000" w:themeColor="text1"/>
                <w:sz w:val="24"/>
                <w:lang w:eastAsia="zh-CN"/>
              </w:rPr>
              <w:t>（</w:t>
            </w:r>
            <w:r>
              <w:rPr>
                <w:rFonts w:hint="eastAsia" w:ascii="Times New Roman" w:hAnsi="Times New Roman" w:cs="Times New Roman"/>
                <w:b/>
                <w:bCs/>
                <w:color w:val="000000" w:themeColor="text1"/>
                <w:sz w:val="24"/>
                <w:lang w:val="en-US" w:eastAsia="zh-CN"/>
              </w:rPr>
              <w:t>1</w:t>
            </w:r>
            <w:r>
              <w:rPr>
                <w:rFonts w:hint="eastAsia" w:ascii="Times New Roman" w:hAnsi="Times New Roman" w:cs="Times New Roman"/>
                <w:b/>
                <w:bCs/>
                <w:color w:val="000000" w:themeColor="text1"/>
                <w:sz w:val="24"/>
                <w:lang w:eastAsia="zh-CN"/>
              </w:rPr>
              <w:t>）</w:t>
            </w:r>
            <w:r>
              <w:rPr>
                <w:rFonts w:hint="eastAsia" w:ascii="Times New Roman" w:hAnsi="Times New Roman" w:cs="Times New Roman"/>
                <w:b/>
                <w:bCs/>
                <w:color w:val="000000" w:themeColor="text1"/>
                <w:sz w:val="24"/>
                <w:lang w:val="en-US" w:eastAsia="zh-CN"/>
              </w:rPr>
              <w:t>生态保护红线</w:t>
            </w:r>
          </w:p>
          <w:p w14:paraId="135B358E">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000000" w:themeColor="text1"/>
                <w:sz w:val="24"/>
              </w:rPr>
            </w:pPr>
            <w:r>
              <w:rPr>
                <w:rFonts w:hint="default" w:ascii="Times New Roman" w:hAnsi="Times New Roman" w:cs="Times New Roman"/>
                <w:color w:val="000000" w:themeColor="text1"/>
                <w:sz w:val="24"/>
              </w:rPr>
              <w:t>项目位于</w:t>
            </w:r>
            <w:r>
              <w:rPr>
                <w:rStyle w:val="41"/>
                <w:rFonts w:hint="eastAsia" w:cs="Times New Roman"/>
                <w:snapToGrid w:val="0"/>
                <w:color w:val="000000" w:themeColor="text1"/>
                <w:kern w:val="0"/>
                <w:sz w:val="24"/>
                <w:szCs w:val="24"/>
                <w:lang w:eastAsia="zh-CN"/>
              </w:rPr>
              <w:t>安徽省淮北市杜集区经济开发区</w:t>
            </w:r>
            <w:r>
              <w:rPr>
                <w:rFonts w:hint="default" w:ascii="Times New Roman" w:hAnsi="Times New Roman" w:cs="Times New Roman"/>
                <w:color w:val="000000" w:themeColor="text1"/>
                <w:sz w:val="24"/>
              </w:rPr>
              <w:t>，用地属于规划的工业用地，不涉及淮北市生态保护红线区域和一般生态空间。</w:t>
            </w:r>
          </w:p>
          <w:p w14:paraId="49BE9AE0">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left"/>
              <w:textAlignment w:val="auto"/>
              <w:rPr>
                <w:rFonts w:hint="default" w:ascii="Times New Roman" w:hAnsi="Times New Roman" w:cs="Times New Roman"/>
                <w:b/>
                <w:bCs/>
                <w:color w:val="000000" w:themeColor="text1"/>
                <w:sz w:val="24"/>
              </w:rPr>
            </w:pPr>
            <w:r>
              <w:rPr>
                <w:rFonts w:hint="default" w:ascii="Times New Roman" w:hAnsi="Times New Roman" w:cs="Times New Roman"/>
                <w:b/>
                <w:bCs/>
                <w:color w:val="000000" w:themeColor="text1"/>
                <w:sz w:val="24"/>
              </w:rPr>
              <w:t>（2）环境质量底线</w:t>
            </w:r>
          </w:p>
          <w:p w14:paraId="72F9CE23">
            <w:pPr>
              <w:autoSpaceDE w:val="0"/>
              <w:autoSpaceDN w:val="0"/>
              <w:adjustRightInd w:val="0"/>
              <w:snapToGrid w:val="0"/>
              <w:spacing w:line="360" w:lineRule="auto"/>
              <w:ind w:firstLine="480" w:firstLineChars="200"/>
              <w:rPr>
                <w:rFonts w:hint="eastAsia" w:ascii="Times New Roman" w:hAnsi="Times New Roman" w:cs="Times New Roman"/>
                <w:color w:val="000000"/>
                <w:kern w:val="0"/>
                <w:sz w:val="24"/>
                <w:szCs w:val="24"/>
                <w:lang w:val="en-US" w:eastAsia="zh-CN"/>
              </w:rPr>
            </w:pPr>
            <w:r>
              <w:rPr>
                <w:rFonts w:hint="eastAsia" w:ascii="Times New Roman" w:hAnsi="Times New Roman" w:cs="Times New Roman"/>
                <w:color w:val="000000"/>
                <w:kern w:val="0"/>
                <w:sz w:val="24"/>
                <w:szCs w:val="24"/>
                <w:lang w:val="en-US" w:eastAsia="zh-CN"/>
              </w:rPr>
              <w:t>①环境空气质量底线及分区管控相符性分析</w:t>
            </w:r>
          </w:p>
          <w:p w14:paraId="43E5C318">
            <w:pPr>
              <w:numPr>
                <w:ilvl w:val="0"/>
                <w:numId w:val="0"/>
              </w:numPr>
              <w:autoSpaceDE w:val="0"/>
              <w:autoSpaceDN w:val="0"/>
              <w:adjustRightInd w:val="0"/>
              <w:snapToGrid w:val="0"/>
              <w:spacing w:line="360" w:lineRule="auto"/>
              <w:ind w:firstLine="480" w:firstLineChars="200"/>
              <w:rPr>
                <w:rFonts w:hint="eastAsia" w:ascii="Times New Roman" w:hAnsi="Times New Roman" w:cs="Times New Roman"/>
                <w:color w:val="000000"/>
                <w:kern w:val="0"/>
                <w:sz w:val="24"/>
                <w:szCs w:val="24"/>
                <w:lang w:val="en-US" w:eastAsia="zh-CN"/>
              </w:rPr>
            </w:pPr>
            <w:r>
              <w:rPr>
                <w:rFonts w:hint="eastAsia" w:ascii="Times New Roman" w:hAnsi="Times New Roman" w:cs="Times New Roman"/>
                <w:color w:val="000000"/>
                <w:kern w:val="0"/>
                <w:sz w:val="24"/>
                <w:szCs w:val="24"/>
                <w:lang w:val="en-US" w:eastAsia="zh-CN" w:bidi="ar-SA"/>
              </w:rPr>
              <w:t>A、</w:t>
            </w:r>
            <w:r>
              <w:rPr>
                <w:rFonts w:hint="eastAsia" w:ascii="Times New Roman" w:hAnsi="Times New Roman" w:cs="Times New Roman"/>
                <w:color w:val="000000"/>
                <w:kern w:val="0"/>
                <w:sz w:val="24"/>
                <w:szCs w:val="24"/>
                <w:lang w:val="en-US" w:eastAsia="zh-CN"/>
              </w:rPr>
              <w:t>环境空气质量底线</w:t>
            </w:r>
          </w:p>
          <w:p w14:paraId="30647866">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000000"/>
                <w:kern w:val="0"/>
                <w:sz w:val="24"/>
                <w:szCs w:val="24"/>
                <w:lang w:val="en-US" w:eastAsia="zh-CN"/>
              </w:rPr>
            </w:pPr>
            <w:r>
              <w:rPr>
                <w:rFonts w:hint="default" w:ascii="Times New Roman" w:hAnsi="Times New Roman" w:cs="Times New Roman"/>
                <w:color w:val="000000"/>
                <w:kern w:val="0"/>
                <w:sz w:val="24"/>
                <w:szCs w:val="24"/>
                <w:lang w:val="en-US" w:eastAsia="zh-CN"/>
              </w:rPr>
              <w:t>根据环境功能区划，项目所在地区域环境空气功能为二类区，根据《2024年淮北市环境质量公报》中的统计数据可知，淮北市2024年属于环境空气不达标城市，超标因子主要为PM</w:t>
            </w:r>
            <w:r>
              <w:rPr>
                <w:rFonts w:hint="default" w:ascii="Times New Roman" w:hAnsi="Times New Roman" w:cs="Times New Roman"/>
                <w:color w:val="000000"/>
                <w:kern w:val="0"/>
                <w:sz w:val="24"/>
                <w:szCs w:val="24"/>
                <w:vertAlign w:val="subscript"/>
                <w:lang w:val="en-US" w:eastAsia="zh-CN"/>
              </w:rPr>
              <w:t>2.5</w:t>
            </w:r>
            <w:r>
              <w:rPr>
                <w:rFonts w:hint="default" w:ascii="Times New Roman" w:hAnsi="Times New Roman" w:cs="Times New Roman"/>
                <w:color w:val="000000"/>
                <w:kern w:val="0"/>
                <w:sz w:val="24"/>
                <w:szCs w:val="24"/>
                <w:lang w:val="en-US" w:eastAsia="zh-CN"/>
              </w:rPr>
              <w:t>和臭氧等。</w:t>
            </w:r>
          </w:p>
          <w:p w14:paraId="5963FD60">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80" w:firstLineChars="200"/>
              <w:textAlignment w:val="auto"/>
              <w:rPr>
                <w:rFonts w:hint="eastAsia" w:ascii="Times New Roman" w:hAnsi="Times New Roman" w:cs="Times New Roman"/>
                <w:color w:val="000000"/>
                <w:kern w:val="0"/>
                <w:sz w:val="24"/>
                <w:szCs w:val="24"/>
                <w:lang w:val="en-US" w:eastAsia="zh-CN"/>
              </w:rPr>
            </w:pPr>
            <w:r>
              <w:rPr>
                <w:rFonts w:hint="eastAsia" w:ascii="Times New Roman" w:hAnsi="Times New Roman" w:cs="Times New Roman"/>
                <w:color w:val="000000"/>
                <w:kern w:val="0"/>
                <w:sz w:val="24"/>
                <w:szCs w:val="24"/>
                <w:lang w:val="en-US" w:eastAsia="zh-CN" w:bidi="ar-SA"/>
              </w:rPr>
              <w:t>B、</w:t>
            </w:r>
            <w:r>
              <w:rPr>
                <w:rFonts w:hint="eastAsia" w:ascii="Times New Roman" w:hAnsi="Times New Roman" w:cs="Times New Roman"/>
                <w:color w:val="000000"/>
                <w:kern w:val="0"/>
                <w:sz w:val="24"/>
                <w:szCs w:val="24"/>
                <w:lang w:val="en-US" w:eastAsia="zh-CN"/>
              </w:rPr>
              <w:t>大气环境分区管控</w:t>
            </w:r>
          </w:p>
          <w:p w14:paraId="59813D36">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Chars="0" w:firstLine="480" w:firstLineChars="200"/>
              <w:textAlignment w:val="auto"/>
              <w:rPr>
                <w:rFonts w:hint="eastAsia" w:ascii="Times New Roman" w:hAnsi="Times New Roman" w:cs="Times New Roman"/>
                <w:color w:val="000000"/>
                <w:kern w:val="0"/>
                <w:sz w:val="24"/>
                <w:szCs w:val="24"/>
                <w:lang w:val="en-US" w:eastAsia="zh-CN"/>
              </w:rPr>
            </w:pPr>
            <w:r>
              <w:rPr>
                <w:rFonts w:hint="default" w:ascii="Times New Roman" w:hAnsi="Times New Roman" w:cs="Times New Roman"/>
                <w:color w:val="000000"/>
                <w:kern w:val="0"/>
                <w:sz w:val="24"/>
                <w:szCs w:val="24"/>
                <w:lang w:val="en-US" w:eastAsia="zh-CN"/>
              </w:rPr>
              <w:t>根据《安徽省淮北市“三线一单”文本》及淮北市大气环境分区管控图，本项目位于高排放重点管控区</w:t>
            </w:r>
            <w:r>
              <w:rPr>
                <w:rFonts w:hint="eastAsia" w:ascii="Times New Roman" w:hAnsi="Times New Roman" w:cs="Times New Roman"/>
                <w:color w:val="000000"/>
                <w:kern w:val="0"/>
                <w:sz w:val="24"/>
                <w:szCs w:val="24"/>
                <w:lang w:val="en-US" w:eastAsia="zh-CN"/>
              </w:rPr>
              <w:t>，项目与大气环境分区管控要求符合性详见下表。</w:t>
            </w:r>
          </w:p>
          <w:p w14:paraId="0CDA3E45">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bCs/>
                <w:color w:val="000000"/>
                <w:kern w:val="0"/>
                <w:sz w:val="24"/>
                <w:szCs w:val="24"/>
                <w:lang w:val="en-US" w:eastAsia="zh-CN"/>
              </w:rPr>
            </w:pPr>
            <w:r>
              <w:rPr>
                <w:rFonts w:hint="eastAsia" w:ascii="Times New Roman" w:hAnsi="Times New Roman" w:cs="Times New Roman"/>
                <w:b/>
                <w:bCs/>
                <w:color w:val="000000"/>
                <w:kern w:val="0"/>
                <w:sz w:val="24"/>
                <w:szCs w:val="24"/>
                <w:lang w:val="en-US" w:eastAsia="zh-CN"/>
              </w:rPr>
              <w:t>表1-2  项目与大气环境分区管控要求符合性分析一览表</w:t>
            </w:r>
          </w:p>
          <w:tbl>
            <w:tblPr>
              <w:tblStyle w:val="3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0"/>
              <w:gridCol w:w="2364"/>
              <w:gridCol w:w="3721"/>
              <w:gridCol w:w="642"/>
            </w:tblGrid>
            <w:tr w14:paraId="4DA46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3" w:type="pct"/>
                  <w:noWrap w:val="0"/>
                  <w:vAlign w:val="center"/>
                </w:tcPr>
                <w:p w14:paraId="460EFA8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kern w:val="0"/>
                      <w:sz w:val="21"/>
                      <w:szCs w:val="21"/>
                      <w:vertAlign w:val="baseline"/>
                      <w:lang w:val="en-US" w:eastAsia="zh-CN"/>
                    </w:rPr>
                  </w:pPr>
                  <w:r>
                    <w:rPr>
                      <w:rFonts w:hint="eastAsia" w:ascii="Times New Roman" w:hAnsi="Times New Roman" w:cs="Times New Roman"/>
                      <w:color w:val="000000"/>
                      <w:kern w:val="0"/>
                      <w:sz w:val="21"/>
                      <w:szCs w:val="21"/>
                      <w:vertAlign w:val="baseline"/>
                      <w:lang w:val="en-US" w:eastAsia="zh-CN"/>
                    </w:rPr>
                    <w:t>管控单元分类</w:t>
                  </w:r>
                </w:p>
              </w:tc>
              <w:tc>
                <w:tcPr>
                  <w:tcW w:w="1615" w:type="pct"/>
                  <w:noWrap w:val="0"/>
                  <w:vAlign w:val="center"/>
                </w:tcPr>
                <w:p w14:paraId="18FC3B24">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kern w:val="0"/>
                      <w:sz w:val="21"/>
                      <w:szCs w:val="21"/>
                      <w:vertAlign w:val="baseline"/>
                      <w:lang w:val="en-US" w:eastAsia="zh-CN"/>
                    </w:rPr>
                  </w:pPr>
                  <w:r>
                    <w:rPr>
                      <w:rFonts w:hint="eastAsia" w:ascii="Times New Roman" w:hAnsi="Times New Roman" w:cs="Times New Roman"/>
                      <w:color w:val="000000"/>
                      <w:kern w:val="0"/>
                      <w:sz w:val="21"/>
                      <w:szCs w:val="21"/>
                      <w:vertAlign w:val="baseline"/>
                      <w:lang w:val="en-US" w:eastAsia="zh-CN"/>
                    </w:rPr>
                    <w:t>环境管控要求</w:t>
                  </w:r>
                </w:p>
              </w:tc>
              <w:tc>
                <w:tcPr>
                  <w:tcW w:w="2542" w:type="pct"/>
                  <w:noWrap w:val="0"/>
                  <w:vAlign w:val="center"/>
                </w:tcPr>
                <w:p w14:paraId="1285E6BA">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kern w:val="0"/>
                      <w:sz w:val="21"/>
                      <w:szCs w:val="21"/>
                      <w:vertAlign w:val="baseline"/>
                      <w:lang w:val="en-US" w:eastAsia="zh-CN"/>
                    </w:rPr>
                  </w:pPr>
                  <w:r>
                    <w:rPr>
                      <w:rFonts w:hint="eastAsia" w:ascii="Times New Roman" w:hAnsi="Times New Roman" w:cs="Times New Roman"/>
                      <w:color w:val="000000"/>
                      <w:kern w:val="0"/>
                      <w:sz w:val="21"/>
                      <w:szCs w:val="21"/>
                      <w:vertAlign w:val="baseline"/>
                      <w:lang w:val="en-US" w:eastAsia="zh-CN"/>
                    </w:rPr>
                    <w:t>本项目情况</w:t>
                  </w:r>
                </w:p>
              </w:tc>
              <w:tc>
                <w:tcPr>
                  <w:tcW w:w="438" w:type="pct"/>
                  <w:noWrap w:val="0"/>
                  <w:vAlign w:val="center"/>
                </w:tcPr>
                <w:p w14:paraId="68A20B96">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000000"/>
                      <w:kern w:val="0"/>
                      <w:sz w:val="21"/>
                      <w:szCs w:val="21"/>
                      <w:vertAlign w:val="baseline"/>
                      <w:lang w:val="en-US" w:eastAsia="zh-CN"/>
                    </w:rPr>
                  </w:pPr>
                  <w:r>
                    <w:rPr>
                      <w:rFonts w:hint="eastAsia" w:ascii="Times New Roman" w:hAnsi="Times New Roman" w:cs="Times New Roman"/>
                      <w:color w:val="000000"/>
                      <w:kern w:val="0"/>
                      <w:sz w:val="21"/>
                      <w:szCs w:val="21"/>
                      <w:vertAlign w:val="baseline"/>
                      <w:lang w:val="en-US" w:eastAsia="zh-CN"/>
                    </w:rPr>
                    <w:t>符合性</w:t>
                  </w:r>
                </w:p>
              </w:tc>
            </w:tr>
            <w:tr w14:paraId="389CE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3" w:type="pct"/>
                  <w:noWrap w:val="0"/>
                  <w:vAlign w:val="center"/>
                </w:tcPr>
                <w:p w14:paraId="1CA2D0B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kern w:val="0"/>
                      <w:sz w:val="21"/>
                      <w:szCs w:val="21"/>
                      <w:vertAlign w:val="baseline"/>
                      <w:lang w:val="en-US" w:eastAsia="zh-CN"/>
                    </w:rPr>
                  </w:pPr>
                  <w:r>
                    <w:rPr>
                      <w:rFonts w:hint="eastAsia" w:ascii="Times New Roman" w:hAnsi="Times New Roman" w:cs="Times New Roman"/>
                      <w:color w:val="000000"/>
                      <w:kern w:val="0"/>
                      <w:sz w:val="21"/>
                      <w:szCs w:val="21"/>
                      <w:vertAlign w:val="baseline"/>
                      <w:lang w:val="en-US" w:eastAsia="zh-CN"/>
                    </w:rPr>
                    <w:t>大气重点管控区</w:t>
                  </w:r>
                </w:p>
              </w:tc>
              <w:tc>
                <w:tcPr>
                  <w:tcW w:w="1615" w:type="pct"/>
                  <w:noWrap w:val="0"/>
                  <w:vAlign w:val="center"/>
                </w:tcPr>
                <w:p w14:paraId="5C6C7DC2">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000000"/>
                      <w:kern w:val="0"/>
                      <w:sz w:val="21"/>
                      <w:szCs w:val="21"/>
                      <w:vertAlign w:val="baseline"/>
                    </w:rPr>
                  </w:pPr>
                  <w:r>
                    <w:rPr>
                      <w:rFonts w:hint="default" w:ascii="Times New Roman" w:hAnsi="Times New Roman" w:cs="Times New Roman"/>
                      <w:color w:val="000000"/>
                      <w:kern w:val="0"/>
                      <w:sz w:val="21"/>
                      <w:szCs w:val="21"/>
                      <w:vertAlign w:val="baseline"/>
                    </w:rPr>
                    <w:t>落实《安徽省大气污染防治条例》《安徽省碳达峰实施方案的通知》《安徽省工业领域碳达峰实施方案》《安徽省城乡建设领域碳达峰实施方案》《关于进一步加强新上“两高”项目管理的通知》《安徽省挥发性有机物污染整治工作方案》《关于进一步加强建设项目新增大气污染物总量控制指标管理工作的通知》《安徽省“十四五”节能减排实施方案》《深入打好污染防治攻坚战行动方案》《淮北市“十四五”节能减排实施方案》要求；严格目标实施计划，加强环境监管，促进生态环境质量好转；新建、改建和扩建项目大气污染物实施“倍量替代”，执行特别排放标准的行业实施提标升级改造。</w:t>
                  </w:r>
                </w:p>
              </w:tc>
              <w:tc>
                <w:tcPr>
                  <w:tcW w:w="2542" w:type="pct"/>
                  <w:noWrap w:val="0"/>
                  <w:vAlign w:val="center"/>
                </w:tcPr>
                <w:p w14:paraId="1232B02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kern w:val="0"/>
                      <w:sz w:val="21"/>
                      <w:szCs w:val="21"/>
                      <w:vertAlign w:val="baseline"/>
                      <w:lang w:val="en-US" w:eastAsia="zh-CN"/>
                    </w:rPr>
                  </w:pPr>
                  <w:r>
                    <w:rPr>
                      <w:rFonts w:hint="default" w:ascii="Times New Roman" w:hAnsi="Times New Roman" w:cs="Times New Roman"/>
                      <w:color w:val="000000"/>
                      <w:kern w:val="0"/>
                      <w:sz w:val="21"/>
                      <w:szCs w:val="21"/>
                      <w:vertAlign w:val="baseline"/>
                    </w:rPr>
                    <w:t>项目浇筑、固化废气经负压收集后通过干式过滤棉+二级活性炭处理后经排气筒排放，焊接烟尘较少，采用移动式焊烟净化器处理</w:t>
                  </w:r>
                  <w:r>
                    <w:rPr>
                      <w:rFonts w:hint="eastAsia" w:ascii="Times New Roman" w:hAnsi="Times New Roman" w:cs="Times New Roman"/>
                      <w:color w:val="000000"/>
                      <w:kern w:val="0"/>
                      <w:sz w:val="21"/>
                      <w:szCs w:val="21"/>
                      <w:vertAlign w:val="baseline"/>
                      <w:lang w:val="en-US" w:eastAsia="zh-CN"/>
                    </w:rPr>
                    <w:t>，项目污染物排放执行“倍量替代”原则。</w:t>
                  </w:r>
                </w:p>
              </w:tc>
              <w:tc>
                <w:tcPr>
                  <w:tcW w:w="438" w:type="pct"/>
                  <w:noWrap w:val="0"/>
                  <w:vAlign w:val="center"/>
                </w:tcPr>
                <w:p w14:paraId="15A9F5F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000000"/>
                      <w:kern w:val="0"/>
                      <w:sz w:val="21"/>
                      <w:szCs w:val="21"/>
                      <w:vertAlign w:val="baseline"/>
                      <w:lang w:val="en-US" w:eastAsia="zh-CN"/>
                    </w:rPr>
                  </w:pPr>
                  <w:r>
                    <w:rPr>
                      <w:rFonts w:hint="eastAsia" w:ascii="Times New Roman" w:hAnsi="Times New Roman" w:cs="Times New Roman"/>
                      <w:color w:val="000000"/>
                      <w:kern w:val="0"/>
                      <w:sz w:val="21"/>
                      <w:szCs w:val="21"/>
                      <w:vertAlign w:val="baseline"/>
                      <w:lang w:val="en-US" w:eastAsia="zh-CN"/>
                    </w:rPr>
                    <w:t>符合</w:t>
                  </w:r>
                </w:p>
              </w:tc>
            </w:tr>
          </w:tbl>
          <w:p w14:paraId="67AA2359">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cs="Times New Roman"/>
                <w:color w:val="000000"/>
                <w:kern w:val="0"/>
                <w:sz w:val="24"/>
                <w:szCs w:val="24"/>
                <w:lang w:val="en-US" w:eastAsia="zh-CN"/>
              </w:rPr>
            </w:pPr>
            <w:r>
              <w:rPr>
                <w:rFonts w:hint="eastAsia" w:ascii="Times New Roman" w:hAnsi="Times New Roman" w:cs="Times New Roman"/>
                <w:color w:val="000000"/>
                <w:kern w:val="0"/>
                <w:sz w:val="24"/>
                <w:szCs w:val="24"/>
                <w:lang w:val="en-US" w:eastAsia="zh-CN"/>
              </w:rPr>
              <w:t>②水环境质量底线及分区管控相符性分析</w:t>
            </w:r>
          </w:p>
          <w:p w14:paraId="4B3F89B6">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cs="Times New Roman"/>
                <w:color w:val="000000"/>
                <w:kern w:val="0"/>
                <w:sz w:val="24"/>
                <w:szCs w:val="24"/>
                <w:lang w:val="en-US" w:eastAsia="zh-CN"/>
              </w:rPr>
            </w:pPr>
            <w:r>
              <w:rPr>
                <w:rFonts w:hint="eastAsia" w:ascii="Times New Roman" w:hAnsi="Times New Roman" w:cs="Times New Roman"/>
                <w:color w:val="000000"/>
                <w:kern w:val="0"/>
                <w:sz w:val="24"/>
                <w:szCs w:val="24"/>
                <w:lang w:val="en-US" w:eastAsia="zh-CN"/>
              </w:rPr>
              <w:t>A、水环境质量底线</w:t>
            </w:r>
          </w:p>
          <w:p w14:paraId="741E41EB">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color w:val="000000"/>
                <w:kern w:val="0"/>
                <w:sz w:val="24"/>
                <w:szCs w:val="24"/>
                <w:lang w:val="en-US" w:eastAsia="zh-CN"/>
              </w:rPr>
            </w:pPr>
            <w:r>
              <w:rPr>
                <w:rFonts w:hint="eastAsia" w:ascii="Times New Roman" w:hAnsi="Times New Roman" w:cs="Times New Roman"/>
                <w:color w:val="000000"/>
                <w:kern w:val="0"/>
                <w:sz w:val="24"/>
                <w:szCs w:val="24"/>
                <w:lang w:val="en-US" w:eastAsia="zh-CN"/>
              </w:rPr>
              <w:t>本项目纳污水体为龙河，根据引用现状监测结果，本项目区域地表水龙河水质能满足《地表水环境质量标准》(GB3838-2002)中IV类水标准。</w:t>
            </w:r>
          </w:p>
          <w:p w14:paraId="1779A633">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cs="Times New Roman"/>
                <w:color w:val="000000"/>
                <w:kern w:val="0"/>
                <w:sz w:val="24"/>
                <w:szCs w:val="24"/>
                <w:lang w:val="en-US" w:eastAsia="zh-CN"/>
              </w:rPr>
            </w:pPr>
            <w:r>
              <w:rPr>
                <w:rFonts w:hint="eastAsia" w:ascii="Times New Roman" w:hAnsi="Times New Roman" w:cs="Times New Roman"/>
                <w:color w:val="000000"/>
                <w:kern w:val="0"/>
                <w:sz w:val="24"/>
                <w:szCs w:val="24"/>
                <w:lang w:val="en-US" w:eastAsia="zh-CN"/>
              </w:rPr>
              <w:t>B、水环境分区管控</w:t>
            </w:r>
          </w:p>
          <w:p w14:paraId="454A8F48">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cs="Times New Roman"/>
                <w:color w:val="000000"/>
                <w:kern w:val="0"/>
                <w:sz w:val="24"/>
                <w:szCs w:val="24"/>
                <w:lang w:val="en-US" w:eastAsia="zh-CN"/>
              </w:rPr>
            </w:pPr>
            <w:r>
              <w:rPr>
                <w:rFonts w:hint="eastAsia" w:ascii="Times New Roman" w:hAnsi="Times New Roman" w:cs="Times New Roman"/>
                <w:color w:val="000000"/>
                <w:kern w:val="0"/>
                <w:sz w:val="24"/>
                <w:szCs w:val="24"/>
                <w:lang w:val="en-US" w:eastAsia="zh-CN"/>
              </w:rPr>
              <w:t>根据《淮北市“三线一单”文本》及淮北市水环境分区管控图，本项目位于工业污染重点管控区，项目与水环境分区管控要求符合性详见下表。</w:t>
            </w:r>
          </w:p>
          <w:p w14:paraId="39F37719">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bCs/>
                <w:color w:val="000000"/>
                <w:kern w:val="0"/>
                <w:sz w:val="24"/>
                <w:szCs w:val="24"/>
                <w:lang w:val="en-US" w:eastAsia="zh-CN"/>
              </w:rPr>
            </w:pPr>
            <w:r>
              <w:rPr>
                <w:rFonts w:hint="eastAsia" w:ascii="Times New Roman" w:hAnsi="Times New Roman" w:cs="Times New Roman"/>
                <w:b/>
                <w:bCs/>
                <w:color w:val="000000"/>
                <w:kern w:val="0"/>
                <w:sz w:val="24"/>
                <w:szCs w:val="24"/>
                <w:lang w:val="en-US" w:eastAsia="zh-CN"/>
              </w:rPr>
              <w:t>表1-3  项目与水环境分区管控要求符合性分析一览表</w:t>
            </w:r>
          </w:p>
          <w:tbl>
            <w:tblPr>
              <w:tblStyle w:val="3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9"/>
              <w:gridCol w:w="2365"/>
              <w:gridCol w:w="3738"/>
              <w:gridCol w:w="625"/>
            </w:tblGrid>
            <w:tr w14:paraId="06C01D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2" w:type="pct"/>
                  <w:noWrap w:val="0"/>
                  <w:vAlign w:val="center"/>
                </w:tcPr>
                <w:p w14:paraId="5B3B368C">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kern w:val="0"/>
                      <w:sz w:val="21"/>
                      <w:szCs w:val="21"/>
                      <w:vertAlign w:val="baseline"/>
                      <w:lang w:val="en-US" w:eastAsia="zh-CN"/>
                    </w:rPr>
                  </w:pPr>
                  <w:r>
                    <w:rPr>
                      <w:rFonts w:hint="eastAsia" w:ascii="Times New Roman" w:hAnsi="Times New Roman" w:cs="Times New Roman"/>
                      <w:color w:val="000000"/>
                      <w:kern w:val="0"/>
                      <w:sz w:val="21"/>
                      <w:szCs w:val="21"/>
                      <w:vertAlign w:val="baseline"/>
                      <w:lang w:val="en-US" w:eastAsia="zh-CN"/>
                    </w:rPr>
                    <w:t>管控单元分类</w:t>
                  </w:r>
                </w:p>
              </w:tc>
              <w:tc>
                <w:tcPr>
                  <w:tcW w:w="1615" w:type="pct"/>
                  <w:noWrap w:val="0"/>
                  <w:vAlign w:val="center"/>
                </w:tcPr>
                <w:p w14:paraId="292DCD1C">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kern w:val="0"/>
                      <w:sz w:val="21"/>
                      <w:szCs w:val="21"/>
                      <w:vertAlign w:val="baseline"/>
                      <w:lang w:val="en-US" w:eastAsia="zh-CN"/>
                    </w:rPr>
                  </w:pPr>
                  <w:r>
                    <w:rPr>
                      <w:rFonts w:hint="eastAsia" w:ascii="Times New Roman" w:hAnsi="Times New Roman" w:cs="Times New Roman"/>
                      <w:color w:val="000000"/>
                      <w:kern w:val="0"/>
                      <w:sz w:val="21"/>
                      <w:szCs w:val="21"/>
                      <w:vertAlign w:val="baseline"/>
                      <w:lang w:val="en-US" w:eastAsia="zh-CN"/>
                    </w:rPr>
                    <w:t>环境管控要求</w:t>
                  </w:r>
                </w:p>
              </w:tc>
              <w:tc>
                <w:tcPr>
                  <w:tcW w:w="2553" w:type="pct"/>
                  <w:noWrap w:val="0"/>
                  <w:vAlign w:val="center"/>
                </w:tcPr>
                <w:p w14:paraId="195BFBE2">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kern w:val="0"/>
                      <w:sz w:val="21"/>
                      <w:szCs w:val="21"/>
                      <w:vertAlign w:val="baseline"/>
                      <w:lang w:val="en-US" w:eastAsia="zh-CN"/>
                    </w:rPr>
                  </w:pPr>
                  <w:r>
                    <w:rPr>
                      <w:rFonts w:hint="eastAsia" w:ascii="Times New Roman" w:hAnsi="Times New Roman" w:cs="Times New Roman"/>
                      <w:color w:val="000000"/>
                      <w:kern w:val="0"/>
                      <w:sz w:val="21"/>
                      <w:szCs w:val="21"/>
                      <w:vertAlign w:val="baseline"/>
                      <w:lang w:val="en-US" w:eastAsia="zh-CN"/>
                    </w:rPr>
                    <w:t>本项目情况</w:t>
                  </w:r>
                </w:p>
              </w:tc>
              <w:tc>
                <w:tcPr>
                  <w:tcW w:w="427" w:type="pct"/>
                  <w:noWrap w:val="0"/>
                  <w:vAlign w:val="center"/>
                </w:tcPr>
                <w:p w14:paraId="38B9367C">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000000"/>
                      <w:kern w:val="0"/>
                      <w:sz w:val="21"/>
                      <w:szCs w:val="21"/>
                      <w:vertAlign w:val="baseline"/>
                      <w:lang w:val="en-US" w:eastAsia="zh-CN"/>
                    </w:rPr>
                  </w:pPr>
                  <w:r>
                    <w:rPr>
                      <w:rFonts w:hint="eastAsia" w:ascii="Times New Roman" w:hAnsi="Times New Roman" w:cs="Times New Roman"/>
                      <w:color w:val="000000"/>
                      <w:kern w:val="0"/>
                      <w:sz w:val="21"/>
                      <w:szCs w:val="21"/>
                      <w:vertAlign w:val="baseline"/>
                      <w:lang w:val="en-US" w:eastAsia="zh-CN"/>
                    </w:rPr>
                    <w:t>符合性</w:t>
                  </w:r>
                </w:p>
              </w:tc>
            </w:tr>
            <w:tr w14:paraId="48E21F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2" w:type="pct"/>
                  <w:noWrap w:val="0"/>
                  <w:vAlign w:val="center"/>
                </w:tcPr>
                <w:p w14:paraId="6972135E">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color w:val="000000"/>
                      <w:kern w:val="0"/>
                      <w:sz w:val="21"/>
                      <w:szCs w:val="21"/>
                      <w:vertAlign w:val="baseline"/>
                      <w:lang w:val="en-US" w:eastAsia="zh-CN"/>
                    </w:rPr>
                  </w:pPr>
                  <w:r>
                    <w:rPr>
                      <w:rFonts w:hint="eastAsia" w:ascii="Times New Roman" w:hAnsi="Times New Roman" w:cs="Times New Roman"/>
                      <w:color w:val="000000"/>
                      <w:kern w:val="0"/>
                      <w:sz w:val="21"/>
                      <w:szCs w:val="21"/>
                      <w:vertAlign w:val="baseline"/>
                      <w:lang w:val="en-US" w:eastAsia="zh-CN"/>
                    </w:rPr>
                    <w:t>水环境</w:t>
                  </w:r>
                </w:p>
                <w:p w14:paraId="6C5B60CC">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color w:val="000000"/>
                      <w:kern w:val="0"/>
                      <w:sz w:val="21"/>
                      <w:szCs w:val="21"/>
                      <w:vertAlign w:val="baseline"/>
                      <w:lang w:val="en-US" w:eastAsia="zh-CN"/>
                    </w:rPr>
                  </w:pPr>
                  <w:r>
                    <w:rPr>
                      <w:rFonts w:hint="eastAsia" w:ascii="Times New Roman" w:hAnsi="Times New Roman" w:cs="Times New Roman"/>
                      <w:color w:val="000000"/>
                      <w:kern w:val="0"/>
                      <w:sz w:val="21"/>
                      <w:szCs w:val="21"/>
                      <w:vertAlign w:val="baseline"/>
                      <w:lang w:val="en-US" w:eastAsia="zh-CN"/>
                    </w:rPr>
                    <w:t>重点管</w:t>
                  </w:r>
                </w:p>
                <w:p w14:paraId="02CDC1D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kern w:val="0"/>
                      <w:sz w:val="21"/>
                      <w:szCs w:val="21"/>
                      <w:vertAlign w:val="baseline"/>
                      <w:lang w:val="en-US" w:eastAsia="zh-CN"/>
                    </w:rPr>
                  </w:pPr>
                  <w:r>
                    <w:rPr>
                      <w:rFonts w:hint="eastAsia" w:ascii="Times New Roman" w:hAnsi="Times New Roman" w:cs="Times New Roman"/>
                      <w:color w:val="000000"/>
                      <w:kern w:val="0"/>
                      <w:sz w:val="21"/>
                      <w:szCs w:val="21"/>
                      <w:vertAlign w:val="baseline"/>
                      <w:lang w:val="en-US" w:eastAsia="zh-CN"/>
                    </w:rPr>
                    <w:t>控区</w:t>
                  </w:r>
                </w:p>
              </w:tc>
              <w:tc>
                <w:tcPr>
                  <w:tcW w:w="1615" w:type="pct"/>
                  <w:noWrap w:val="0"/>
                  <w:vAlign w:val="center"/>
                </w:tcPr>
                <w:p w14:paraId="0D3740D1">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000000"/>
                      <w:kern w:val="0"/>
                      <w:sz w:val="21"/>
                      <w:szCs w:val="21"/>
                      <w:vertAlign w:val="baseline"/>
                    </w:rPr>
                  </w:pPr>
                  <w:r>
                    <w:rPr>
                      <w:rFonts w:hint="default" w:ascii="Times New Roman" w:hAnsi="Times New Roman" w:cs="Times New Roman"/>
                      <w:color w:val="000000"/>
                      <w:kern w:val="0"/>
                      <w:sz w:val="21"/>
                      <w:szCs w:val="21"/>
                      <w:vertAlign w:val="baseline"/>
                    </w:rPr>
                    <w:t>依据《中华人民共和国水污染防治法》《水污染防治行动计划》《安徽省水污染防治工作方案》及淮北市水污染防治工作方案对重点管控区实施管控;依据淮北市相关开发区规划、规划环评及审查意见相关要求对开发区实施管控:落实《安徽省“十四五”生态环境保护规划》《安徽省“十四五”节能减排实施方案》《淮北市“十四五”生态环境保护规划》《淮北市“十四五”水生态环境保护专项规划》《淮北市“十四五”节能减排方案》《淮北市水污染防治工作方案》等要求</w:t>
                  </w:r>
                  <w:r>
                    <w:rPr>
                      <w:rFonts w:hint="eastAsia" w:ascii="Times New Roman" w:hAnsi="Times New Roman" w:cs="Times New Roman"/>
                      <w:color w:val="000000"/>
                      <w:kern w:val="0"/>
                      <w:sz w:val="21"/>
                      <w:szCs w:val="21"/>
                      <w:vertAlign w:val="baseline"/>
                      <w:lang w:eastAsia="zh-CN"/>
                    </w:rPr>
                    <w:t>：</w:t>
                  </w:r>
                  <w:r>
                    <w:rPr>
                      <w:rFonts w:hint="default" w:ascii="Times New Roman" w:hAnsi="Times New Roman" w:cs="Times New Roman"/>
                      <w:color w:val="000000"/>
                      <w:kern w:val="0"/>
                      <w:sz w:val="21"/>
                      <w:szCs w:val="21"/>
                      <w:vertAlign w:val="baseline"/>
                    </w:rPr>
                    <w:t>新建、改建和扩建项目水污染物实施“等量替代”</w:t>
                  </w:r>
                </w:p>
              </w:tc>
              <w:tc>
                <w:tcPr>
                  <w:tcW w:w="2553" w:type="pct"/>
                  <w:noWrap w:val="0"/>
                  <w:vAlign w:val="center"/>
                </w:tcPr>
                <w:p w14:paraId="75450183">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kern w:val="0"/>
                      <w:sz w:val="21"/>
                      <w:szCs w:val="21"/>
                      <w:vertAlign w:val="baseline"/>
                      <w:lang w:val="en-US" w:eastAsia="zh-CN"/>
                    </w:rPr>
                  </w:pPr>
                  <w:r>
                    <w:rPr>
                      <w:rFonts w:hint="default" w:ascii="Times New Roman" w:hAnsi="Times New Roman" w:cs="Times New Roman"/>
                      <w:color w:val="000000"/>
                      <w:kern w:val="0"/>
                      <w:sz w:val="21"/>
                      <w:szCs w:val="21"/>
                      <w:vertAlign w:val="baseline"/>
                    </w:rPr>
                    <w:t>项目营运期主要为生活用水，取自市政</w:t>
                  </w:r>
                  <w:r>
                    <w:rPr>
                      <w:rFonts w:hint="eastAsia" w:ascii="Times New Roman" w:hAnsi="Times New Roman" w:cs="Times New Roman"/>
                      <w:color w:val="000000"/>
                      <w:kern w:val="0"/>
                      <w:sz w:val="21"/>
                      <w:szCs w:val="21"/>
                      <w:vertAlign w:val="baseline"/>
                      <w:lang w:val="en-US" w:eastAsia="zh-CN"/>
                    </w:rPr>
                    <w:t>供水管网</w:t>
                  </w:r>
                  <w:r>
                    <w:rPr>
                      <w:rFonts w:hint="default" w:ascii="Times New Roman" w:hAnsi="Times New Roman" w:cs="Times New Roman"/>
                      <w:color w:val="000000"/>
                      <w:kern w:val="0"/>
                      <w:sz w:val="21"/>
                      <w:szCs w:val="21"/>
                      <w:vertAlign w:val="baseline"/>
                    </w:rPr>
                    <w:t>，不取用地下水，符合城乡规划和土地利用总体规划。项目生活污水经化粪池预处理后排入园区污水管网</w:t>
                  </w:r>
                  <w:r>
                    <w:rPr>
                      <w:rFonts w:hint="eastAsia" w:ascii="Times New Roman" w:hAnsi="Times New Roman" w:cs="Times New Roman"/>
                      <w:color w:val="000000"/>
                      <w:kern w:val="0"/>
                      <w:sz w:val="21"/>
                      <w:szCs w:val="21"/>
                      <w:vertAlign w:val="baseline"/>
                      <w:lang w:val="en-US" w:eastAsia="zh-CN"/>
                    </w:rPr>
                    <w:t>，对区域环境影响较小。项目建设能够满足水环境重点管控区的管控要求。</w:t>
                  </w:r>
                </w:p>
              </w:tc>
              <w:tc>
                <w:tcPr>
                  <w:tcW w:w="427" w:type="pct"/>
                  <w:noWrap w:val="0"/>
                  <w:vAlign w:val="center"/>
                </w:tcPr>
                <w:p w14:paraId="4C02C4D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000000"/>
                      <w:kern w:val="0"/>
                      <w:sz w:val="21"/>
                      <w:szCs w:val="21"/>
                      <w:vertAlign w:val="baseline"/>
                      <w:lang w:val="en-US" w:eastAsia="zh-CN"/>
                    </w:rPr>
                  </w:pPr>
                  <w:r>
                    <w:rPr>
                      <w:rFonts w:hint="eastAsia" w:ascii="Times New Roman" w:hAnsi="Times New Roman" w:cs="Times New Roman"/>
                      <w:color w:val="000000"/>
                      <w:kern w:val="0"/>
                      <w:sz w:val="21"/>
                      <w:szCs w:val="21"/>
                      <w:vertAlign w:val="baseline"/>
                      <w:lang w:val="en-US" w:eastAsia="zh-CN"/>
                    </w:rPr>
                    <w:t>符合</w:t>
                  </w:r>
                </w:p>
              </w:tc>
            </w:tr>
          </w:tbl>
          <w:p w14:paraId="2D3EC33C">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color w:val="000000"/>
                <w:kern w:val="0"/>
                <w:sz w:val="24"/>
                <w:szCs w:val="24"/>
                <w:lang w:val="en-US" w:eastAsia="zh-CN"/>
              </w:rPr>
            </w:pPr>
            <w:r>
              <w:rPr>
                <w:rFonts w:hint="eastAsia" w:ascii="Times New Roman" w:hAnsi="Times New Roman" w:eastAsia="宋体" w:cs="Times New Roman"/>
                <w:color w:val="000000"/>
                <w:kern w:val="0"/>
                <w:sz w:val="24"/>
                <w:szCs w:val="24"/>
                <w:lang w:val="en-US" w:eastAsia="zh-CN"/>
              </w:rPr>
              <w:t>③土壤环境质量底线及分区管控相符性分析</w:t>
            </w:r>
          </w:p>
          <w:p w14:paraId="49AF8561">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color w:val="000000"/>
                <w:kern w:val="0"/>
                <w:sz w:val="24"/>
                <w:szCs w:val="24"/>
                <w:lang w:val="en-US" w:eastAsia="zh-CN"/>
              </w:rPr>
            </w:pPr>
            <w:r>
              <w:rPr>
                <w:rFonts w:hint="eastAsia" w:ascii="Times New Roman" w:hAnsi="Times New Roman" w:eastAsia="宋体" w:cs="Times New Roman"/>
                <w:color w:val="000000"/>
                <w:kern w:val="0"/>
                <w:sz w:val="24"/>
                <w:szCs w:val="24"/>
                <w:lang w:val="en-US" w:eastAsia="zh-CN"/>
              </w:rPr>
              <w:t>A、土壤环境质量底线</w:t>
            </w:r>
          </w:p>
          <w:p w14:paraId="27582940">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color w:val="000000"/>
                <w:kern w:val="0"/>
                <w:sz w:val="24"/>
                <w:szCs w:val="24"/>
                <w:lang w:val="en-US" w:eastAsia="zh-CN"/>
              </w:rPr>
            </w:pPr>
            <w:r>
              <w:rPr>
                <w:rFonts w:hint="eastAsia" w:ascii="Times New Roman" w:hAnsi="Times New Roman" w:eastAsia="宋体" w:cs="Times New Roman"/>
                <w:color w:val="000000"/>
                <w:kern w:val="0"/>
                <w:sz w:val="24"/>
                <w:szCs w:val="24"/>
                <w:lang w:val="en-US" w:eastAsia="zh-CN"/>
              </w:rPr>
              <w:t>根据《安徽淮北杜集经济开发区总体发展规划（2023-2035年）环境影响报告书》中监测数据，区域土壤环境质量均满足《土壤环境质量建设用地土壤污染风险管控标准(试行)》(GB36600-2018）中第二类用地筛选值要求。</w:t>
            </w:r>
          </w:p>
          <w:p w14:paraId="1FB1A065">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color w:val="000000"/>
                <w:kern w:val="0"/>
                <w:sz w:val="24"/>
                <w:szCs w:val="24"/>
                <w:lang w:val="en-US" w:eastAsia="zh-CN"/>
              </w:rPr>
            </w:pPr>
            <w:r>
              <w:rPr>
                <w:rFonts w:hint="eastAsia" w:ascii="Times New Roman" w:hAnsi="Times New Roman" w:eastAsia="宋体" w:cs="Times New Roman"/>
                <w:color w:val="000000"/>
                <w:kern w:val="0"/>
                <w:sz w:val="24"/>
                <w:szCs w:val="24"/>
                <w:lang w:val="en-US" w:eastAsia="zh-CN"/>
              </w:rPr>
              <w:t>B、土壤环境分区管控</w:t>
            </w:r>
          </w:p>
          <w:p w14:paraId="3E4A3D23">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color w:val="000000"/>
                <w:kern w:val="0"/>
                <w:sz w:val="24"/>
                <w:szCs w:val="24"/>
                <w:lang w:val="en-US" w:eastAsia="zh-CN"/>
              </w:rPr>
            </w:pPr>
            <w:r>
              <w:rPr>
                <w:rFonts w:hint="eastAsia" w:ascii="Times New Roman" w:hAnsi="Times New Roman" w:eastAsia="宋体" w:cs="Times New Roman"/>
                <w:color w:val="000000"/>
                <w:kern w:val="0"/>
                <w:sz w:val="24"/>
                <w:szCs w:val="24"/>
                <w:lang w:val="en-US" w:eastAsia="zh-CN"/>
              </w:rPr>
              <w:t>根据淮北市土壤环境分区管控，本项目位于土壤环境风险一般管控区。管控要求为：依据《中华人民共和国土壤污染防治法》《土壤污染防治行动计划》《安徽省土壤污染防治工作方案》《安徽省“十四五”环境保护规划》《安徽省“十四五土壤、地下水和农村生态环境保护规划》《安徽省重金属污染防控工作方案》《安徽省“十四五”危险废物工业固体废物污染环境防治规划》《安徽省土壤污染防治工作方案》《淮北市“十四五”土壤（地下水）和农村生态环境保护规划》等要求对一般管控区实施管控。本项目相符性分析：本项目为新建项目，将严格按照分区防渗要求建设。因此，本项目满足土壤环境风险一般防控区管控要求。</w:t>
            </w:r>
          </w:p>
          <w:p w14:paraId="393B253C">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color w:val="000000"/>
                <w:kern w:val="0"/>
                <w:sz w:val="24"/>
                <w:szCs w:val="24"/>
                <w:lang w:val="en-US" w:eastAsia="zh-CN"/>
              </w:rPr>
            </w:pPr>
            <w:r>
              <w:rPr>
                <w:rFonts w:hint="eastAsia" w:ascii="Times New Roman" w:hAnsi="Times New Roman" w:eastAsia="宋体" w:cs="Times New Roman"/>
                <w:color w:val="000000"/>
                <w:kern w:val="0"/>
                <w:sz w:val="24"/>
                <w:szCs w:val="24"/>
                <w:lang w:val="en-US" w:eastAsia="zh-CN"/>
              </w:rPr>
              <w:t>本项目运营过程产生的废气、废水、固废等均能合理处置，达标排放，不会突破所在区域环境质量底线。</w:t>
            </w:r>
          </w:p>
          <w:p w14:paraId="0EFE78AA">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left"/>
              <w:textAlignment w:val="auto"/>
              <w:rPr>
                <w:rFonts w:hint="default" w:ascii="Times New Roman" w:hAnsi="Times New Roman" w:eastAsia="宋体" w:cs="Times New Roman"/>
                <w:b/>
                <w:bCs/>
                <w:color w:val="000000"/>
                <w:kern w:val="0"/>
                <w:sz w:val="24"/>
                <w:szCs w:val="24"/>
                <w:lang w:val="en-US" w:eastAsia="zh-CN"/>
              </w:rPr>
            </w:pPr>
            <w:r>
              <w:rPr>
                <w:rFonts w:hint="eastAsia" w:ascii="Times New Roman" w:hAnsi="Times New Roman" w:eastAsia="宋体" w:cs="Times New Roman"/>
                <w:b/>
                <w:bCs/>
                <w:color w:val="000000"/>
                <w:kern w:val="0"/>
                <w:sz w:val="24"/>
                <w:szCs w:val="24"/>
                <w:lang w:val="en-US" w:eastAsia="zh-CN"/>
              </w:rPr>
              <w:t>（3）资源利用上限</w:t>
            </w:r>
          </w:p>
          <w:p w14:paraId="355D21E3">
            <w:pPr>
              <w:pStyle w:val="7"/>
              <w:keepNext w:val="0"/>
              <w:keepLines w:val="0"/>
              <w:pageBreakBefore w:val="0"/>
              <w:widowControl w:val="0"/>
              <w:kinsoku/>
              <w:wordWrap/>
              <w:overflowPunct/>
              <w:topLinePunct w:val="0"/>
              <w:bidi w:val="0"/>
              <w:spacing w:line="360" w:lineRule="auto"/>
              <w:ind w:firstLine="480" w:firstLineChars="200"/>
              <w:textAlignment w:val="auto"/>
              <w:rPr>
                <w:rFonts w:hint="eastAsia" w:ascii="Times New Roman" w:hAnsi="Times New Roman" w:eastAsia="宋体" w:cs="Times New Roman"/>
                <w:color w:val="000000"/>
                <w:spacing w:val="0"/>
                <w:kern w:val="0"/>
                <w:sz w:val="24"/>
                <w:szCs w:val="24"/>
                <w:lang w:val="en-US" w:eastAsia="zh-CN" w:bidi="ar-SA"/>
              </w:rPr>
            </w:pPr>
            <w:r>
              <w:rPr>
                <w:rFonts w:hint="eastAsia" w:ascii="Times New Roman" w:hAnsi="Times New Roman" w:eastAsia="宋体" w:cs="Times New Roman"/>
                <w:color w:val="000000"/>
                <w:spacing w:val="0"/>
                <w:kern w:val="0"/>
                <w:sz w:val="24"/>
                <w:szCs w:val="24"/>
                <w:lang w:val="en-US" w:eastAsia="zh-CN" w:bidi="ar-SA"/>
              </w:rPr>
              <w:t>本项目用水由当地市政管网供给，用电由当地市政供电统一供应，项目未新增新的用地资源，本项目用地属于淮北市杜集经济开发区内规划的工业用地，在开发区合理规划范围内，因此本项目不会突破当地资源利用上限。</w:t>
            </w:r>
          </w:p>
          <w:p w14:paraId="560678CA">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2" w:firstLineChars="200"/>
              <w:jc w:val="left"/>
              <w:textAlignment w:val="auto"/>
              <w:rPr>
                <w:rFonts w:hint="eastAsia" w:ascii="Times New Roman" w:hAnsi="Times New Roman" w:eastAsia="宋体" w:cs="Times New Roman"/>
                <w:b/>
                <w:bCs/>
                <w:color w:val="000000"/>
                <w:kern w:val="0"/>
                <w:sz w:val="24"/>
                <w:szCs w:val="24"/>
                <w:lang w:val="en-US" w:eastAsia="zh-CN"/>
              </w:rPr>
            </w:pPr>
            <w:r>
              <w:rPr>
                <w:rFonts w:hint="eastAsia" w:ascii="Times New Roman" w:hAnsi="Times New Roman" w:eastAsia="宋体" w:cs="Times New Roman"/>
                <w:b/>
                <w:bCs/>
                <w:color w:val="000000"/>
                <w:kern w:val="0"/>
                <w:sz w:val="24"/>
                <w:szCs w:val="24"/>
                <w:lang w:val="en-US" w:eastAsia="zh-CN" w:bidi="ar-SA"/>
              </w:rPr>
              <w:t>（4）</w:t>
            </w:r>
            <w:r>
              <w:rPr>
                <w:rFonts w:hint="eastAsia" w:ascii="Times New Roman" w:hAnsi="Times New Roman" w:eastAsia="宋体" w:cs="Times New Roman"/>
                <w:b/>
                <w:bCs/>
                <w:color w:val="000000"/>
                <w:kern w:val="0"/>
                <w:sz w:val="24"/>
                <w:szCs w:val="24"/>
                <w:lang w:val="en-US" w:eastAsia="zh-CN"/>
              </w:rPr>
              <w:t>环境准入清单</w:t>
            </w:r>
          </w:p>
          <w:p w14:paraId="753937B4">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color w:val="000000"/>
                <w:kern w:val="0"/>
                <w:sz w:val="24"/>
                <w:szCs w:val="24"/>
                <w:lang w:val="en-US" w:eastAsia="zh-CN"/>
              </w:rPr>
            </w:pPr>
            <w:r>
              <w:rPr>
                <w:rFonts w:hint="default" w:ascii="Times New Roman" w:hAnsi="Times New Roman" w:eastAsia="宋体" w:cs="Times New Roman"/>
                <w:color w:val="000000"/>
                <w:kern w:val="0"/>
                <w:sz w:val="24"/>
                <w:szCs w:val="24"/>
                <w:lang w:val="en-US" w:eastAsia="zh-CN"/>
              </w:rPr>
              <w:t>①与安徽省</w:t>
            </w:r>
            <w:r>
              <w:rPr>
                <w:rFonts w:hint="eastAsia" w:ascii="Times New Roman" w:hAnsi="Times New Roman" w:eastAsia="宋体" w:cs="Times New Roman"/>
                <w:color w:val="000000"/>
                <w:kern w:val="0"/>
                <w:sz w:val="24"/>
                <w:szCs w:val="24"/>
                <w:lang w:val="en-US" w:eastAsia="zh-CN"/>
              </w:rPr>
              <w:t>“</w:t>
            </w:r>
            <w:r>
              <w:rPr>
                <w:rFonts w:hint="default" w:ascii="Times New Roman" w:hAnsi="Times New Roman" w:eastAsia="宋体" w:cs="Times New Roman"/>
                <w:color w:val="000000"/>
                <w:kern w:val="0"/>
                <w:sz w:val="24"/>
                <w:szCs w:val="24"/>
                <w:lang w:val="en-US" w:eastAsia="zh-CN"/>
              </w:rPr>
              <w:t>三线一单</w:t>
            </w:r>
            <w:r>
              <w:rPr>
                <w:rFonts w:hint="eastAsia" w:ascii="Times New Roman" w:hAnsi="Times New Roman" w:eastAsia="宋体" w:cs="Times New Roman"/>
                <w:color w:val="000000"/>
                <w:kern w:val="0"/>
                <w:sz w:val="24"/>
                <w:szCs w:val="24"/>
                <w:lang w:val="en-US" w:eastAsia="zh-CN"/>
              </w:rPr>
              <w:t>”</w:t>
            </w:r>
            <w:r>
              <w:rPr>
                <w:rFonts w:hint="default" w:ascii="Times New Roman" w:hAnsi="Times New Roman" w:eastAsia="宋体" w:cs="Times New Roman"/>
                <w:color w:val="000000"/>
                <w:kern w:val="0"/>
                <w:sz w:val="24"/>
                <w:szCs w:val="24"/>
                <w:lang w:val="en-US" w:eastAsia="zh-CN"/>
              </w:rPr>
              <w:t>生态环境分区管控生态环境准入清单相符性</w:t>
            </w:r>
          </w:p>
          <w:p w14:paraId="75364D2F">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000000" w:themeColor="text1"/>
                <w:sz w:val="24"/>
              </w:rPr>
            </w:pPr>
            <w:r>
              <w:rPr>
                <w:rFonts w:hint="default" w:ascii="Times New Roman" w:hAnsi="Times New Roman" w:eastAsia="宋体" w:cs="Times New Roman"/>
                <w:color w:val="000000"/>
                <w:kern w:val="0"/>
                <w:sz w:val="24"/>
                <w:szCs w:val="24"/>
                <w:lang w:val="en-US" w:eastAsia="zh-CN"/>
              </w:rPr>
              <w:t>根据安徽省生态环境厅安徽省</w:t>
            </w:r>
            <w:r>
              <w:rPr>
                <w:rFonts w:hint="eastAsia" w:ascii="Times New Roman" w:hAnsi="Times New Roman" w:eastAsia="宋体" w:cs="Times New Roman"/>
                <w:color w:val="000000"/>
                <w:kern w:val="0"/>
                <w:sz w:val="24"/>
                <w:szCs w:val="24"/>
                <w:lang w:val="en-US" w:eastAsia="zh-CN"/>
              </w:rPr>
              <w:t>“</w:t>
            </w:r>
            <w:r>
              <w:rPr>
                <w:rFonts w:hint="default" w:ascii="Times New Roman" w:hAnsi="Times New Roman" w:eastAsia="宋体" w:cs="Times New Roman"/>
                <w:color w:val="000000"/>
                <w:kern w:val="0"/>
                <w:sz w:val="24"/>
                <w:szCs w:val="24"/>
                <w:lang w:val="en-US" w:eastAsia="zh-CN"/>
              </w:rPr>
              <w:t>三线一单</w:t>
            </w:r>
            <w:r>
              <w:rPr>
                <w:rFonts w:hint="eastAsia" w:ascii="Times New Roman" w:hAnsi="Times New Roman" w:eastAsia="宋体" w:cs="Times New Roman"/>
                <w:color w:val="000000"/>
                <w:kern w:val="0"/>
                <w:sz w:val="24"/>
                <w:szCs w:val="24"/>
                <w:lang w:val="en-US" w:eastAsia="zh-CN"/>
              </w:rPr>
              <w:t>”</w:t>
            </w:r>
            <w:r>
              <w:rPr>
                <w:rFonts w:hint="default" w:ascii="Times New Roman" w:hAnsi="Times New Roman" w:eastAsia="宋体" w:cs="Times New Roman"/>
                <w:color w:val="000000"/>
                <w:kern w:val="0"/>
                <w:sz w:val="24"/>
                <w:szCs w:val="24"/>
                <w:lang w:val="en-US" w:eastAsia="zh-CN"/>
              </w:rPr>
              <w:t>公众服务平台</w:t>
            </w:r>
            <w:r>
              <w:rPr>
                <w:rFonts w:hint="eastAsia" w:ascii="Times New Roman" w:hAnsi="Times New Roman" w:eastAsia="宋体" w:cs="Times New Roman"/>
                <w:color w:val="000000"/>
                <w:kern w:val="0"/>
                <w:sz w:val="24"/>
                <w:szCs w:val="24"/>
                <w:lang w:val="en-US" w:eastAsia="zh-CN"/>
              </w:rPr>
              <w:t>（</w:t>
            </w:r>
            <w:r>
              <w:rPr>
                <w:rFonts w:hint="default" w:ascii="Times New Roman" w:hAnsi="Times New Roman" w:eastAsia="宋体" w:cs="Times New Roman"/>
                <w:color w:val="000000"/>
                <w:kern w:val="0"/>
                <w:sz w:val="24"/>
                <w:szCs w:val="24"/>
                <w:lang w:val="en-US" w:eastAsia="zh-CN"/>
              </w:rPr>
              <w:t>http://39.145.8.156:1509/ah/public/#/home</w:t>
            </w:r>
            <w:r>
              <w:rPr>
                <w:rFonts w:hint="eastAsia" w:ascii="Times New Roman" w:hAnsi="Times New Roman" w:eastAsia="宋体" w:cs="Times New Roman"/>
                <w:color w:val="000000"/>
                <w:kern w:val="0"/>
                <w:sz w:val="24"/>
                <w:szCs w:val="24"/>
                <w:lang w:val="en-US" w:eastAsia="zh-CN"/>
              </w:rPr>
              <w:t>）</w:t>
            </w:r>
            <w:r>
              <w:rPr>
                <w:rFonts w:hint="default" w:ascii="Times New Roman" w:hAnsi="Times New Roman" w:eastAsia="宋体" w:cs="Times New Roman"/>
                <w:color w:val="000000"/>
                <w:kern w:val="0"/>
                <w:sz w:val="24"/>
                <w:szCs w:val="24"/>
                <w:lang w:val="en-US" w:eastAsia="zh-CN"/>
              </w:rPr>
              <w:t>查询报告分析</w:t>
            </w:r>
            <w:r>
              <w:rPr>
                <w:rFonts w:hint="eastAsia" w:ascii="Times New Roman" w:hAnsi="Times New Roman" w:eastAsia="宋体" w:cs="Times New Roman"/>
                <w:color w:val="000000"/>
                <w:kern w:val="0"/>
                <w:sz w:val="24"/>
                <w:szCs w:val="24"/>
                <w:lang w:val="en-US" w:eastAsia="zh-CN"/>
              </w:rPr>
              <w:t>：</w:t>
            </w:r>
            <w:r>
              <w:rPr>
                <w:rFonts w:hint="default" w:ascii="Times New Roman" w:hAnsi="Times New Roman" w:eastAsia="宋体" w:cs="Times New Roman"/>
                <w:color w:val="000000"/>
                <w:kern w:val="0"/>
                <w:sz w:val="24"/>
                <w:szCs w:val="24"/>
                <w:lang w:val="en-US" w:eastAsia="zh-CN"/>
              </w:rPr>
              <w:t>本项目建设地点与1个环境管控单元存在交叠，其中优先保护类0个，重点管控类1个，一般管控类0个环境管控单元编码为ZH34060220041，管控单元名称为重点管控单元</w:t>
            </w:r>
            <w:r>
              <w:rPr>
                <w:rFonts w:hint="eastAsia" w:ascii="Times New Roman" w:hAnsi="Times New Roman" w:eastAsia="宋体" w:cs="Times New Roman"/>
                <w:color w:val="000000"/>
                <w:kern w:val="0"/>
                <w:sz w:val="24"/>
                <w:szCs w:val="24"/>
                <w:lang w:val="en-US" w:eastAsia="zh-CN"/>
              </w:rPr>
              <w:t>2</w:t>
            </w:r>
            <w:r>
              <w:rPr>
                <w:rFonts w:hint="default" w:ascii="Times New Roman" w:hAnsi="Times New Roman" w:eastAsia="宋体" w:cs="Times New Roman"/>
                <w:color w:val="000000"/>
                <w:kern w:val="0"/>
                <w:sz w:val="24"/>
                <w:szCs w:val="24"/>
                <w:lang w:val="en-US" w:eastAsia="zh-CN"/>
              </w:rPr>
              <w:t>。管控类别分为空间布局约束、污染物排放管控、</w:t>
            </w:r>
            <w:r>
              <w:rPr>
                <w:rFonts w:hint="eastAsia" w:ascii="Times New Roman" w:hAnsi="Times New Roman" w:eastAsia="宋体" w:cs="Times New Roman"/>
                <w:color w:val="000000"/>
                <w:kern w:val="0"/>
                <w:sz w:val="24"/>
                <w:szCs w:val="24"/>
                <w:lang w:val="en-US" w:eastAsia="zh-CN"/>
              </w:rPr>
              <w:t>环境风险管控、</w:t>
            </w:r>
            <w:r>
              <w:rPr>
                <w:rFonts w:hint="default" w:ascii="Times New Roman" w:hAnsi="Times New Roman" w:eastAsia="宋体" w:cs="Times New Roman"/>
                <w:color w:val="000000"/>
                <w:kern w:val="0"/>
                <w:sz w:val="24"/>
                <w:szCs w:val="24"/>
                <w:lang w:val="en-US" w:eastAsia="zh-CN"/>
              </w:rPr>
              <w:t>资源开发效率要求，与本项目有关的具体管控要求见下表。</w:t>
            </w:r>
          </w:p>
          <w:p w14:paraId="7284F438">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themeColor="text1"/>
                <w:sz w:val="24"/>
                <w:lang w:val="en-US" w:eastAsia="zh-CN"/>
              </w:rPr>
            </w:pPr>
            <w:r>
              <w:rPr>
                <w:rFonts w:hint="eastAsia" w:ascii="Times New Roman" w:hAnsi="Times New Roman" w:cs="Times New Roman"/>
                <w:b/>
                <w:bCs/>
                <w:color w:val="000000" w:themeColor="text1"/>
                <w:sz w:val="24"/>
                <w:lang w:val="en-US" w:eastAsia="zh-CN"/>
              </w:rPr>
              <w:t>表1-</w:t>
            </w:r>
            <w:r>
              <w:rPr>
                <w:rFonts w:hint="eastAsia" w:cs="Times New Roman"/>
                <w:b/>
                <w:bCs/>
                <w:color w:val="000000" w:themeColor="text1"/>
                <w:sz w:val="24"/>
                <w:lang w:val="en-US" w:eastAsia="zh-CN"/>
              </w:rPr>
              <w:t>4</w:t>
            </w:r>
            <w:r>
              <w:rPr>
                <w:rFonts w:hint="eastAsia" w:ascii="Times New Roman" w:hAnsi="Times New Roman" w:cs="Times New Roman"/>
                <w:b/>
                <w:bCs/>
                <w:color w:val="000000" w:themeColor="text1"/>
                <w:sz w:val="24"/>
                <w:lang w:val="en-US" w:eastAsia="zh-CN"/>
              </w:rPr>
              <w:t xml:space="preserve">  分区管控内容</w:t>
            </w:r>
          </w:p>
          <w:tbl>
            <w:tblPr>
              <w:tblStyle w:val="35"/>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13"/>
              <w:gridCol w:w="450"/>
              <w:gridCol w:w="3250"/>
              <w:gridCol w:w="2272"/>
              <w:gridCol w:w="741"/>
            </w:tblGrid>
            <w:tr w14:paraId="6EDCF0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18" w:type="pct"/>
                  <w:tcBorders>
                    <w:tl2br w:val="nil"/>
                    <w:tr2bl w:val="nil"/>
                  </w:tcBorders>
                  <w:shd w:val="clear" w:color="auto" w:fill="auto"/>
                  <w:noWrap w:val="0"/>
                  <w:vAlign w:val="center"/>
                </w:tcPr>
                <w:p w14:paraId="5695DDF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bCs/>
                      <w:color w:val="000000" w:themeColor="text1"/>
                      <w:sz w:val="21"/>
                      <w:szCs w:val="21"/>
                      <w:highlight w:val="none"/>
                      <w:lang w:val="en-US" w:eastAsia="zh-CN"/>
                    </w:rPr>
                  </w:pPr>
                  <w:r>
                    <w:rPr>
                      <w:rFonts w:hint="eastAsia"/>
                      <w:b/>
                      <w:bCs/>
                      <w:color w:val="000000" w:themeColor="text1"/>
                      <w:sz w:val="21"/>
                      <w:szCs w:val="21"/>
                      <w:highlight w:val="none"/>
                      <w:lang w:val="en-US" w:eastAsia="zh-CN"/>
                    </w:rPr>
                    <w:t>管控单元分类</w:t>
                  </w:r>
                </w:p>
              </w:tc>
              <w:tc>
                <w:tcPr>
                  <w:tcW w:w="307" w:type="pct"/>
                  <w:tcBorders>
                    <w:tl2br w:val="nil"/>
                    <w:tr2bl w:val="nil"/>
                  </w:tcBorders>
                  <w:shd w:val="clear" w:color="auto" w:fill="auto"/>
                  <w:noWrap w:val="0"/>
                  <w:vAlign w:val="center"/>
                </w:tcPr>
                <w:p w14:paraId="72692A3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bCs/>
                      <w:color w:val="000000" w:themeColor="text1"/>
                      <w:sz w:val="21"/>
                      <w:szCs w:val="21"/>
                      <w:highlight w:val="none"/>
                      <w:lang w:val="en-US" w:eastAsia="zh-CN"/>
                    </w:rPr>
                  </w:pPr>
                  <w:r>
                    <w:rPr>
                      <w:rFonts w:hint="eastAsia"/>
                      <w:b/>
                      <w:bCs/>
                      <w:color w:val="000000" w:themeColor="text1"/>
                      <w:sz w:val="21"/>
                      <w:szCs w:val="21"/>
                      <w:highlight w:val="none"/>
                      <w:lang w:val="en-US" w:eastAsia="zh-CN"/>
                    </w:rPr>
                    <w:t>管控类别</w:t>
                  </w:r>
                </w:p>
              </w:tc>
              <w:tc>
                <w:tcPr>
                  <w:tcW w:w="2217" w:type="pct"/>
                  <w:tcBorders>
                    <w:tl2br w:val="nil"/>
                    <w:tr2bl w:val="nil"/>
                  </w:tcBorders>
                  <w:shd w:val="clear" w:color="auto" w:fill="auto"/>
                  <w:noWrap w:val="0"/>
                  <w:vAlign w:val="center"/>
                </w:tcPr>
                <w:p w14:paraId="5524C93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000000" w:themeColor="text1"/>
                      <w:sz w:val="21"/>
                      <w:szCs w:val="21"/>
                      <w:highlight w:val="none"/>
                    </w:rPr>
                  </w:pPr>
                  <w:r>
                    <w:rPr>
                      <w:rFonts w:hint="default"/>
                      <w:b/>
                      <w:bCs/>
                      <w:color w:val="000000" w:themeColor="text1"/>
                      <w:sz w:val="21"/>
                      <w:szCs w:val="21"/>
                      <w:highlight w:val="none"/>
                    </w:rPr>
                    <w:t>管控要求(节选相关内容)</w:t>
                  </w:r>
                </w:p>
              </w:tc>
              <w:tc>
                <w:tcPr>
                  <w:tcW w:w="1550" w:type="pct"/>
                  <w:tcBorders>
                    <w:tl2br w:val="nil"/>
                    <w:tr2bl w:val="nil"/>
                  </w:tcBorders>
                  <w:shd w:val="clear" w:color="auto" w:fill="auto"/>
                  <w:noWrap w:val="0"/>
                  <w:vAlign w:val="center"/>
                </w:tcPr>
                <w:p w14:paraId="5EBF439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b/>
                      <w:bCs/>
                      <w:color w:val="000000" w:themeColor="text1"/>
                      <w:sz w:val="21"/>
                      <w:szCs w:val="21"/>
                      <w:highlight w:val="none"/>
                      <w:lang w:val="en-US" w:eastAsia="zh-CN"/>
                    </w:rPr>
                  </w:pPr>
                  <w:r>
                    <w:rPr>
                      <w:rFonts w:hint="default"/>
                      <w:b/>
                      <w:bCs/>
                      <w:color w:val="000000" w:themeColor="text1"/>
                      <w:sz w:val="21"/>
                      <w:szCs w:val="21"/>
                      <w:highlight w:val="none"/>
                    </w:rPr>
                    <w:t>本项目</w:t>
                  </w:r>
                  <w:r>
                    <w:rPr>
                      <w:rFonts w:hint="eastAsia"/>
                      <w:b/>
                      <w:bCs/>
                      <w:color w:val="000000" w:themeColor="text1"/>
                      <w:sz w:val="21"/>
                      <w:szCs w:val="21"/>
                      <w:highlight w:val="none"/>
                      <w:lang w:val="en-US" w:eastAsia="zh-CN"/>
                    </w:rPr>
                    <w:t>情况</w:t>
                  </w:r>
                </w:p>
              </w:tc>
              <w:tc>
                <w:tcPr>
                  <w:tcW w:w="505" w:type="pct"/>
                  <w:tcBorders>
                    <w:tl2br w:val="nil"/>
                    <w:tr2bl w:val="nil"/>
                  </w:tcBorders>
                  <w:shd w:val="clear" w:color="auto" w:fill="auto"/>
                  <w:noWrap w:val="0"/>
                  <w:vAlign w:val="center"/>
                </w:tcPr>
                <w:p w14:paraId="0EBDA28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b/>
                      <w:bCs/>
                      <w:color w:val="000000" w:themeColor="text1"/>
                      <w:sz w:val="21"/>
                      <w:szCs w:val="21"/>
                      <w:highlight w:val="none"/>
                      <w:lang w:val="en-US" w:eastAsia="zh-CN"/>
                    </w:rPr>
                  </w:pPr>
                  <w:r>
                    <w:rPr>
                      <w:rFonts w:hint="eastAsia"/>
                      <w:b/>
                      <w:bCs/>
                      <w:color w:val="000000" w:themeColor="text1"/>
                      <w:sz w:val="21"/>
                      <w:szCs w:val="21"/>
                      <w:highlight w:val="none"/>
                      <w:lang w:val="en-US" w:eastAsia="zh-CN"/>
                    </w:rPr>
                    <w:t>符合性</w:t>
                  </w:r>
                </w:p>
              </w:tc>
            </w:tr>
            <w:tr w14:paraId="502776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18" w:type="pct"/>
                  <w:vMerge w:val="restart"/>
                  <w:tcBorders>
                    <w:tl2br w:val="nil"/>
                    <w:tr2bl w:val="nil"/>
                  </w:tcBorders>
                  <w:shd w:val="clear" w:color="auto" w:fill="auto"/>
                  <w:noWrap w:val="0"/>
                  <w:vAlign w:val="center"/>
                </w:tcPr>
                <w:p w14:paraId="4B95758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21"/>
                      <w:szCs w:val="21"/>
                      <w:highlight w:val="none"/>
                    </w:rPr>
                  </w:pPr>
                  <w:r>
                    <w:rPr>
                      <w:rFonts w:hint="default"/>
                      <w:color w:val="000000" w:themeColor="text1"/>
                      <w:sz w:val="21"/>
                      <w:szCs w:val="21"/>
                      <w:highlight w:val="none"/>
                    </w:rPr>
                    <w:t>重点管控单元</w:t>
                  </w:r>
                </w:p>
              </w:tc>
              <w:tc>
                <w:tcPr>
                  <w:tcW w:w="307" w:type="pct"/>
                  <w:vMerge w:val="restart"/>
                  <w:tcBorders>
                    <w:tl2br w:val="nil"/>
                    <w:tr2bl w:val="nil"/>
                  </w:tcBorders>
                  <w:shd w:val="clear" w:color="auto" w:fill="auto"/>
                  <w:noWrap w:val="0"/>
                  <w:vAlign w:val="center"/>
                </w:tcPr>
                <w:p w14:paraId="5075457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21"/>
                      <w:szCs w:val="21"/>
                      <w:highlight w:val="none"/>
                    </w:rPr>
                  </w:pPr>
                  <w:r>
                    <w:rPr>
                      <w:rFonts w:hint="default"/>
                      <w:color w:val="000000" w:themeColor="text1"/>
                      <w:sz w:val="21"/>
                      <w:szCs w:val="21"/>
                      <w:highlight w:val="none"/>
                    </w:rPr>
                    <w:t>空间布局约束</w:t>
                  </w:r>
                </w:p>
              </w:tc>
              <w:tc>
                <w:tcPr>
                  <w:tcW w:w="2217" w:type="pct"/>
                  <w:tcBorders>
                    <w:tl2br w:val="nil"/>
                    <w:tr2bl w:val="nil"/>
                  </w:tcBorders>
                  <w:shd w:val="clear" w:color="auto" w:fill="auto"/>
                  <w:noWrap w:val="0"/>
                  <w:vAlign w:val="center"/>
                </w:tcPr>
                <w:p w14:paraId="46D8E65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21"/>
                      <w:szCs w:val="21"/>
                      <w:highlight w:val="none"/>
                    </w:rPr>
                  </w:pPr>
                  <w:r>
                    <w:rPr>
                      <w:rFonts w:hint="default"/>
                      <w:color w:val="000000" w:themeColor="text1"/>
                      <w:sz w:val="21"/>
                      <w:szCs w:val="21"/>
                      <w:highlight w:val="none"/>
                    </w:rPr>
                    <w:t>禁止建设生产和使用高挥发性有机物含量涂料、油墨、胶粘剂、清洗剂等项目</w:t>
                  </w:r>
                </w:p>
              </w:tc>
              <w:tc>
                <w:tcPr>
                  <w:tcW w:w="1550" w:type="pct"/>
                  <w:tcBorders>
                    <w:tl2br w:val="nil"/>
                    <w:tr2bl w:val="nil"/>
                  </w:tcBorders>
                  <w:shd w:val="clear" w:color="auto" w:fill="auto"/>
                  <w:noWrap w:val="0"/>
                  <w:vAlign w:val="center"/>
                </w:tcPr>
                <w:p w14:paraId="6AD0208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color w:val="000000" w:themeColor="text1"/>
                      <w:sz w:val="21"/>
                      <w:szCs w:val="21"/>
                      <w:highlight w:val="none"/>
                      <w:lang w:val="en-US" w:eastAsia="zh-CN"/>
                    </w:rPr>
                  </w:pPr>
                  <w:r>
                    <w:rPr>
                      <w:rFonts w:hint="eastAsia" w:eastAsia="宋体"/>
                      <w:color w:val="000000" w:themeColor="text1"/>
                      <w:sz w:val="21"/>
                      <w:szCs w:val="21"/>
                      <w:highlight w:val="none"/>
                      <w:lang w:val="en-US" w:eastAsia="zh-CN"/>
                    </w:rPr>
                    <w:t>企业使用的环氧树脂A、B料属于本体型胶黏剂，根据提供的VOCs检测报告，其工作液中VOCs含量为29.8g/kg，低于《胶粘剂挥发性有机化合物限量》GB33372-2020）中含量要求（50g/kg），不属于高挥发性有机物含量胶黏剂</w:t>
                  </w:r>
                </w:p>
              </w:tc>
              <w:tc>
                <w:tcPr>
                  <w:tcW w:w="505" w:type="pct"/>
                  <w:tcBorders>
                    <w:tl2br w:val="nil"/>
                    <w:tr2bl w:val="nil"/>
                  </w:tcBorders>
                  <w:shd w:val="clear" w:color="auto" w:fill="auto"/>
                  <w:noWrap w:val="0"/>
                  <w:vAlign w:val="center"/>
                </w:tcPr>
                <w:p w14:paraId="0FBB896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21"/>
                      <w:szCs w:val="21"/>
                      <w:highlight w:val="none"/>
                      <w:lang w:val="en-US" w:eastAsia="zh-CN"/>
                    </w:rPr>
                  </w:pPr>
                  <w:r>
                    <w:rPr>
                      <w:rFonts w:hint="eastAsia"/>
                      <w:color w:val="000000" w:themeColor="text1"/>
                      <w:sz w:val="21"/>
                      <w:szCs w:val="21"/>
                      <w:highlight w:val="none"/>
                      <w:lang w:val="en-US" w:eastAsia="zh-CN"/>
                    </w:rPr>
                    <w:t>符合</w:t>
                  </w:r>
                </w:p>
              </w:tc>
            </w:tr>
            <w:tr w14:paraId="2BD25C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18" w:type="pct"/>
                  <w:vMerge w:val="continue"/>
                  <w:tcBorders>
                    <w:tl2br w:val="nil"/>
                    <w:tr2bl w:val="nil"/>
                  </w:tcBorders>
                  <w:shd w:val="clear" w:color="auto" w:fill="auto"/>
                  <w:noWrap w:val="0"/>
                  <w:vAlign w:val="center"/>
                </w:tcPr>
                <w:p w14:paraId="3ECE3C8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21"/>
                      <w:szCs w:val="21"/>
                      <w:highlight w:val="none"/>
                    </w:rPr>
                  </w:pPr>
                </w:p>
              </w:tc>
              <w:tc>
                <w:tcPr>
                  <w:tcW w:w="307" w:type="pct"/>
                  <w:vMerge w:val="continue"/>
                  <w:tcBorders>
                    <w:tl2br w:val="nil"/>
                    <w:tr2bl w:val="nil"/>
                  </w:tcBorders>
                  <w:shd w:val="clear" w:color="auto" w:fill="auto"/>
                  <w:noWrap w:val="0"/>
                  <w:vAlign w:val="center"/>
                </w:tcPr>
                <w:p w14:paraId="300E699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21"/>
                      <w:szCs w:val="21"/>
                      <w:highlight w:val="none"/>
                    </w:rPr>
                  </w:pPr>
                </w:p>
              </w:tc>
              <w:tc>
                <w:tcPr>
                  <w:tcW w:w="2217" w:type="pct"/>
                  <w:tcBorders>
                    <w:tl2br w:val="nil"/>
                    <w:tr2bl w:val="nil"/>
                  </w:tcBorders>
                  <w:shd w:val="clear" w:color="auto" w:fill="auto"/>
                  <w:noWrap w:val="0"/>
                  <w:vAlign w:val="center"/>
                </w:tcPr>
                <w:p w14:paraId="1A74A79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zh-CN" w:bidi="ar-SA"/>
                    </w:rPr>
                  </w:pPr>
                  <w:r>
                    <w:rPr>
                      <w:rFonts w:hint="default"/>
                      <w:color w:val="000000" w:themeColor="text1"/>
                      <w:sz w:val="21"/>
                      <w:szCs w:val="21"/>
                      <w:highlight w:val="none"/>
                    </w:rPr>
                    <w:t>加大工业涂装、包装印刷等行业低挥发性有机物含量原辅材料替代力度，严格执行涂料、油墨、胶粘剂、清洗剂挥发性有机物含量限值标准，确保生产、销售、进口、使用符合标准的产品。</w:t>
                  </w:r>
                </w:p>
              </w:tc>
              <w:tc>
                <w:tcPr>
                  <w:tcW w:w="1550" w:type="pct"/>
                  <w:tcBorders>
                    <w:tl2br w:val="nil"/>
                    <w:tr2bl w:val="nil"/>
                  </w:tcBorders>
                  <w:shd w:val="clear" w:color="auto" w:fill="auto"/>
                  <w:noWrap w:val="0"/>
                  <w:vAlign w:val="center"/>
                </w:tcPr>
                <w:p w14:paraId="692227A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zh-CN" w:bidi="ar-SA"/>
                    </w:rPr>
                  </w:pPr>
                  <w:r>
                    <w:rPr>
                      <w:rFonts w:hint="eastAsia" w:eastAsia="宋体"/>
                      <w:color w:val="000000" w:themeColor="text1"/>
                      <w:sz w:val="21"/>
                      <w:szCs w:val="21"/>
                      <w:highlight w:val="none"/>
                      <w:lang w:val="en-US" w:eastAsia="zh-CN"/>
                    </w:rPr>
                    <w:t>本项目使用的胶黏剂有机物挥发性含量低于《胶粘剂挥发性有机化合物限量》GB33372-2020）中含量要求（50g/kg）</w:t>
                  </w:r>
                </w:p>
              </w:tc>
              <w:tc>
                <w:tcPr>
                  <w:tcW w:w="505" w:type="pct"/>
                  <w:tcBorders>
                    <w:tl2br w:val="nil"/>
                    <w:tr2bl w:val="nil"/>
                  </w:tcBorders>
                  <w:shd w:val="clear" w:color="auto" w:fill="auto"/>
                  <w:noWrap w:val="0"/>
                  <w:vAlign w:val="center"/>
                </w:tcPr>
                <w:p w14:paraId="544B62C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color w:val="000000" w:themeColor="text1"/>
                      <w:sz w:val="21"/>
                      <w:szCs w:val="21"/>
                      <w:highlight w:val="none"/>
                      <w:lang w:val="en-US" w:eastAsia="zh-CN"/>
                    </w:rPr>
                  </w:pPr>
                  <w:r>
                    <w:rPr>
                      <w:rFonts w:hint="eastAsia"/>
                      <w:color w:val="000000" w:themeColor="text1"/>
                      <w:sz w:val="21"/>
                      <w:szCs w:val="21"/>
                      <w:highlight w:val="none"/>
                      <w:lang w:val="en-US" w:eastAsia="zh-CN"/>
                    </w:rPr>
                    <w:t>符合</w:t>
                  </w:r>
                </w:p>
              </w:tc>
            </w:tr>
            <w:tr w14:paraId="0E0EF3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18" w:type="pct"/>
                  <w:vMerge w:val="continue"/>
                  <w:tcBorders>
                    <w:tl2br w:val="nil"/>
                    <w:tr2bl w:val="nil"/>
                  </w:tcBorders>
                  <w:shd w:val="clear" w:color="auto" w:fill="auto"/>
                  <w:noWrap w:val="0"/>
                  <w:vAlign w:val="center"/>
                </w:tcPr>
                <w:p w14:paraId="171924F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21"/>
                      <w:szCs w:val="21"/>
                      <w:highlight w:val="none"/>
                    </w:rPr>
                  </w:pPr>
                </w:p>
              </w:tc>
              <w:tc>
                <w:tcPr>
                  <w:tcW w:w="307" w:type="pct"/>
                  <w:vMerge w:val="restart"/>
                  <w:tcBorders>
                    <w:tl2br w:val="nil"/>
                    <w:tr2bl w:val="nil"/>
                  </w:tcBorders>
                  <w:shd w:val="clear" w:color="auto" w:fill="auto"/>
                  <w:noWrap w:val="0"/>
                  <w:vAlign w:val="center"/>
                </w:tcPr>
                <w:p w14:paraId="29AC543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000000" w:themeColor="text1"/>
                      <w:sz w:val="21"/>
                      <w:szCs w:val="21"/>
                      <w:highlight w:val="none"/>
                      <w:lang w:val="en-US" w:eastAsia="zh-CN"/>
                    </w:rPr>
                  </w:pPr>
                  <w:r>
                    <w:rPr>
                      <w:rFonts w:hint="eastAsia"/>
                      <w:color w:val="000000" w:themeColor="text1"/>
                      <w:sz w:val="21"/>
                      <w:szCs w:val="21"/>
                      <w:highlight w:val="none"/>
                      <w:lang w:val="en-US" w:eastAsia="zh-CN"/>
                    </w:rPr>
                    <w:t>污染物排放管控</w:t>
                  </w:r>
                </w:p>
              </w:tc>
              <w:tc>
                <w:tcPr>
                  <w:tcW w:w="2217" w:type="pct"/>
                  <w:tcBorders>
                    <w:tl2br w:val="nil"/>
                    <w:tr2bl w:val="nil"/>
                  </w:tcBorders>
                  <w:shd w:val="clear" w:color="auto" w:fill="auto"/>
                  <w:noWrap w:val="0"/>
                  <w:vAlign w:val="center"/>
                </w:tcPr>
                <w:p w14:paraId="7E1AA96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21"/>
                      <w:szCs w:val="21"/>
                      <w:highlight w:val="none"/>
                    </w:rPr>
                  </w:pPr>
                  <w:r>
                    <w:rPr>
                      <w:rFonts w:hint="default"/>
                      <w:color w:val="000000" w:themeColor="text1"/>
                      <w:sz w:val="21"/>
                      <w:szCs w:val="21"/>
                      <w:highlight w:val="none"/>
                    </w:rPr>
                    <w:t>全面推动挥发性有机物纳入排污许可管理。禁止建设生产和使用高挥发性有机物含量涂料、油墨、胶粘剂、清洗剂等项目。加快推进石化、化工、涂装、医药、包装印刷和油品储运销等重点行业挥发性有机物深度治理，全面提升废气收集率、治理设施同步运行率和去除率，提高水性、高固体分、无溶剂、粉末、辐射固化等低挥发性有机物含量产品的比重。加大工业涂装、包装印刷等行业低挥发性有机物含量原辅</w:t>
                  </w:r>
                </w:p>
                <w:p w14:paraId="0AAA69F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21"/>
                      <w:szCs w:val="21"/>
                      <w:highlight w:val="none"/>
                    </w:rPr>
                  </w:pPr>
                  <w:r>
                    <w:rPr>
                      <w:rFonts w:hint="default"/>
                      <w:color w:val="000000" w:themeColor="text1"/>
                      <w:sz w:val="21"/>
                      <w:szCs w:val="21"/>
                      <w:highlight w:val="none"/>
                    </w:rPr>
                    <w:t>材料替代力度，严格执行涂料、油墨、胶粘剂、清洗剂挥发性有机物含量限值标准，确保生产、销售、进口、使用符合标准的产品。</w:t>
                  </w:r>
                </w:p>
              </w:tc>
              <w:tc>
                <w:tcPr>
                  <w:tcW w:w="1550" w:type="pct"/>
                  <w:tcBorders>
                    <w:tl2br w:val="nil"/>
                    <w:tr2bl w:val="nil"/>
                  </w:tcBorders>
                  <w:shd w:val="clear" w:color="auto" w:fill="auto"/>
                  <w:noWrap w:val="0"/>
                  <w:vAlign w:val="center"/>
                </w:tcPr>
                <w:p w14:paraId="57BE8EB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21"/>
                      <w:szCs w:val="21"/>
                      <w:highlight w:val="none"/>
                      <w:lang w:val="en-US"/>
                    </w:rPr>
                  </w:pPr>
                  <w:r>
                    <w:rPr>
                      <w:rFonts w:hint="eastAsia"/>
                      <w:color w:val="000000" w:themeColor="text1"/>
                      <w:sz w:val="21"/>
                      <w:szCs w:val="21"/>
                      <w:highlight w:val="none"/>
                      <w:lang w:val="en-US" w:eastAsia="zh-CN"/>
                    </w:rPr>
                    <w:t>项目使用的胶黏剂有机物含量满足要求，环氧树脂A、B料调配过程在密闭隔间内进行，浇筑固化废气经负压收集后，采用干式过滤棉+二级活性炭吸附处理后经排气筒排放</w:t>
                  </w:r>
                </w:p>
              </w:tc>
              <w:tc>
                <w:tcPr>
                  <w:tcW w:w="505" w:type="pct"/>
                  <w:tcBorders>
                    <w:tl2br w:val="nil"/>
                    <w:tr2bl w:val="nil"/>
                  </w:tcBorders>
                  <w:shd w:val="clear" w:color="auto" w:fill="auto"/>
                  <w:noWrap w:val="0"/>
                  <w:vAlign w:val="center"/>
                </w:tcPr>
                <w:p w14:paraId="0AC4C66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21"/>
                      <w:szCs w:val="21"/>
                      <w:highlight w:val="none"/>
                      <w:lang w:val="en-US" w:eastAsia="zh-CN"/>
                    </w:rPr>
                  </w:pPr>
                  <w:r>
                    <w:rPr>
                      <w:rFonts w:hint="eastAsia"/>
                      <w:color w:val="000000" w:themeColor="text1"/>
                      <w:sz w:val="21"/>
                      <w:szCs w:val="21"/>
                      <w:highlight w:val="none"/>
                      <w:lang w:val="en-US" w:eastAsia="zh-CN"/>
                    </w:rPr>
                    <w:t>符合</w:t>
                  </w:r>
                </w:p>
              </w:tc>
            </w:tr>
            <w:tr w14:paraId="6AD4AA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18" w:type="pct"/>
                  <w:vMerge w:val="continue"/>
                  <w:tcBorders>
                    <w:tl2br w:val="nil"/>
                    <w:tr2bl w:val="nil"/>
                  </w:tcBorders>
                  <w:shd w:val="clear" w:color="auto" w:fill="auto"/>
                  <w:noWrap w:val="0"/>
                  <w:vAlign w:val="center"/>
                </w:tcPr>
                <w:p w14:paraId="6E05DDB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21"/>
                      <w:szCs w:val="21"/>
                      <w:highlight w:val="none"/>
                    </w:rPr>
                  </w:pPr>
                </w:p>
              </w:tc>
              <w:tc>
                <w:tcPr>
                  <w:tcW w:w="307" w:type="pct"/>
                  <w:vMerge w:val="continue"/>
                  <w:tcBorders>
                    <w:tl2br w:val="nil"/>
                    <w:tr2bl w:val="nil"/>
                  </w:tcBorders>
                  <w:shd w:val="clear" w:color="auto" w:fill="auto"/>
                  <w:noWrap w:val="0"/>
                  <w:vAlign w:val="center"/>
                </w:tcPr>
                <w:p w14:paraId="4AEB7D3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sz w:val="21"/>
                      <w:szCs w:val="21"/>
                      <w:highlight w:val="none"/>
                      <w:lang w:val="en-US" w:eastAsia="zh-CN"/>
                    </w:rPr>
                  </w:pPr>
                </w:p>
              </w:tc>
              <w:tc>
                <w:tcPr>
                  <w:tcW w:w="2217" w:type="pct"/>
                  <w:tcBorders>
                    <w:tl2br w:val="nil"/>
                    <w:tr2bl w:val="nil"/>
                  </w:tcBorders>
                  <w:shd w:val="clear" w:color="auto" w:fill="auto"/>
                  <w:noWrap w:val="0"/>
                  <w:vAlign w:val="center"/>
                </w:tcPr>
                <w:p w14:paraId="3B5C59D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21"/>
                      <w:szCs w:val="21"/>
                      <w:highlight w:val="none"/>
                    </w:rPr>
                  </w:pPr>
                  <w:r>
                    <w:rPr>
                      <w:rFonts w:hint="default"/>
                      <w:color w:val="000000" w:themeColor="text1"/>
                      <w:sz w:val="21"/>
                      <w:szCs w:val="21"/>
                      <w:highlight w:val="none"/>
                    </w:rPr>
                    <w:t>污染物排放标准中有特别排放限值的标准的行业，二氧化硫、氮氧化物、颗粒物、挥发性有机物（VOCs）全面执行大气污染物特别排放限值。</w:t>
                  </w:r>
                </w:p>
              </w:tc>
              <w:tc>
                <w:tcPr>
                  <w:tcW w:w="1550" w:type="pct"/>
                  <w:tcBorders>
                    <w:tl2br w:val="nil"/>
                    <w:tr2bl w:val="nil"/>
                  </w:tcBorders>
                  <w:shd w:val="clear" w:color="auto" w:fill="auto"/>
                  <w:noWrap w:val="0"/>
                  <w:vAlign w:val="center"/>
                </w:tcPr>
                <w:p w14:paraId="078F32C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21"/>
                      <w:szCs w:val="21"/>
                      <w:highlight w:val="none"/>
                      <w:lang w:val="en-US" w:eastAsia="zh-CN"/>
                    </w:rPr>
                  </w:pPr>
                  <w:r>
                    <w:rPr>
                      <w:rFonts w:hint="eastAsia"/>
                      <w:color w:val="000000" w:themeColor="text1"/>
                      <w:sz w:val="21"/>
                      <w:szCs w:val="21"/>
                      <w:highlight w:val="none"/>
                      <w:lang w:val="en-US" w:eastAsia="zh-CN"/>
                    </w:rPr>
                    <w:t>企业产生的有机废气排放执行《固定源挥发性有机物综合排放标准　第6部分：其他行业》（DB34/4812.6-2024）中相关排放限值</w:t>
                  </w:r>
                </w:p>
              </w:tc>
              <w:tc>
                <w:tcPr>
                  <w:tcW w:w="505" w:type="pct"/>
                  <w:tcBorders>
                    <w:tl2br w:val="nil"/>
                    <w:tr2bl w:val="nil"/>
                  </w:tcBorders>
                  <w:shd w:val="clear" w:color="auto" w:fill="auto"/>
                  <w:noWrap w:val="0"/>
                  <w:vAlign w:val="center"/>
                </w:tcPr>
                <w:p w14:paraId="1041172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21"/>
                      <w:szCs w:val="21"/>
                      <w:highlight w:val="none"/>
                      <w:lang w:val="en-US" w:eastAsia="zh-CN"/>
                    </w:rPr>
                  </w:pPr>
                  <w:r>
                    <w:rPr>
                      <w:rFonts w:hint="eastAsia"/>
                      <w:color w:val="000000" w:themeColor="text1"/>
                      <w:sz w:val="21"/>
                      <w:szCs w:val="21"/>
                      <w:highlight w:val="none"/>
                      <w:lang w:val="en-US" w:eastAsia="zh-CN"/>
                    </w:rPr>
                    <w:t>符合</w:t>
                  </w:r>
                </w:p>
              </w:tc>
            </w:tr>
            <w:tr w14:paraId="5FB39B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18" w:type="pct"/>
                  <w:vMerge w:val="continue"/>
                  <w:tcBorders>
                    <w:tl2br w:val="nil"/>
                    <w:tr2bl w:val="nil"/>
                  </w:tcBorders>
                  <w:shd w:val="clear" w:color="auto" w:fill="auto"/>
                  <w:noWrap w:val="0"/>
                  <w:vAlign w:val="center"/>
                </w:tcPr>
                <w:p w14:paraId="06DDFE9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21"/>
                      <w:szCs w:val="21"/>
                      <w:highlight w:val="none"/>
                    </w:rPr>
                  </w:pPr>
                </w:p>
              </w:tc>
              <w:tc>
                <w:tcPr>
                  <w:tcW w:w="307" w:type="pct"/>
                  <w:vMerge w:val="continue"/>
                  <w:tcBorders>
                    <w:tl2br w:val="nil"/>
                    <w:tr2bl w:val="nil"/>
                  </w:tcBorders>
                  <w:shd w:val="clear" w:color="auto" w:fill="auto"/>
                  <w:noWrap w:val="0"/>
                  <w:vAlign w:val="center"/>
                </w:tcPr>
                <w:p w14:paraId="7F33D3A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sz w:val="21"/>
                      <w:szCs w:val="21"/>
                      <w:highlight w:val="none"/>
                      <w:lang w:val="en-US" w:eastAsia="zh-CN"/>
                    </w:rPr>
                  </w:pPr>
                </w:p>
              </w:tc>
              <w:tc>
                <w:tcPr>
                  <w:tcW w:w="2217" w:type="pct"/>
                  <w:tcBorders>
                    <w:tl2br w:val="nil"/>
                    <w:tr2bl w:val="nil"/>
                  </w:tcBorders>
                  <w:shd w:val="clear" w:color="auto" w:fill="auto"/>
                  <w:noWrap w:val="0"/>
                  <w:vAlign w:val="center"/>
                </w:tcPr>
                <w:p w14:paraId="618A116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21"/>
                      <w:szCs w:val="21"/>
                      <w:highlight w:val="none"/>
                    </w:rPr>
                  </w:pPr>
                  <w:r>
                    <w:rPr>
                      <w:rFonts w:hint="default"/>
                      <w:color w:val="000000" w:themeColor="text1"/>
                      <w:sz w:val="21"/>
                      <w:szCs w:val="21"/>
                      <w:highlight w:val="none"/>
                    </w:rPr>
                    <w:t>按《挥发性有机物无组织排放控制标准》（GB 37822-2019）要求，做好VOCs物料储存、物料转移和输送、工艺过程、设备与管线组件、敞开液面VOCs排放，以及VOCs无组织排放废气收集处理系统要求。</w:t>
                  </w:r>
                </w:p>
              </w:tc>
              <w:tc>
                <w:tcPr>
                  <w:tcW w:w="1550" w:type="pct"/>
                  <w:tcBorders>
                    <w:tl2br w:val="nil"/>
                    <w:tr2bl w:val="nil"/>
                  </w:tcBorders>
                  <w:shd w:val="clear" w:color="auto" w:fill="auto"/>
                  <w:noWrap w:val="0"/>
                  <w:vAlign w:val="center"/>
                </w:tcPr>
                <w:p w14:paraId="4E75629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21"/>
                      <w:szCs w:val="21"/>
                      <w:highlight w:val="none"/>
                      <w:lang w:val="en-US" w:eastAsia="zh-CN"/>
                    </w:rPr>
                  </w:pPr>
                  <w:r>
                    <w:rPr>
                      <w:rFonts w:hint="eastAsia"/>
                      <w:color w:val="000000" w:themeColor="text1"/>
                      <w:sz w:val="21"/>
                      <w:szCs w:val="21"/>
                      <w:highlight w:val="none"/>
                      <w:lang w:val="en-US" w:eastAsia="zh-CN"/>
                    </w:rPr>
                    <w:t>项目环氧树脂A、B料等原料均为密闭桶装，原料在浇筑设备内进行混合，浇筑投料口处设置集气罩收集废气；项目浇筑与固化工序均在密闭设备内进行，满足无组织控制要求</w:t>
                  </w:r>
                </w:p>
              </w:tc>
              <w:tc>
                <w:tcPr>
                  <w:tcW w:w="505" w:type="pct"/>
                  <w:tcBorders>
                    <w:tl2br w:val="nil"/>
                    <w:tr2bl w:val="nil"/>
                  </w:tcBorders>
                  <w:shd w:val="clear" w:color="auto" w:fill="auto"/>
                  <w:noWrap w:val="0"/>
                  <w:vAlign w:val="center"/>
                </w:tcPr>
                <w:p w14:paraId="3579631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21"/>
                      <w:szCs w:val="21"/>
                      <w:highlight w:val="none"/>
                      <w:lang w:val="en-US" w:eastAsia="zh-CN"/>
                    </w:rPr>
                  </w:pPr>
                  <w:r>
                    <w:rPr>
                      <w:rFonts w:hint="eastAsia"/>
                      <w:color w:val="000000" w:themeColor="text1"/>
                      <w:sz w:val="21"/>
                      <w:szCs w:val="21"/>
                      <w:highlight w:val="none"/>
                      <w:lang w:val="en-US" w:eastAsia="zh-CN"/>
                    </w:rPr>
                    <w:t>符合</w:t>
                  </w:r>
                </w:p>
              </w:tc>
            </w:tr>
            <w:tr w14:paraId="2FA399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18" w:type="pct"/>
                  <w:vMerge w:val="continue"/>
                  <w:tcBorders>
                    <w:tl2br w:val="nil"/>
                    <w:tr2bl w:val="nil"/>
                  </w:tcBorders>
                  <w:shd w:val="clear" w:color="auto" w:fill="auto"/>
                  <w:noWrap w:val="0"/>
                  <w:vAlign w:val="center"/>
                </w:tcPr>
                <w:p w14:paraId="649D95F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21"/>
                      <w:szCs w:val="21"/>
                      <w:highlight w:val="none"/>
                    </w:rPr>
                  </w:pPr>
                </w:p>
              </w:tc>
              <w:tc>
                <w:tcPr>
                  <w:tcW w:w="307" w:type="pct"/>
                  <w:tcBorders>
                    <w:tl2br w:val="nil"/>
                    <w:tr2bl w:val="nil"/>
                  </w:tcBorders>
                  <w:shd w:val="clear" w:color="auto" w:fill="auto"/>
                  <w:noWrap w:val="0"/>
                  <w:vAlign w:val="center"/>
                </w:tcPr>
                <w:p w14:paraId="673D346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color w:val="000000" w:themeColor="text1"/>
                      <w:sz w:val="21"/>
                      <w:szCs w:val="21"/>
                      <w:highlight w:val="none"/>
                      <w:lang w:val="en-US" w:eastAsia="zh-CN"/>
                    </w:rPr>
                  </w:pPr>
                  <w:r>
                    <w:rPr>
                      <w:rFonts w:hint="eastAsia"/>
                      <w:color w:val="000000" w:themeColor="text1"/>
                      <w:sz w:val="21"/>
                      <w:szCs w:val="21"/>
                      <w:highlight w:val="none"/>
                      <w:lang w:val="en-US" w:eastAsia="zh-CN"/>
                    </w:rPr>
                    <w:t>资源开发效率要求</w:t>
                  </w:r>
                </w:p>
              </w:tc>
              <w:tc>
                <w:tcPr>
                  <w:tcW w:w="2217" w:type="pct"/>
                  <w:tcBorders>
                    <w:tl2br w:val="nil"/>
                    <w:tr2bl w:val="nil"/>
                  </w:tcBorders>
                  <w:shd w:val="clear" w:color="auto" w:fill="auto"/>
                  <w:noWrap w:val="0"/>
                  <w:vAlign w:val="center"/>
                </w:tcPr>
                <w:p w14:paraId="68A6C7C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21"/>
                      <w:szCs w:val="21"/>
                      <w:highlight w:val="none"/>
                    </w:rPr>
                  </w:pPr>
                  <w:r>
                    <w:rPr>
                      <w:rFonts w:hint="eastAsia"/>
                      <w:color w:val="000000" w:themeColor="text1"/>
                      <w:sz w:val="21"/>
                      <w:szCs w:val="21"/>
                      <w:highlight w:val="none"/>
                      <w:lang w:val="en-US" w:eastAsia="zh-CN"/>
                    </w:rPr>
                    <w:t>产</w:t>
                  </w:r>
                  <w:r>
                    <w:rPr>
                      <w:rFonts w:hint="default"/>
                      <w:color w:val="000000" w:themeColor="text1"/>
                      <w:sz w:val="21"/>
                      <w:szCs w:val="21"/>
                      <w:highlight w:val="none"/>
                    </w:rPr>
                    <w:t>生、收集、贮存、运输、利用、处置固体废物的单位和个人</w:t>
                  </w:r>
                  <w:r>
                    <w:rPr>
                      <w:rFonts w:hint="eastAsia"/>
                      <w:color w:val="000000" w:themeColor="text1"/>
                      <w:sz w:val="21"/>
                      <w:szCs w:val="21"/>
                      <w:highlight w:val="none"/>
                      <w:lang w:eastAsia="zh-CN"/>
                    </w:rPr>
                    <w:t>，</w:t>
                  </w:r>
                  <w:r>
                    <w:rPr>
                      <w:rFonts w:hint="default"/>
                      <w:color w:val="000000" w:themeColor="text1"/>
                      <w:sz w:val="21"/>
                      <w:szCs w:val="21"/>
                      <w:highlight w:val="none"/>
                    </w:rPr>
                    <w:t>应当采取措施</w:t>
                  </w:r>
                  <w:r>
                    <w:rPr>
                      <w:rFonts w:hint="eastAsia"/>
                      <w:color w:val="000000" w:themeColor="text1"/>
                      <w:sz w:val="21"/>
                      <w:szCs w:val="21"/>
                      <w:highlight w:val="none"/>
                      <w:lang w:eastAsia="zh-CN"/>
                    </w:rPr>
                    <w:t>，</w:t>
                  </w:r>
                  <w:r>
                    <w:rPr>
                      <w:rFonts w:hint="default"/>
                      <w:color w:val="000000" w:themeColor="text1"/>
                      <w:sz w:val="21"/>
                      <w:szCs w:val="21"/>
                      <w:highlight w:val="none"/>
                    </w:rPr>
                    <w:t>防止或者减少固体废物对环境的污染</w:t>
                  </w:r>
                  <w:r>
                    <w:rPr>
                      <w:rFonts w:hint="eastAsia"/>
                      <w:color w:val="000000" w:themeColor="text1"/>
                      <w:sz w:val="21"/>
                      <w:szCs w:val="21"/>
                      <w:highlight w:val="none"/>
                      <w:lang w:eastAsia="zh-CN"/>
                    </w:rPr>
                    <w:t>，</w:t>
                  </w:r>
                  <w:r>
                    <w:rPr>
                      <w:rFonts w:hint="default"/>
                      <w:color w:val="000000" w:themeColor="text1"/>
                      <w:sz w:val="21"/>
                      <w:szCs w:val="21"/>
                      <w:highlight w:val="none"/>
                    </w:rPr>
                    <w:t>要求对所造成的环境污染依法承担责任。</w:t>
                  </w:r>
                </w:p>
              </w:tc>
              <w:tc>
                <w:tcPr>
                  <w:tcW w:w="1550" w:type="pct"/>
                  <w:tcBorders>
                    <w:tl2br w:val="nil"/>
                    <w:tr2bl w:val="nil"/>
                  </w:tcBorders>
                  <w:shd w:val="clear" w:color="auto" w:fill="auto"/>
                  <w:noWrap w:val="0"/>
                  <w:vAlign w:val="center"/>
                </w:tcPr>
                <w:p w14:paraId="0D47AE7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21"/>
                      <w:szCs w:val="21"/>
                      <w:highlight w:val="none"/>
                      <w:lang w:val="en-US"/>
                    </w:rPr>
                  </w:pPr>
                  <w:r>
                    <w:rPr>
                      <w:rFonts w:hint="eastAsia"/>
                      <w:color w:val="000000" w:themeColor="text1"/>
                      <w:sz w:val="21"/>
                      <w:szCs w:val="21"/>
                      <w:highlight w:val="none"/>
                      <w:lang w:val="en-US" w:eastAsia="zh-CN"/>
                    </w:rPr>
                    <w:t>项目生产过程各类固废分类存放，合理处置，对环境影响较小</w:t>
                  </w:r>
                </w:p>
              </w:tc>
              <w:tc>
                <w:tcPr>
                  <w:tcW w:w="505" w:type="pct"/>
                  <w:tcBorders>
                    <w:tl2br w:val="nil"/>
                    <w:tr2bl w:val="nil"/>
                  </w:tcBorders>
                  <w:shd w:val="clear" w:color="auto" w:fill="auto"/>
                  <w:noWrap w:val="0"/>
                  <w:vAlign w:val="center"/>
                </w:tcPr>
                <w:p w14:paraId="38B3E97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21"/>
                      <w:szCs w:val="21"/>
                      <w:highlight w:val="none"/>
                      <w:lang w:val="en-US" w:eastAsia="zh-CN"/>
                    </w:rPr>
                  </w:pPr>
                  <w:r>
                    <w:rPr>
                      <w:rFonts w:hint="eastAsia"/>
                      <w:color w:val="000000" w:themeColor="text1"/>
                      <w:sz w:val="21"/>
                      <w:szCs w:val="21"/>
                      <w:highlight w:val="none"/>
                      <w:lang w:val="en-US" w:eastAsia="zh-CN"/>
                    </w:rPr>
                    <w:t>符合</w:t>
                  </w:r>
                </w:p>
              </w:tc>
            </w:tr>
          </w:tbl>
          <w:p w14:paraId="0A8B011C">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000000" w:themeColor="text1"/>
                <w:sz w:val="24"/>
                <w:lang w:val="en-US" w:eastAsia="zh-CN"/>
              </w:rPr>
            </w:pPr>
            <w:r>
              <w:rPr>
                <w:rFonts w:hint="eastAsia" w:cs="Times New Roman"/>
                <w:color w:val="000000" w:themeColor="text1"/>
                <w:sz w:val="24"/>
                <w:lang w:val="en-US" w:eastAsia="zh-CN"/>
              </w:rPr>
              <w:t>②</w:t>
            </w:r>
            <w:r>
              <w:rPr>
                <w:rFonts w:hint="eastAsia" w:ascii="Times New Roman" w:hAnsi="Times New Roman" w:cs="Times New Roman"/>
                <w:color w:val="000000" w:themeColor="text1"/>
                <w:sz w:val="24"/>
                <w:lang w:val="en-US" w:eastAsia="zh-CN"/>
              </w:rPr>
              <w:t>与园区规划环评“负面清单”相符性分析</w:t>
            </w:r>
          </w:p>
          <w:p w14:paraId="38C87785">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cs="Times New Roman"/>
                <w:color w:val="000000" w:themeColor="text1"/>
                <w:sz w:val="24"/>
                <w:lang w:val="en-US" w:eastAsia="zh-CN"/>
              </w:rPr>
            </w:pPr>
            <w:r>
              <w:rPr>
                <w:rFonts w:hint="eastAsia" w:ascii="Times New Roman" w:hAnsi="Times New Roman" w:cs="Times New Roman"/>
                <w:color w:val="000000" w:themeColor="text1"/>
                <w:sz w:val="24"/>
                <w:lang w:val="en-US" w:eastAsia="zh-CN"/>
              </w:rPr>
              <w:t>对照《安徽淮北杜集经济开发区总体发展规划（2023-2035年）》生态环境准入清单，具体内容详见下表。</w:t>
            </w:r>
          </w:p>
          <w:p w14:paraId="4E2C077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bCs/>
                <w:color w:val="000000" w:themeColor="text1"/>
                <w:sz w:val="24"/>
                <w:lang w:val="en-US" w:eastAsia="zh-CN"/>
              </w:rPr>
            </w:pPr>
            <w:r>
              <w:rPr>
                <w:rFonts w:hint="eastAsia" w:ascii="Times New Roman" w:hAnsi="Times New Roman" w:cs="Times New Roman"/>
                <w:b/>
                <w:bCs/>
                <w:color w:val="000000" w:themeColor="text1"/>
                <w:sz w:val="24"/>
                <w:lang w:val="en-US" w:eastAsia="zh-CN"/>
              </w:rPr>
              <w:t>表1-</w:t>
            </w:r>
            <w:r>
              <w:rPr>
                <w:rFonts w:hint="eastAsia" w:cs="Times New Roman"/>
                <w:b/>
                <w:bCs/>
                <w:color w:val="000000" w:themeColor="text1"/>
                <w:sz w:val="24"/>
                <w:lang w:val="en-US" w:eastAsia="zh-CN"/>
              </w:rPr>
              <w:t>5</w:t>
            </w:r>
            <w:r>
              <w:rPr>
                <w:rFonts w:hint="eastAsia" w:ascii="Times New Roman" w:hAnsi="Times New Roman" w:cs="Times New Roman"/>
                <w:b/>
                <w:bCs/>
                <w:color w:val="000000" w:themeColor="text1"/>
                <w:sz w:val="24"/>
                <w:lang w:val="en-US" w:eastAsia="zh-CN"/>
              </w:rPr>
              <w:t xml:space="preserve">  与开发区生态环境准入清单</w:t>
            </w:r>
          </w:p>
          <w:tbl>
            <w:tblPr>
              <w:tblStyle w:val="3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2"/>
              <w:gridCol w:w="648"/>
              <w:gridCol w:w="836"/>
              <w:gridCol w:w="1600"/>
              <w:gridCol w:w="3571"/>
            </w:tblGrid>
            <w:tr w14:paraId="4D12DE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 w:type="pct"/>
                  <w:noWrap w:val="0"/>
                  <w:vAlign w:val="center"/>
                </w:tcPr>
                <w:p w14:paraId="56A0E0A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管控类别</w:t>
                  </w:r>
                </w:p>
              </w:tc>
              <w:tc>
                <w:tcPr>
                  <w:tcW w:w="443" w:type="pct"/>
                  <w:noWrap w:val="0"/>
                  <w:vAlign w:val="center"/>
                </w:tcPr>
                <w:p w14:paraId="47B5378F">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主导产业</w:t>
                  </w:r>
                </w:p>
              </w:tc>
              <w:tc>
                <w:tcPr>
                  <w:tcW w:w="1664" w:type="pct"/>
                  <w:gridSpan w:val="2"/>
                  <w:noWrap w:val="0"/>
                  <w:vAlign w:val="center"/>
                </w:tcPr>
                <w:p w14:paraId="53203BB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行业类别</w:t>
                  </w:r>
                </w:p>
              </w:tc>
              <w:tc>
                <w:tcPr>
                  <w:tcW w:w="2440" w:type="pct"/>
                  <w:noWrap w:val="0"/>
                  <w:vAlign w:val="center"/>
                </w:tcPr>
                <w:p w14:paraId="4ADFD75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备注</w:t>
                  </w:r>
                </w:p>
              </w:tc>
            </w:tr>
            <w:tr w14:paraId="30BFEC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 w:type="pct"/>
                  <w:vMerge w:val="restart"/>
                  <w:noWrap w:val="0"/>
                  <w:vAlign w:val="center"/>
                </w:tcPr>
                <w:p w14:paraId="3D292F8D">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鼓励类</w:t>
                  </w:r>
                </w:p>
              </w:tc>
              <w:tc>
                <w:tcPr>
                  <w:tcW w:w="443" w:type="pct"/>
                  <w:vMerge w:val="restart"/>
                  <w:noWrap w:val="0"/>
                  <w:vAlign w:val="center"/>
                </w:tcPr>
                <w:p w14:paraId="7BB3574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非金属新材料</w:t>
                  </w:r>
                </w:p>
              </w:tc>
              <w:tc>
                <w:tcPr>
                  <w:tcW w:w="571" w:type="pct"/>
                  <w:vMerge w:val="restart"/>
                  <w:noWrap w:val="0"/>
                  <w:vAlign w:val="center"/>
                </w:tcPr>
                <w:p w14:paraId="55C60B5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30 非金矿物制品业</w:t>
                  </w:r>
                </w:p>
              </w:tc>
              <w:tc>
                <w:tcPr>
                  <w:tcW w:w="1092" w:type="pct"/>
                  <w:noWrap w:val="0"/>
                  <w:vAlign w:val="center"/>
                </w:tcPr>
                <w:p w14:paraId="7BD4C6D7">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301 水泥、石灰、石膏制造</w:t>
                  </w:r>
                </w:p>
              </w:tc>
              <w:tc>
                <w:tcPr>
                  <w:tcW w:w="2440" w:type="pct"/>
                  <w:noWrap w:val="0"/>
                  <w:vAlign w:val="center"/>
                </w:tcPr>
                <w:p w14:paraId="7B362AC2">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3012 石灰和石膏制造</w:t>
                  </w:r>
                </w:p>
              </w:tc>
            </w:tr>
            <w:tr w14:paraId="41D554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 w:type="pct"/>
                  <w:vMerge w:val="continue"/>
                  <w:noWrap w:val="0"/>
                  <w:vAlign w:val="center"/>
                </w:tcPr>
                <w:p w14:paraId="7E268CB1">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000000" w:themeColor="text1"/>
                      <w:sz w:val="21"/>
                      <w:szCs w:val="21"/>
                      <w:vertAlign w:val="baseline"/>
                      <w:lang w:val="en-US" w:eastAsia="zh-CN"/>
                    </w:rPr>
                  </w:pPr>
                </w:p>
              </w:tc>
              <w:tc>
                <w:tcPr>
                  <w:tcW w:w="443" w:type="pct"/>
                  <w:vMerge w:val="continue"/>
                  <w:noWrap w:val="0"/>
                  <w:vAlign w:val="center"/>
                </w:tcPr>
                <w:p w14:paraId="6AE0B9F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000000" w:themeColor="text1"/>
                      <w:sz w:val="21"/>
                      <w:szCs w:val="21"/>
                      <w:vertAlign w:val="baseline"/>
                      <w:lang w:val="en-US" w:eastAsia="zh-CN"/>
                    </w:rPr>
                  </w:pPr>
                </w:p>
              </w:tc>
              <w:tc>
                <w:tcPr>
                  <w:tcW w:w="571" w:type="pct"/>
                  <w:vMerge w:val="continue"/>
                  <w:noWrap w:val="0"/>
                  <w:vAlign w:val="center"/>
                </w:tcPr>
                <w:p w14:paraId="4324AC8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p>
              </w:tc>
              <w:tc>
                <w:tcPr>
                  <w:tcW w:w="1092" w:type="pct"/>
                  <w:noWrap w:val="0"/>
                  <w:vAlign w:val="center"/>
                </w:tcPr>
                <w:p w14:paraId="764A2F4E">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302石膏、水泥制品及类似制品制造</w:t>
                  </w:r>
                </w:p>
              </w:tc>
              <w:tc>
                <w:tcPr>
                  <w:tcW w:w="2440" w:type="pct"/>
                  <w:noWrap w:val="0"/>
                  <w:vAlign w:val="center"/>
                </w:tcPr>
                <w:p w14:paraId="0FA968F0">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3021 水泥制品制造</w:t>
                  </w:r>
                </w:p>
                <w:p w14:paraId="7D4A444F">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3022 砼结构构件制造</w:t>
                  </w:r>
                </w:p>
                <w:p w14:paraId="10ADBAB7">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3023 石棉水泥制品制造</w:t>
                  </w:r>
                </w:p>
                <w:p w14:paraId="356F6A90">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3024 轻质建筑材料制造</w:t>
                  </w:r>
                </w:p>
                <w:p w14:paraId="6CE72ED2">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3029 其他水泥类似制品制造</w:t>
                  </w:r>
                </w:p>
              </w:tc>
            </w:tr>
            <w:tr w14:paraId="353BB0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 w:type="pct"/>
                  <w:vMerge w:val="continue"/>
                  <w:noWrap w:val="0"/>
                  <w:vAlign w:val="center"/>
                </w:tcPr>
                <w:p w14:paraId="3E790ECF">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000000" w:themeColor="text1"/>
                      <w:sz w:val="21"/>
                      <w:szCs w:val="21"/>
                      <w:vertAlign w:val="baseline"/>
                      <w:lang w:val="en-US" w:eastAsia="zh-CN"/>
                    </w:rPr>
                  </w:pPr>
                </w:p>
              </w:tc>
              <w:tc>
                <w:tcPr>
                  <w:tcW w:w="443" w:type="pct"/>
                  <w:vMerge w:val="continue"/>
                  <w:noWrap w:val="0"/>
                  <w:vAlign w:val="center"/>
                </w:tcPr>
                <w:p w14:paraId="03A1A35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000000" w:themeColor="text1"/>
                      <w:sz w:val="21"/>
                      <w:szCs w:val="21"/>
                      <w:vertAlign w:val="baseline"/>
                      <w:lang w:val="en-US" w:eastAsia="zh-CN"/>
                    </w:rPr>
                  </w:pPr>
                </w:p>
              </w:tc>
              <w:tc>
                <w:tcPr>
                  <w:tcW w:w="571" w:type="pct"/>
                  <w:vMerge w:val="continue"/>
                  <w:noWrap w:val="0"/>
                  <w:vAlign w:val="center"/>
                </w:tcPr>
                <w:p w14:paraId="327785B2">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p>
              </w:tc>
              <w:tc>
                <w:tcPr>
                  <w:tcW w:w="1092" w:type="pct"/>
                  <w:noWrap w:val="0"/>
                  <w:vAlign w:val="center"/>
                </w:tcPr>
                <w:p w14:paraId="37CB6BB6">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304 玻璃制造</w:t>
                  </w:r>
                </w:p>
              </w:tc>
              <w:tc>
                <w:tcPr>
                  <w:tcW w:w="2440" w:type="pct"/>
                  <w:noWrap w:val="0"/>
                  <w:vAlign w:val="center"/>
                </w:tcPr>
                <w:p w14:paraId="3AB6EE60">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3042 特种玻璃制造</w:t>
                  </w:r>
                </w:p>
                <w:p w14:paraId="11D8AEE8">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3049 其他玻璃制造</w:t>
                  </w:r>
                </w:p>
              </w:tc>
            </w:tr>
            <w:tr w14:paraId="767BCF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 w:type="pct"/>
                  <w:vMerge w:val="continue"/>
                  <w:noWrap w:val="0"/>
                  <w:vAlign w:val="center"/>
                </w:tcPr>
                <w:p w14:paraId="51248D13">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000000" w:themeColor="text1"/>
                      <w:sz w:val="21"/>
                      <w:szCs w:val="21"/>
                      <w:vertAlign w:val="baseline"/>
                      <w:lang w:val="en-US" w:eastAsia="zh-CN"/>
                    </w:rPr>
                  </w:pPr>
                </w:p>
              </w:tc>
              <w:tc>
                <w:tcPr>
                  <w:tcW w:w="443" w:type="pct"/>
                  <w:vMerge w:val="restart"/>
                  <w:noWrap w:val="0"/>
                  <w:vAlign w:val="center"/>
                </w:tcPr>
                <w:p w14:paraId="2FB8FCC0">
                  <w:pPr>
                    <w:spacing w:line="240" w:lineRule="auto"/>
                    <w:ind w:firstLine="0" w:firstLineChars="0"/>
                    <w:jc w:val="center"/>
                    <w:textAlignment w:val="center"/>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cs="Times New Roman"/>
                      <w:bCs/>
                      <w:color w:val="000000" w:themeColor="text1"/>
                      <w:sz w:val="21"/>
                      <w:szCs w:val="21"/>
                    </w:rPr>
                    <w:t>装备制造业</w:t>
                  </w:r>
                </w:p>
              </w:tc>
              <w:tc>
                <w:tcPr>
                  <w:tcW w:w="571" w:type="pct"/>
                  <w:vMerge w:val="restart"/>
                  <w:noWrap w:val="0"/>
                  <w:vAlign w:val="center"/>
                </w:tcPr>
                <w:p w14:paraId="65B8A5FF">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cs="Times New Roman"/>
                      <w:color w:val="000000" w:themeColor="text1"/>
                      <w:sz w:val="21"/>
                      <w:szCs w:val="21"/>
                    </w:rPr>
                    <w:t>35专用设备制造业</w:t>
                  </w:r>
                </w:p>
              </w:tc>
              <w:tc>
                <w:tcPr>
                  <w:tcW w:w="1092" w:type="pct"/>
                  <w:noWrap w:val="0"/>
                  <w:vAlign w:val="center"/>
                </w:tcPr>
                <w:p w14:paraId="0E5B8956">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cs="Times New Roman"/>
                      <w:color w:val="000000" w:themeColor="text1"/>
                      <w:sz w:val="21"/>
                      <w:szCs w:val="21"/>
                    </w:rPr>
                    <w:t>351采矿、冶金、建筑专用设备制造</w:t>
                  </w:r>
                </w:p>
              </w:tc>
              <w:tc>
                <w:tcPr>
                  <w:tcW w:w="2440" w:type="pct"/>
                  <w:noWrap w:val="0"/>
                  <w:vAlign w:val="center"/>
                </w:tcPr>
                <w:p w14:paraId="4BB9DEBC">
                  <w:pPr>
                    <w:widowControl/>
                    <w:spacing w:line="240" w:lineRule="auto"/>
                    <w:ind w:firstLine="0" w:firstLineChars="0"/>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3511矿山机械制造</w:t>
                  </w:r>
                </w:p>
                <w:p w14:paraId="77467C5B">
                  <w:pPr>
                    <w:widowControl/>
                    <w:spacing w:line="240" w:lineRule="auto"/>
                    <w:ind w:firstLine="0" w:firstLineChars="0"/>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3512石油钻采专用设备制造</w:t>
                  </w:r>
                </w:p>
                <w:p w14:paraId="564C9F43">
                  <w:pPr>
                    <w:widowControl/>
                    <w:spacing w:line="240" w:lineRule="auto"/>
                    <w:ind w:firstLine="0" w:firstLineChars="0"/>
                    <w:textAlignment w:val="center"/>
                    <w:rPr>
                      <w:rFonts w:hint="default" w:ascii="Times New Roman" w:hAnsi="Times New Roman" w:cs="Times New Roman"/>
                      <w:color w:val="000000" w:themeColor="text1"/>
                    </w:rPr>
                  </w:pPr>
                  <w:r>
                    <w:rPr>
                      <w:rFonts w:hint="default" w:ascii="Times New Roman" w:hAnsi="Times New Roman" w:cs="Times New Roman"/>
                      <w:color w:val="000000" w:themeColor="text1"/>
                      <w:sz w:val="21"/>
                      <w:szCs w:val="21"/>
                    </w:rPr>
                    <w:t>3513深海石油钻探设备制造</w:t>
                  </w:r>
                </w:p>
                <w:p w14:paraId="59C4254B">
                  <w:pPr>
                    <w:widowControl/>
                    <w:spacing w:line="240" w:lineRule="auto"/>
                    <w:ind w:firstLine="0" w:firstLineChars="0"/>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3514建筑工程用机械制造</w:t>
                  </w:r>
                </w:p>
                <w:p w14:paraId="17106B6F">
                  <w:pPr>
                    <w:widowControl/>
                    <w:spacing w:line="240" w:lineRule="auto"/>
                    <w:ind w:firstLine="0" w:firstLineChars="0"/>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3515建筑材料生产专用机械制造</w:t>
                  </w:r>
                </w:p>
                <w:p w14:paraId="4B6C4483">
                  <w:pPr>
                    <w:widowControl/>
                    <w:spacing w:line="240" w:lineRule="auto"/>
                    <w:ind w:firstLine="0" w:firstLineChars="0"/>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3516冶金专用设备制造</w:t>
                  </w:r>
                </w:p>
                <w:p w14:paraId="226B5C79">
                  <w:pPr>
                    <w:widowControl/>
                    <w:spacing w:line="240" w:lineRule="auto"/>
                    <w:ind w:firstLine="0" w:firstLineChars="0"/>
                    <w:textAlignment w:val="center"/>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cs="Times New Roman"/>
                      <w:color w:val="000000" w:themeColor="text1"/>
                      <w:sz w:val="21"/>
                      <w:szCs w:val="21"/>
                    </w:rPr>
                    <w:t>3517隧道施工专用机械制造</w:t>
                  </w:r>
                </w:p>
              </w:tc>
            </w:tr>
            <w:tr w14:paraId="08789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 w:type="pct"/>
                  <w:vMerge w:val="continue"/>
                  <w:noWrap w:val="0"/>
                  <w:vAlign w:val="center"/>
                </w:tcPr>
                <w:p w14:paraId="61538147">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000000" w:themeColor="text1"/>
                      <w:sz w:val="21"/>
                      <w:szCs w:val="21"/>
                      <w:vertAlign w:val="baseline"/>
                      <w:lang w:val="en-US" w:eastAsia="zh-CN"/>
                    </w:rPr>
                  </w:pPr>
                </w:p>
              </w:tc>
              <w:tc>
                <w:tcPr>
                  <w:tcW w:w="443" w:type="pct"/>
                  <w:vMerge w:val="continue"/>
                  <w:noWrap w:val="0"/>
                  <w:vAlign w:val="center"/>
                </w:tcPr>
                <w:p w14:paraId="669E9A47">
                  <w:pPr>
                    <w:widowControl/>
                    <w:spacing w:line="240" w:lineRule="auto"/>
                    <w:ind w:firstLine="0" w:firstLineChars="0"/>
                    <w:jc w:val="left"/>
                    <w:rPr>
                      <w:rFonts w:hint="default" w:ascii="Times New Roman" w:hAnsi="Times New Roman" w:eastAsia="宋体" w:cs="Times New Roman"/>
                      <w:color w:val="000000" w:themeColor="text1"/>
                      <w:sz w:val="21"/>
                      <w:szCs w:val="21"/>
                      <w:vertAlign w:val="baseline"/>
                      <w:lang w:val="en-US" w:eastAsia="zh-CN"/>
                    </w:rPr>
                  </w:pPr>
                </w:p>
              </w:tc>
              <w:tc>
                <w:tcPr>
                  <w:tcW w:w="571" w:type="pct"/>
                  <w:vMerge w:val="continue"/>
                  <w:noWrap w:val="0"/>
                  <w:vAlign w:val="center"/>
                </w:tcPr>
                <w:p w14:paraId="7433BF24">
                  <w:pPr>
                    <w:widowControl/>
                    <w:spacing w:line="240" w:lineRule="auto"/>
                    <w:ind w:firstLine="0" w:firstLineChars="0"/>
                    <w:jc w:val="left"/>
                    <w:rPr>
                      <w:rFonts w:hint="default" w:ascii="Times New Roman" w:hAnsi="Times New Roman" w:eastAsia="宋体" w:cs="Times New Roman"/>
                      <w:color w:val="000000" w:themeColor="text1"/>
                      <w:sz w:val="21"/>
                      <w:szCs w:val="21"/>
                      <w:vertAlign w:val="baseline"/>
                      <w:lang w:val="en-US" w:eastAsia="zh-CN"/>
                    </w:rPr>
                  </w:pPr>
                </w:p>
              </w:tc>
              <w:tc>
                <w:tcPr>
                  <w:tcW w:w="1092" w:type="pct"/>
                  <w:noWrap w:val="0"/>
                  <w:vAlign w:val="center"/>
                </w:tcPr>
                <w:p w14:paraId="6A0DB8FA">
                  <w:pPr>
                    <w:widowControl/>
                    <w:spacing w:line="240" w:lineRule="auto"/>
                    <w:ind w:firstLine="0" w:firstLineChars="0"/>
                    <w:jc w:val="center"/>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352化工、木材、非金属加工专用设备制造</w:t>
                  </w:r>
                </w:p>
                <w:p w14:paraId="248E1880">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vertAlign w:val="baseline"/>
                      <w:lang w:val="en-US" w:eastAsia="zh-CN"/>
                    </w:rPr>
                  </w:pPr>
                </w:p>
              </w:tc>
              <w:tc>
                <w:tcPr>
                  <w:tcW w:w="2440" w:type="pct"/>
                  <w:noWrap w:val="0"/>
                  <w:vAlign w:val="center"/>
                </w:tcPr>
                <w:p w14:paraId="04AB379A">
                  <w:pPr>
                    <w:widowControl/>
                    <w:spacing w:line="240" w:lineRule="auto"/>
                    <w:ind w:firstLine="0" w:firstLineChars="0"/>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3521炼油、化工生产专用设备制造</w:t>
                  </w:r>
                </w:p>
                <w:p w14:paraId="21E5252D">
                  <w:pPr>
                    <w:widowControl/>
                    <w:spacing w:line="240" w:lineRule="auto"/>
                    <w:ind w:firstLine="0" w:firstLineChars="0"/>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3522橡胶加工专用设备制造</w:t>
                  </w:r>
                </w:p>
                <w:p w14:paraId="7CD4A419">
                  <w:pPr>
                    <w:widowControl/>
                    <w:spacing w:line="240" w:lineRule="auto"/>
                    <w:ind w:firstLine="0" w:firstLineChars="0"/>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3523塑料加工专用设备制造</w:t>
                  </w:r>
                </w:p>
                <w:p w14:paraId="7AB7687D">
                  <w:pPr>
                    <w:widowControl/>
                    <w:spacing w:line="240" w:lineRule="auto"/>
                    <w:ind w:firstLine="0" w:firstLineChars="0"/>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3524木竹材加工机械制造</w:t>
                  </w:r>
                </w:p>
                <w:p w14:paraId="4AA7D404">
                  <w:pPr>
                    <w:widowControl/>
                    <w:spacing w:line="240" w:lineRule="auto"/>
                    <w:ind w:firstLine="0" w:firstLineChars="0"/>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3525模具制造</w:t>
                  </w:r>
                </w:p>
                <w:p w14:paraId="3F60E989">
                  <w:pPr>
                    <w:widowControl/>
                    <w:spacing w:line="240" w:lineRule="auto"/>
                    <w:ind w:firstLine="0" w:firstLineChars="0"/>
                    <w:textAlignment w:val="center"/>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cs="Times New Roman"/>
                      <w:color w:val="000000" w:themeColor="text1"/>
                      <w:sz w:val="21"/>
                      <w:szCs w:val="21"/>
                    </w:rPr>
                    <w:t xml:space="preserve">3529其他非金属加工专用设备制造 </w:t>
                  </w:r>
                </w:p>
              </w:tc>
            </w:tr>
            <w:tr w14:paraId="3335FA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 w:type="pct"/>
                  <w:vMerge w:val="continue"/>
                  <w:noWrap w:val="0"/>
                  <w:vAlign w:val="center"/>
                </w:tcPr>
                <w:p w14:paraId="4E47DC36">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000000" w:themeColor="text1"/>
                      <w:sz w:val="21"/>
                      <w:szCs w:val="21"/>
                      <w:vertAlign w:val="baseline"/>
                      <w:lang w:val="en-US" w:eastAsia="zh-CN"/>
                    </w:rPr>
                  </w:pPr>
                </w:p>
              </w:tc>
              <w:tc>
                <w:tcPr>
                  <w:tcW w:w="443" w:type="pct"/>
                  <w:vMerge w:val="continue"/>
                  <w:noWrap w:val="0"/>
                  <w:vAlign w:val="center"/>
                </w:tcPr>
                <w:p w14:paraId="0F355BD6">
                  <w:pPr>
                    <w:widowControl/>
                    <w:spacing w:line="240" w:lineRule="auto"/>
                    <w:ind w:firstLine="0" w:firstLineChars="0"/>
                    <w:jc w:val="left"/>
                    <w:rPr>
                      <w:rFonts w:hint="default" w:ascii="Times New Roman" w:hAnsi="Times New Roman" w:eastAsia="宋体" w:cs="Times New Roman"/>
                      <w:color w:val="000000" w:themeColor="text1"/>
                      <w:sz w:val="21"/>
                      <w:szCs w:val="21"/>
                      <w:vertAlign w:val="baseline"/>
                      <w:lang w:val="en-US" w:eastAsia="zh-CN"/>
                    </w:rPr>
                  </w:pPr>
                </w:p>
              </w:tc>
              <w:tc>
                <w:tcPr>
                  <w:tcW w:w="571" w:type="pct"/>
                  <w:vMerge w:val="continue"/>
                  <w:noWrap w:val="0"/>
                  <w:vAlign w:val="center"/>
                </w:tcPr>
                <w:p w14:paraId="49595DC0">
                  <w:pPr>
                    <w:widowControl/>
                    <w:spacing w:line="240" w:lineRule="auto"/>
                    <w:ind w:firstLine="0" w:firstLineChars="0"/>
                    <w:jc w:val="left"/>
                    <w:rPr>
                      <w:rFonts w:hint="default" w:ascii="Times New Roman" w:hAnsi="Times New Roman" w:eastAsia="宋体" w:cs="Times New Roman"/>
                      <w:color w:val="000000" w:themeColor="text1"/>
                      <w:sz w:val="21"/>
                      <w:szCs w:val="21"/>
                      <w:vertAlign w:val="baseline"/>
                      <w:lang w:val="en-US" w:eastAsia="zh-CN"/>
                    </w:rPr>
                  </w:pPr>
                </w:p>
              </w:tc>
              <w:tc>
                <w:tcPr>
                  <w:tcW w:w="1092" w:type="pct"/>
                  <w:noWrap w:val="0"/>
                  <w:vAlign w:val="center"/>
                </w:tcPr>
                <w:p w14:paraId="28EB9082">
                  <w:pPr>
                    <w:widowControl/>
                    <w:spacing w:line="240" w:lineRule="auto"/>
                    <w:ind w:firstLine="0" w:firstLineChars="0"/>
                    <w:textAlignment w:val="center"/>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cs="Times New Roman"/>
                      <w:color w:val="000000" w:themeColor="text1"/>
                      <w:sz w:val="21"/>
                      <w:szCs w:val="21"/>
                    </w:rPr>
                    <w:t>356 电子和电工机械专用设备制造</w:t>
                  </w:r>
                </w:p>
              </w:tc>
              <w:tc>
                <w:tcPr>
                  <w:tcW w:w="2440" w:type="pct"/>
                  <w:noWrap w:val="0"/>
                  <w:vAlign w:val="center"/>
                </w:tcPr>
                <w:p w14:paraId="05831C68">
                  <w:pPr>
                    <w:widowControl/>
                    <w:spacing w:line="240" w:lineRule="auto"/>
                    <w:ind w:firstLine="0" w:firstLineChars="0"/>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3561电工机械专用设备制造</w:t>
                  </w:r>
                </w:p>
                <w:p w14:paraId="5E6A698C">
                  <w:pPr>
                    <w:widowControl/>
                    <w:spacing w:line="240" w:lineRule="auto"/>
                    <w:ind w:firstLine="0" w:firstLineChars="0"/>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3562半导体器件专用设备制造</w:t>
                  </w:r>
                </w:p>
                <w:p w14:paraId="77D8F7D7">
                  <w:pPr>
                    <w:widowControl/>
                    <w:spacing w:line="240" w:lineRule="auto"/>
                    <w:ind w:firstLine="0" w:firstLineChars="0"/>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3563电子元器件与机电组件设备制造</w:t>
                  </w:r>
                </w:p>
                <w:p w14:paraId="45771997">
                  <w:pPr>
                    <w:widowControl/>
                    <w:spacing w:line="240" w:lineRule="auto"/>
                    <w:ind w:firstLine="0" w:firstLineChars="0"/>
                    <w:textAlignment w:val="center"/>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cs="Times New Roman"/>
                      <w:color w:val="000000" w:themeColor="text1"/>
                      <w:sz w:val="21"/>
                      <w:szCs w:val="21"/>
                    </w:rPr>
                    <w:t>3569其他电子专用设备制造</w:t>
                  </w:r>
                </w:p>
              </w:tc>
            </w:tr>
            <w:tr w14:paraId="3E9E90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 w:type="pct"/>
                  <w:vMerge w:val="continue"/>
                  <w:noWrap w:val="0"/>
                  <w:vAlign w:val="center"/>
                </w:tcPr>
                <w:p w14:paraId="54E6324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000000" w:themeColor="text1"/>
                      <w:sz w:val="21"/>
                      <w:szCs w:val="21"/>
                      <w:vertAlign w:val="baseline"/>
                      <w:lang w:val="en-US" w:eastAsia="zh-CN"/>
                    </w:rPr>
                  </w:pPr>
                </w:p>
              </w:tc>
              <w:tc>
                <w:tcPr>
                  <w:tcW w:w="443" w:type="pct"/>
                  <w:vMerge w:val="restart"/>
                  <w:noWrap w:val="0"/>
                  <w:vAlign w:val="center"/>
                </w:tcPr>
                <w:p w14:paraId="0C236C0F">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cs="Times New Roman"/>
                      <w:bCs/>
                      <w:color w:val="000000" w:themeColor="text1"/>
                      <w:sz w:val="21"/>
                      <w:szCs w:val="21"/>
                    </w:rPr>
                    <w:t>电气机械制造</w:t>
                  </w:r>
                </w:p>
              </w:tc>
              <w:tc>
                <w:tcPr>
                  <w:tcW w:w="571" w:type="pct"/>
                  <w:vMerge w:val="restart"/>
                  <w:noWrap w:val="0"/>
                  <w:vAlign w:val="center"/>
                </w:tcPr>
                <w:p w14:paraId="7FC58747">
                  <w:pPr>
                    <w:widowControl/>
                    <w:spacing w:line="240" w:lineRule="auto"/>
                    <w:ind w:firstLine="0" w:firstLineChars="0"/>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cs="Times New Roman"/>
                      <w:color w:val="000000" w:themeColor="text1"/>
                      <w:sz w:val="21"/>
                      <w:szCs w:val="21"/>
                    </w:rPr>
                    <w:t>38电气机械和器材制造业</w:t>
                  </w:r>
                </w:p>
              </w:tc>
              <w:tc>
                <w:tcPr>
                  <w:tcW w:w="1092" w:type="pct"/>
                  <w:noWrap w:val="0"/>
                  <w:vAlign w:val="center"/>
                </w:tcPr>
                <w:p w14:paraId="43AB76B9">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cs="Times New Roman"/>
                      <w:color w:val="000000" w:themeColor="text1"/>
                      <w:sz w:val="21"/>
                      <w:szCs w:val="21"/>
                    </w:rPr>
                    <w:t xml:space="preserve">382输配电及控制设备制造 </w:t>
                  </w:r>
                </w:p>
              </w:tc>
              <w:tc>
                <w:tcPr>
                  <w:tcW w:w="2440" w:type="pct"/>
                  <w:noWrap w:val="0"/>
                  <w:vAlign w:val="center"/>
                </w:tcPr>
                <w:p w14:paraId="4AF3E934">
                  <w:pPr>
                    <w:widowControl/>
                    <w:spacing w:line="240" w:lineRule="auto"/>
                    <w:ind w:firstLine="0" w:firstLineChars="0"/>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3821变压器、整流器和电感器制造</w:t>
                  </w:r>
                </w:p>
                <w:p w14:paraId="70140435">
                  <w:pPr>
                    <w:widowControl/>
                    <w:spacing w:line="240" w:lineRule="auto"/>
                    <w:ind w:firstLine="0" w:firstLineChars="0"/>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3822电容器及其配套设备制造</w:t>
                  </w:r>
                </w:p>
                <w:p w14:paraId="1A98CA3D">
                  <w:pPr>
                    <w:widowControl/>
                    <w:spacing w:line="240" w:lineRule="auto"/>
                    <w:ind w:firstLine="0" w:firstLineChars="0"/>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3823配电开关控制设备制造</w:t>
                  </w:r>
                </w:p>
                <w:p w14:paraId="648F01D2">
                  <w:pPr>
                    <w:widowControl/>
                    <w:spacing w:line="240" w:lineRule="auto"/>
                    <w:ind w:firstLine="0" w:firstLineChars="0"/>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3824电力电子元器件制造</w:t>
                  </w:r>
                </w:p>
                <w:p w14:paraId="62BB4873">
                  <w:pPr>
                    <w:widowControl/>
                    <w:spacing w:line="240" w:lineRule="auto"/>
                    <w:ind w:firstLine="0" w:firstLineChars="0"/>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3825光伏设备及元器件制造</w:t>
                  </w:r>
                </w:p>
                <w:p w14:paraId="390C56A2">
                  <w:pPr>
                    <w:widowControl/>
                    <w:spacing w:line="240" w:lineRule="auto"/>
                    <w:ind w:firstLine="0" w:firstLineChars="0"/>
                    <w:textAlignment w:val="center"/>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cs="Times New Roman"/>
                      <w:color w:val="000000" w:themeColor="text1"/>
                      <w:sz w:val="21"/>
                      <w:szCs w:val="21"/>
                    </w:rPr>
                    <w:t>3829其他输配电及控制设备制造</w:t>
                  </w:r>
                </w:p>
              </w:tc>
            </w:tr>
            <w:tr w14:paraId="50D82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 w:type="pct"/>
                  <w:vMerge w:val="continue"/>
                  <w:noWrap w:val="0"/>
                  <w:vAlign w:val="center"/>
                </w:tcPr>
                <w:p w14:paraId="033414D3">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000000" w:themeColor="text1"/>
                      <w:sz w:val="21"/>
                      <w:szCs w:val="21"/>
                      <w:vertAlign w:val="baseline"/>
                      <w:lang w:val="en-US" w:eastAsia="zh-CN"/>
                    </w:rPr>
                  </w:pPr>
                </w:p>
              </w:tc>
              <w:tc>
                <w:tcPr>
                  <w:tcW w:w="443" w:type="pct"/>
                  <w:vMerge w:val="continue"/>
                  <w:noWrap w:val="0"/>
                  <w:vAlign w:val="center"/>
                </w:tcPr>
                <w:p w14:paraId="4126D71D">
                  <w:pPr>
                    <w:widowControl/>
                    <w:spacing w:line="240" w:lineRule="auto"/>
                    <w:ind w:firstLine="0" w:firstLineChars="0"/>
                    <w:jc w:val="left"/>
                    <w:rPr>
                      <w:rFonts w:hint="default" w:ascii="Times New Roman" w:hAnsi="Times New Roman" w:eastAsia="宋体" w:cs="Times New Roman"/>
                      <w:color w:val="000000" w:themeColor="text1"/>
                      <w:sz w:val="21"/>
                      <w:szCs w:val="21"/>
                      <w:vertAlign w:val="baseline"/>
                      <w:lang w:val="en-US" w:eastAsia="zh-CN"/>
                    </w:rPr>
                  </w:pPr>
                </w:p>
              </w:tc>
              <w:tc>
                <w:tcPr>
                  <w:tcW w:w="571" w:type="pct"/>
                  <w:vMerge w:val="continue"/>
                  <w:noWrap w:val="0"/>
                  <w:vAlign w:val="center"/>
                </w:tcPr>
                <w:p w14:paraId="368DC6B3">
                  <w:pPr>
                    <w:widowControl/>
                    <w:spacing w:line="240" w:lineRule="auto"/>
                    <w:ind w:firstLine="0" w:firstLineChars="0"/>
                    <w:jc w:val="left"/>
                    <w:rPr>
                      <w:rFonts w:hint="default" w:ascii="Times New Roman" w:hAnsi="Times New Roman" w:eastAsia="宋体" w:cs="Times New Roman"/>
                      <w:color w:val="000000" w:themeColor="text1"/>
                      <w:sz w:val="21"/>
                      <w:szCs w:val="21"/>
                      <w:vertAlign w:val="baseline"/>
                      <w:lang w:val="en-US" w:eastAsia="zh-CN"/>
                    </w:rPr>
                  </w:pPr>
                </w:p>
              </w:tc>
              <w:tc>
                <w:tcPr>
                  <w:tcW w:w="1092" w:type="pct"/>
                  <w:noWrap w:val="0"/>
                  <w:vAlign w:val="center"/>
                </w:tcPr>
                <w:p w14:paraId="6DE5868D">
                  <w:pPr>
                    <w:widowControl/>
                    <w:spacing w:line="240" w:lineRule="auto"/>
                    <w:ind w:firstLine="0" w:firstLineChars="0"/>
                    <w:jc w:val="center"/>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383电线、电缆、光缆及电工器材制造</w:t>
                  </w:r>
                </w:p>
                <w:p w14:paraId="23D37E3E">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vertAlign w:val="baseline"/>
                      <w:lang w:val="en-US" w:eastAsia="zh-CN"/>
                    </w:rPr>
                  </w:pPr>
                </w:p>
              </w:tc>
              <w:tc>
                <w:tcPr>
                  <w:tcW w:w="2440" w:type="pct"/>
                  <w:noWrap w:val="0"/>
                  <w:vAlign w:val="center"/>
                </w:tcPr>
                <w:p w14:paraId="6D178838">
                  <w:pPr>
                    <w:widowControl/>
                    <w:spacing w:line="240" w:lineRule="auto"/>
                    <w:ind w:firstLine="0" w:firstLineChars="0"/>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3831电线、电缆制造</w:t>
                  </w:r>
                </w:p>
                <w:p w14:paraId="30F52479">
                  <w:pPr>
                    <w:widowControl/>
                    <w:spacing w:line="240" w:lineRule="auto"/>
                    <w:ind w:firstLine="0" w:firstLineChars="0"/>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3832光纤制造</w:t>
                  </w:r>
                </w:p>
                <w:p w14:paraId="2FDE7974">
                  <w:pPr>
                    <w:widowControl/>
                    <w:spacing w:line="240" w:lineRule="auto"/>
                    <w:ind w:firstLine="0" w:firstLineChars="0"/>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3833光缆制造</w:t>
                  </w:r>
                </w:p>
                <w:p w14:paraId="5866BD73">
                  <w:pPr>
                    <w:widowControl/>
                    <w:spacing w:line="240" w:lineRule="auto"/>
                    <w:ind w:firstLine="0" w:firstLineChars="0"/>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3834绝缘制品制造</w:t>
                  </w:r>
                </w:p>
                <w:p w14:paraId="22658B0D">
                  <w:pPr>
                    <w:widowControl/>
                    <w:spacing w:line="240" w:lineRule="auto"/>
                    <w:ind w:firstLine="0" w:firstLineChars="0"/>
                    <w:textAlignment w:val="center"/>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cs="Times New Roman"/>
                      <w:color w:val="000000" w:themeColor="text1"/>
                      <w:sz w:val="21"/>
                      <w:szCs w:val="21"/>
                    </w:rPr>
                    <w:t>3839其他电工器材制造</w:t>
                  </w:r>
                </w:p>
              </w:tc>
            </w:tr>
            <w:tr w14:paraId="09BF94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2" w:type="pct"/>
                  <w:vMerge w:val="continue"/>
                  <w:noWrap w:val="0"/>
                  <w:vAlign w:val="center"/>
                </w:tcPr>
                <w:p w14:paraId="2C0BE556">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000000" w:themeColor="text1"/>
                      <w:sz w:val="21"/>
                      <w:szCs w:val="21"/>
                      <w:vertAlign w:val="baseline"/>
                      <w:lang w:val="en-US" w:eastAsia="zh-CN"/>
                    </w:rPr>
                  </w:pPr>
                </w:p>
              </w:tc>
              <w:tc>
                <w:tcPr>
                  <w:tcW w:w="443" w:type="pct"/>
                  <w:vMerge w:val="continue"/>
                  <w:noWrap w:val="0"/>
                  <w:vAlign w:val="center"/>
                </w:tcPr>
                <w:p w14:paraId="21AEDC88">
                  <w:pPr>
                    <w:widowControl/>
                    <w:spacing w:line="240" w:lineRule="auto"/>
                    <w:ind w:firstLine="0" w:firstLineChars="0"/>
                    <w:jc w:val="left"/>
                    <w:rPr>
                      <w:rFonts w:hint="default" w:ascii="Times New Roman" w:hAnsi="Times New Roman" w:eastAsia="宋体" w:cs="Times New Roman"/>
                      <w:color w:val="000000" w:themeColor="text1"/>
                      <w:sz w:val="21"/>
                      <w:szCs w:val="21"/>
                      <w:vertAlign w:val="baseline"/>
                      <w:lang w:val="en-US" w:eastAsia="zh-CN"/>
                    </w:rPr>
                  </w:pPr>
                </w:p>
              </w:tc>
              <w:tc>
                <w:tcPr>
                  <w:tcW w:w="571" w:type="pct"/>
                  <w:vMerge w:val="continue"/>
                  <w:noWrap w:val="0"/>
                  <w:vAlign w:val="center"/>
                </w:tcPr>
                <w:p w14:paraId="71183C79">
                  <w:pPr>
                    <w:widowControl/>
                    <w:spacing w:line="240" w:lineRule="auto"/>
                    <w:ind w:firstLine="0" w:firstLineChars="0"/>
                    <w:jc w:val="left"/>
                    <w:rPr>
                      <w:rFonts w:hint="default" w:ascii="Times New Roman" w:hAnsi="Times New Roman" w:eastAsia="宋体" w:cs="Times New Roman"/>
                      <w:color w:val="000000" w:themeColor="text1"/>
                      <w:sz w:val="21"/>
                      <w:szCs w:val="21"/>
                      <w:vertAlign w:val="baseline"/>
                      <w:lang w:val="en-US" w:eastAsia="zh-CN"/>
                    </w:rPr>
                  </w:pPr>
                </w:p>
              </w:tc>
              <w:tc>
                <w:tcPr>
                  <w:tcW w:w="1092" w:type="pct"/>
                  <w:noWrap w:val="0"/>
                  <w:vAlign w:val="center"/>
                </w:tcPr>
                <w:p w14:paraId="5D28A4DD">
                  <w:pPr>
                    <w:widowControl/>
                    <w:spacing w:line="240" w:lineRule="auto"/>
                    <w:ind w:firstLine="0" w:firstLineChars="0"/>
                    <w:jc w:val="center"/>
                    <w:textAlignment w:val="center"/>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cs="Times New Roman"/>
                      <w:color w:val="000000" w:themeColor="text1"/>
                      <w:sz w:val="21"/>
                      <w:szCs w:val="21"/>
                    </w:rPr>
                    <w:t>384电池制造</w:t>
                  </w:r>
                </w:p>
              </w:tc>
              <w:tc>
                <w:tcPr>
                  <w:tcW w:w="2440" w:type="pct"/>
                  <w:noWrap w:val="0"/>
                  <w:vAlign w:val="center"/>
                </w:tcPr>
                <w:p w14:paraId="17E3BDE7">
                  <w:pPr>
                    <w:widowControl/>
                    <w:spacing w:line="240" w:lineRule="auto"/>
                    <w:ind w:firstLine="0" w:firstLineChars="0"/>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3841锂离子电池制造</w:t>
                  </w:r>
                </w:p>
                <w:p w14:paraId="553A59E9">
                  <w:pPr>
                    <w:widowControl/>
                    <w:spacing w:line="240" w:lineRule="auto"/>
                    <w:ind w:firstLine="0" w:firstLineChars="0"/>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3842镍氢电池制造</w:t>
                  </w:r>
                </w:p>
                <w:p w14:paraId="3068CB1D">
                  <w:pPr>
                    <w:widowControl/>
                    <w:spacing w:line="240" w:lineRule="auto"/>
                    <w:ind w:firstLine="0" w:firstLineChars="0"/>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3844锌锰电池制造</w:t>
                  </w:r>
                </w:p>
                <w:p w14:paraId="54A9D112">
                  <w:pPr>
                    <w:widowControl/>
                    <w:spacing w:line="240" w:lineRule="auto"/>
                    <w:ind w:firstLine="0" w:firstLineChars="0"/>
                    <w:textAlignment w:val="center"/>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cs="Times New Roman"/>
                      <w:color w:val="000000" w:themeColor="text1"/>
                      <w:sz w:val="21"/>
                      <w:szCs w:val="21"/>
                    </w:rPr>
                    <w:t>3849其他电池制造</w:t>
                  </w:r>
                </w:p>
              </w:tc>
            </w:tr>
            <w:tr w14:paraId="4A5ACD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5" w:type="pct"/>
                  <w:gridSpan w:val="2"/>
                  <w:noWrap w:val="0"/>
                  <w:vAlign w:val="center"/>
                </w:tcPr>
                <w:p w14:paraId="6C2468F6">
                  <w:pPr>
                    <w:widowControl/>
                    <w:spacing w:line="240" w:lineRule="auto"/>
                    <w:ind w:firstLine="0" w:firstLineChars="0"/>
                    <w:jc w:val="center"/>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cs="Times New Roman"/>
                      <w:color w:val="000000" w:themeColor="text1"/>
                      <w:sz w:val="21"/>
                      <w:szCs w:val="21"/>
                    </w:rPr>
                    <w:t>限制类</w:t>
                  </w:r>
                </w:p>
              </w:tc>
              <w:tc>
                <w:tcPr>
                  <w:tcW w:w="4104" w:type="pct"/>
                  <w:gridSpan w:val="3"/>
                  <w:noWrap w:val="0"/>
                  <w:vAlign w:val="center"/>
                </w:tcPr>
                <w:p w14:paraId="70B5621E">
                  <w:pPr>
                    <w:widowControl/>
                    <w:spacing w:line="240" w:lineRule="auto"/>
                    <w:ind w:firstLine="0" w:firstLineChars="0"/>
                    <w:jc w:val="left"/>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fldChar w:fldCharType="begin"/>
                  </w:r>
                  <w:r>
                    <w:rPr>
                      <w:rFonts w:hint="default" w:ascii="Times New Roman" w:hAnsi="Times New Roman" w:cs="Times New Roman"/>
                      <w:color w:val="000000" w:themeColor="text1"/>
                      <w:sz w:val="21"/>
                      <w:szCs w:val="21"/>
                    </w:rPr>
                    <w:instrText xml:space="preserve"> = 1 \* GB3 \* MERGEFORMAT </w:instrText>
                  </w:r>
                  <w:r>
                    <w:rPr>
                      <w:rFonts w:hint="default" w:ascii="Times New Roman" w:hAnsi="Times New Roman" w:cs="Times New Roman"/>
                      <w:color w:val="000000" w:themeColor="text1"/>
                      <w:sz w:val="21"/>
                      <w:szCs w:val="21"/>
                    </w:rPr>
                    <w:fldChar w:fldCharType="separate"/>
                  </w:r>
                  <w:r>
                    <w:rPr>
                      <w:rFonts w:hint="default" w:ascii="Times New Roman" w:hAnsi="Times New Roman" w:cs="Times New Roman"/>
                      <w:color w:val="000000" w:themeColor="text1"/>
                      <w:sz w:val="21"/>
                      <w:szCs w:val="21"/>
                    </w:rPr>
                    <w:t>①</w:t>
                  </w:r>
                  <w:r>
                    <w:rPr>
                      <w:rFonts w:hint="default" w:ascii="Times New Roman" w:hAnsi="Times New Roman" w:cs="Times New Roman"/>
                      <w:color w:val="000000" w:themeColor="text1"/>
                      <w:sz w:val="21"/>
                      <w:szCs w:val="21"/>
                    </w:rPr>
                    <w:fldChar w:fldCharType="end"/>
                  </w:r>
                  <w:r>
                    <w:rPr>
                      <w:rFonts w:hint="default" w:ascii="Times New Roman" w:hAnsi="Times New Roman" w:cs="Times New Roman"/>
                      <w:color w:val="000000" w:themeColor="text1"/>
                      <w:sz w:val="21"/>
                      <w:szCs w:val="21"/>
                    </w:rPr>
                    <w:t>《淮北市危险化学品禁止、限制和控制性目录》附件2“淮北市限制和控制生产的危险化学品目录（试行）”所列危险化学品，主要原因是涉及高风险工艺，包括：光气化、氟化工艺、氯化工艺、过氧化工艺、重氮化工艺、硝化工艺、与高毒高残留化学品、有机硫、磷、氟、氯、溴、碘化物、含大部分易制爆化学品和高安全风险、高生态环境风险的化学品；</w:t>
                  </w:r>
                </w:p>
                <w:p w14:paraId="7409BDF6">
                  <w:pPr>
                    <w:widowControl/>
                    <w:spacing w:line="240" w:lineRule="auto"/>
                    <w:ind w:firstLine="0" w:firstLineChars="0"/>
                    <w:jc w:val="left"/>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fldChar w:fldCharType="begin"/>
                  </w:r>
                  <w:r>
                    <w:rPr>
                      <w:rFonts w:hint="default" w:ascii="Times New Roman" w:hAnsi="Times New Roman" w:cs="Times New Roman"/>
                      <w:color w:val="000000" w:themeColor="text1"/>
                      <w:sz w:val="21"/>
                      <w:szCs w:val="21"/>
                    </w:rPr>
                    <w:instrText xml:space="preserve"> = 2 \* GB3 \* MERGEFORMAT </w:instrText>
                  </w:r>
                  <w:r>
                    <w:rPr>
                      <w:rFonts w:hint="default" w:ascii="Times New Roman" w:hAnsi="Times New Roman" w:cs="Times New Roman"/>
                      <w:color w:val="000000" w:themeColor="text1"/>
                      <w:sz w:val="21"/>
                      <w:szCs w:val="21"/>
                    </w:rPr>
                    <w:fldChar w:fldCharType="separate"/>
                  </w:r>
                  <w:r>
                    <w:rPr>
                      <w:rFonts w:hint="default" w:ascii="Times New Roman" w:hAnsi="Times New Roman" w:cs="Times New Roman"/>
                      <w:color w:val="000000" w:themeColor="text1"/>
                      <w:sz w:val="21"/>
                      <w:szCs w:val="21"/>
                    </w:rPr>
                    <w:t>②</w:t>
                  </w:r>
                  <w:r>
                    <w:rPr>
                      <w:rFonts w:hint="default" w:ascii="Times New Roman" w:hAnsi="Times New Roman" w:cs="Times New Roman"/>
                      <w:color w:val="000000" w:themeColor="text1"/>
                      <w:sz w:val="21"/>
                      <w:szCs w:val="21"/>
                    </w:rPr>
                    <w:fldChar w:fldCharType="end"/>
                  </w:r>
                  <w:r>
                    <w:rPr>
                      <w:rFonts w:hint="default" w:ascii="Times New Roman" w:hAnsi="Times New Roman" w:cs="Times New Roman"/>
                      <w:color w:val="000000" w:themeColor="text1"/>
                      <w:sz w:val="21"/>
                      <w:szCs w:val="21"/>
                    </w:rPr>
                    <w:t>限制现有与主导产业不符的且污染物排放量大的企业新增产能。</w:t>
                  </w:r>
                </w:p>
                <w:p w14:paraId="3EA46E2D">
                  <w:pPr>
                    <w:widowControl/>
                    <w:spacing w:line="240" w:lineRule="auto"/>
                    <w:ind w:firstLine="0" w:firstLineChars="0"/>
                    <w:jc w:val="left"/>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fldChar w:fldCharType="begin"/>
                  </w:r>
                  <w:r>
                    <w:rPr>
                      <w:rFonts w:hint="default" w:ascii="Times New Roman" w:hAnsi="Times New Roman" w:cs="Times New Roman"/>
                      <w:color w:val="000000" w:themeColor="text1"/>
                      <w:sz w:val="21"/>
                      <w:szCs w:val="21"/>
                    </w:rPr>
                    <w:instrText xml:space="preserve"> = 3 \* GB3 \* MERGEFORMAT </w:instrText>
                  </w:r>
                  <w:r>
                    <w:rPr>
                      <w:rFonts w:hint="default" w:ascii="Times New Roman" w:hAnsi="Times New Roman" w:cs="Times New Roman"/>
                      <w:color w:val="000000" w:themeColor="text1"/>
                      <w:sz w:val="21"/>
                      <w:szCs w:val="21"/>
                    </w:rPr>
                    <w:fldChar w:fldCharType="separate"/>
                  </w:r>
                  <w:r>
                    <w:rPr>
                      <w:rFonts w:hint="default" w:ascii="Times New Roman" w:hAnsi="Times New Roman" w:cs="Times New Roman"/>
                      <w:color w:val="000000" w:themeColor="text1"/>
                      <w:sz w:val="21"/>
                      <w:szCs w:val="21"/>
                    </w:rPr>
                    <w:t>③</w:t>
                  </w:r>
                  <w:r>
                    <w:rPr>
                      <w:rFonts w:hint="default" w:ascii="Times New Roman" w:hAnsi="Times New Roman" w:cs="Times New Roman"/>
                      <w:color w:val="000000" w:themeColor="text1"/>
                      <w:sz w:val="21"/>
                      <w:szCs w:val="21"/>
                    </w:rPr>
                    <w:fldChar w:fldCharType="end"/>
                  </w:r>
                  <w:r>
                    <w:rPr>
                      <w:rFonts w:hint="default" w:ascii="Times New Roman" w:hAnsi="Times New Roman" w:cs="Times New Roman"/>
                      <w:color w:val="000000" w:themeColor="text1"/>
                      <w:sz w:val="21"/>
                      <w:szCs w:val="21"/>
                    </w:rPr>
                    <w:t>严格限制在淮河流域新建印染、制革、化工、电镀、酿造等大中型项目或者其他污染严重的项目；建设该类项目的，应当事前征得省人民政府生态环境行政主管部门的意见，并按照规定办理相关手续；</w:t>
                  </w:r>
                </w:p>
                <w:p w14:paraId="7184E54D">
                  <w:pPr>
                    <w:widowControl/>
                    <w:spacing w:line="240" w:lineRule="auto"/>
                    <w:ind w:firstLine="0" w:firstLineChars="0"/>
                    <w:textAlignment w:val="center"/>
                    <w:rPr>
                      <w:rFonts w:hint="default" w:ascii="Times New Roman" w:hAnsi="Times New Roman" w:eastAsia="宋体" w:cs="Times New Roman"/>
                      <w:color w:val="000000" w:themeColor="text1"/>
                      <w:sz w:val="21"/>
                      <w:szCs w:val="21"/>
                    </w:rPr>
                  </w:pPr>
                  <w:r>
                    <w:rPr>
                      <w:rFonts w:hint="default" w:ascii="Times New Roman" w:hAnsi="Times New Roman" w:cs="Times New Roman"/>
                      <w:color w:val="000000" w:themeColor="text1"/>
                      <w:sz w:val="21"/>
                      <w:szCs w:val="21"/>
                    </w:rPr>
                    <w:fldChar w:fldCharType="begin"/>
                  </w:r>
                  <w:r>
                    <w:rPr>
                      <w:rFonts w:hint="default" w:ascii="Times New Roman" w:hAnsi="Times New Roman" w:cs="Times New Roman"/>
                      <w:color w:val="000000" w:themeColor="text1"/>
                      <w:sz w:val="21"/>
                      <w:szCs w:val="21"/>
                    </w:rPr>
                    <w:instrText xml:space="preserve"> = 4 \* GB3 \* MERGEFORMAT </w:instrText>
                  </w:r>
                  <w:r>
                    <w:rPr>
                      <w:rFonts w:hint="default" w:ascii="Times New Roman" w:hAnsi="Times New Roman" w:cs="Times New Roman"/>
                      <w:color w:val="000000" w:themeColor="text1"/>
                      <w:sz w:val="21"/>
                      <w:szCs w:val="21"/>
                    </w:rPr>
                    <w:fldChar w:fldCharType="separate"/>
                  </w:r>
                  <w:r>
                    <w:rPr>
                      <w:rFonts w:hint="default" w:ascii="Times New Roman" w:hAnsi="Times New Roman" w:cs="Times New Roman"/>
                      <w:color w:val="000000" w:themeColor="text1"/>
                      <w:sz w:val="21"/>
                      <w:szCs w:val="21"/>
                    </w:rPr>
                    <w:t>④</w:t>
                  </w:r>
                  <w:r>
                    <w:rPr>
                      <w:rFonts w:hint="default" w:ascii="Times New Roman" w:hAnsi="Times New Roman" w:cs="Times New Roman"/>
                      <w:color w:val="000000" w:themeColor="text1"/>
                      <w:sz w:val="21"/>
                      <w:szCs w:val="21"/>
                    </w:rPr>
                    <w:fldChar w:fldCharType="end"/>
                  </w:r>
                  <w:r>
                    <w:rPr>
                      <w:rFonts w:hint="default" w:ascii="Times New Roman" w:hAnsi="Times New Roman" w:cs="Times New Roman"/>
                      <w:color w:val="000000" w:themeColor="text1"/>
                      <w:sz w:val="21"/>
                      <w:szCs w:val="21"/>
                    </w:rPr>
                    <w:t>两高行业需满足《生态环境部关于加强高耗能、高排放建设项目生态环境防控的指导意见》、《安徽省节能减排及应对气候变化工作领导小组关于进一步加强新上“两高”项目管理的通知》等两高文件要求，且</w:t>
                  </w:r>
                  <w:r>
                    <w:rPr>
                      <w:rFonts w:hint="default" w:ascii="Times New Roman" w:hAnsi="Times New Roman" w:eastAsia="宋体" w:cs="Times New Roman"/>
                      <w:color w:val="000000" w:themeColor="text1"/>
                      <w:sz w:val="21"/>
                      <w:szCs w:val="21"/>
                    </w:rPr>
                    <w:t>不得新增区域污染物排放总量，远期根据区域环境质量现状，确保区域环境质量有所改善，且经过充分的环境影响论证；</w:t>
                  </w:r>
                </w:p>
                <w:p w14:paraId="566C7A32">
                  <w:pPr>
                    <w:widowControl/>
                    <w:spacing w:line="240" w:lineRule="auto"/>
                    <w:ind w:firstLine="0" w:firstLineChars="0"/>
                    <w:textAlignment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fldChar w:fldCharType="begin"/>
                  </w:r>
                  <w:r>
                    <w:rPr>
                      <w:rFonts w:hint="default" w:ascii="Times New Roman" w:hAnsi="Times New Roman" w:eastAsia="宋体" w:cs="Times New Roman"/>
                      <w:color w:val="000000" w:themeColor="text1"/>
                      <w:sz w:val="21"/>
                      <w:szCs w:val="21"/>
                    </w:rPr>
                    <w:instrText xml:space="preserve"> = 5 \* GB3 \* MERGEFORMAT </w:instrText>
                  </w:r>
                  <w:r>
                    <w:rPr>
                      <w:rFonts w:hint="default" w:ascii="Times New Roman" w:hAnsi="Times New Roman" w:eastAsia="宋体" w:cs="Times New Roman"/>
                      <w:color w:val="000000" w:themeColor="text1"/>
                      <w:sz w:val="21"/>
                      <w:szCs w:val="21"/>
                    </w:rPr>
                    <w:fldChar w:fldCharType="separate"/>
                  </w:r>
                  <w:r>
                    <w:rPr>
                      <w:rFonts w:hint="default" w:ascii="Times New Roman" w:hAnsi="Times New Roman" w:eastAsia="宋体" w:cs="Times New Roman"/>
                      <w:color w:val="000000" w:themeColor="text1"/>
                      <w:sz w:val="21"/>
                      <w:szCs w:val="21"/>
                    </w:rPr>
                    <w:t>⑤</w:t>
                  </w:r>
                  <w:r>
                    <w:rPr>
                      <w:rFonts w:hint="default" w:ascii="Times New Roman" w:hAnsi="Times New Roman" w:eastAsia="宋体" w:cs="Times New Roman"/>
                      <w:color w:val="000000" w:themeColor="text1"/>
                      <w:sz w:val="21"/>
                      <w:szCs w:val="21"/>
                    </w:rPr>
                    <w:fldChar w:fldCharType="end"/>
                  </w:r>
                  <w:r>
                    <w:rPr>
                      <w:rFonts w:hint="default" w:ascii="Times New Roman" w:hAnsi="Times New Roman" w:eastAsia="宋体" w:cs="Times New Roman"/>
                      <w:color w:val="000000" w:themeColor="text1"/>
                      <w:sz w:val="21"/>
                      <w:szCs w:val="21"/>
                    </w:rPr>
                    <w:t>2018~2022年淮北市PM</w:t>
                  </w:r>
                  <w:r>
                    <w:rPr>
                      <w:rFonts w:hint="default" w:ascii="Times New Roman" w:hAnsi="Times New Roman" w:eastAsia="宋体" w:cs="Times New Roman"/>
                      <w:color w:val="000000" w:themeColor="text1"/>
                      <w:sz w:val="21"/>
                      <w:szCs w:val="21"/>
                      <w:vertAlign w:val="subscript"/>
                    </w:rPr>
                    <w:t>2.5</w:t>
                  </w:r>
                  <w:r>
                    <w:rPr>
                      <w:rFonts w:hint="default" w:ascii="Times New Roman" w:hAnsi="Times New Roman" w:eastAsia="宋体" w:cs="Times New Roman"/>
                      <w:color w:val="000000" w:themeColor="text1"/>
                      <w:sz w:val="21"/>
                      <w:szCs w:val="21"/>
                    </w:rPr>
                    <w:t>、O</w:t>
                  </w:r>
                  <w:r>
                    <w:rPr>
                      <w:rFonts w:hint="default" w:ascii="Times New Roman" w:hAnsi="Times New Roman" w:eastAsia="宋体" w:cs="Times New Roman"/>
                      <w:color w:val="000000" w:themeColor="text1"/>
                      <w:sz w:val="21"/>
                      <w:szCs w:val="21"/>
                      <w:vertAlign w:val="subscript"/>
                    </w:rPr>
                    <w:t>3</w:t>
                  </w:r>
                  <w:r>
                    <w:rPr>
                      <w:rFonts w:hint="default" w:ascii="Times New Roman" w:hAnsi="Times New Roman" w:eastAsia="宋体" w:cs="Times New Roman"/>
                      <w:color w:val="000000" w:themeColor="text1"/>
                      <w:sz w:val="21"/>
                      <w:szCs w:val="21"/>
                    </w:rPr>
                    <w:t>持续不达标，在环境质量持续改善前，限制高污染高排放项目引入。</w:t>
                  </w:r>
                </w:p>
                <w:p w14:paraId="16707882">
                  <w:pPr>
                    <w:widowControl/>
                    <w:spacing w:line="240" w:lineRule="auto"/>
                    <w:ind w:firstLine="0" w:firstLineChars="0"/>
                    <w:textAlignment w:val="center"/>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rPr>
                    <w:fldChar w:fldCharType="begin"/>
                  </w:r>
                  <w:r>
                    <w:rPr>
                      <w:rFonts w:hint="default" w:ascii="Times New Roman" w:hAnsi="Times New Roman" w:eastAsia="宋体" w:cs="Times New Roman"/>
                      <w:color w:val="000000" w:themeColor="text1"/>
                      <w:sz w:val="21"/>
                      <w:szCs w:val="21"/>
                    </w:rPr>
                    <w:instrText xml:space="preserve"> = 6 \* GB3 \* MERGEFORMAT </w:instrText>
                  </w:r>
                  <w:r>
                    <w:rPr>
                      <w:rFonts w:hint="default" w:ascii="Times New Roman" w:hAnsi="Times New Roman" w:eastAsia="宋体" w:cs="Times New Roman"/>
                      <w:color w:val="000000" w:themeColor="text1"/>
                      <w:sz w:val="21"/>
                      <w:szCs w:val="21"/>
                    </w:rPr>
                    <w:fldChar w:fldCharType="separate"/>
                  </w:r>
                  <w:r>
                    <w:rPr>
                      <w:rFonts w:hint="default" w:ascii="Times New Roman" w:hAnsi="Times New Roman" w:eastAsia="宋体" w:cs="Times New Roman"/>
                      <w:color w:val="000000" w:themeColor="text1"/>
                      <w:sz w:val="21"/>
                      <w:szCs w:val="21"/>
                    </w:rPr>
                    <w:t>⑥</w:t>
                  </w:r>
                  <w:r>
                    <w:rPr>
                      <w:rFonts w:hint="default" w:ascii="Times New Roman" w:hAnsi="Times New Roman" w:eastAsia="宋体" w:cs="Times New Roman"/>
                      <w:color w:val="000000" w:themeColor="text1"/>
                      <w:sz w:val="21"/>
                      <w:szCs w:val="21"/>
                    </w:rPr>
                    <w:fldChar w:fldCharType="end"/>
                  </w:r>
                  <w:r>
                    <w:rPr>
                      <w:rFonts w:hint="default" w:ascii="Times New Roman" w:hAnsi="Times New Roman" w:eastAsia="宋体" w:cs="Times New Roman"/>
                      <w:color w:val="000000" w:themeColor="text1"/>
                      <w:sz w:val="21"/>
                      <w:szCs w:val="21"/>
                    </w:rPr>
                    <w:t>针对电池行业含氟废水进入开发区污水处理厂前需要达到《地表水环境质量标准》（GB3838-2002）中</w:t>
                  </w:r>
                  <w:r>
                    <w:rPr>
                      <w:rFonts w:hint="default" w:ascii="Times New Roman" w:hAnsi="Times New Roman" w:eastAsia="宋体" w:cs="Times New Roman"/>
                      <w:color w:val="000000" w:themeColor="text1"/>
                      <w:sz w:val="21"/>
                      <w:szCs w:val="21"/>
                    </w:rPr>
                    <w:fldChar w:fldCharType="begin"/>
                  </w:r>
                  <w:r>
                    <w:rPr>
                      <w:rFonts w:hint="default" w:ascii="Times New Roman" w:hAnsi="Times New Roman" w:eastAsia="宋体" w:cs="Times New Roman"/>
                      <w:color w:val="000000" w:themeColor="text1"/>
                      <w:sz w:val="21"/>
                      <w:szCs w:val="21"/>
                    </w:rPr>
                    <w:instrText xml:space="preserve"> = 4 \* ROMAN \* MERGEFORMAT </w:instrText>
                  </w:r>
                  <w:r>
                    <w:rPr>
                      <w:rFonts w:hint="default" w:ascii="Times New Roman" w:hAnsi="Times New Roman" w:eastAsia="宋体" w:cs="Times New Roman"/>
                      <w:color w:val="000000" w:themeColor="text1"/>
                      <w:sz w:val="21"/>
                      <w:szCs w:val="21"/>
                    </w:rPr>
                    <w:fldChar w:fldCharType="separate"/>
                  </w:r>
                  <w:r>
                    <w:rPr>
                      <w:rFonts w:hint="default" w:ascii="Times New Roman" w:hAnsi="Times New Roman" w:eastAsia="宋体" w:cs="Times New Roman"/>
                      <w:color w:val="000000" w:themeColor="text1"/>
                      <w:sz w:val="21"/>
                      <w:szCs w:val="21"/>
                    </w:rPr>
                    <w:t>IV</w:t>
                  </w:r>
                  <w:r>
                    <w:rPr>
                      <w:rFonts w:hint="default" w:ascii="Times New Roman" w:hAnsi="Times New Roman" w:eastAsia="宋体" w:cs="Times New Roman"/>
                      <w:color w:val="000000" w:themeColor="text1"/>
                      <w:sz w:val="21"/>
                      <w:szCs w:val="21"/>
                    </w:rPr>
                    <w:fldChar w:fldCharType="end"/>
                  </w:r>
                  <w:r>
                    <w:rPr>
                      <w:rFonts w:hint="default" w:ascii="Times New Roman" w:hAnsi="Times New Roman" w:eastAsia="宋体" w:cs="Times New Roman"/>
                      <w:color w:val="000000" w:themeColor="text1"/>
                      <w:sz w:val="21"/>
                      <w:szCs w:val="21"/>
                    </w:rPr>
                    <w:t>类要求。</w:t>
                  </w:r>
                </w:p>
              </w:tc>
            </w:tr>
            <w:tr w14:paraId="4536F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5" w:type="pct"/>
                  <w:gridSpan w:val="2"/>
                  <w:noWrap w:val="0"/>
                  <w:vAlign w:val="center"/>
                </w:tcPr>
                <w:p w14:paraId="234682E1">
                  <w:pPr>
                    <w:widowControl/>
                    <w:spacing w:line="240" w:lineRule="auto"/>
                    <w:ind w:firstLine="0" w:firstLineChars="0"/>
                    <w:jc w:val="center"/>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cs="Times New Roman"/>
                      <w:color w:val="000000" w:themeColor="text1"/>
                      <w:sz w:val="21"/>
                      <w:szCs w:val="21"/>
                    </w:rPr>
                    <w:t>禁止类</w:t>
                  </w:r>
                </w:p>
              </w:tc>
              <w:tc>
                <w:tcPr>
                  <w:tcW w:w="4104" w:type="pct"/>
                  <w:gridSpan w:val="3"/>
                  <w:noWrap w:val="0"/>
                  <w:vAlign w:val="center"/>
                </w:tcPr>
                <w:p w14:paraId="6D7DC6B9">
                  <w:pPr>
                    <w:widowControl/>
                    <w:spacing w:line="240" w:lineRule="auto"/>
                    <w:ind w:firstLine="0" w:firstLineChars="0"/>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fldChar w:fldCharType="begin"/>
                  </w:r>
                  <w:r>
                    <w:rPr>
                      <w:rFonts w:hint="default" w:ascii="Times New Roman" w:hAnsi="Times New Roman" w:cs="Times New Roman"/>
                      <w:color w:val="000000" w:themeColor="text1"/>
                      <w:sz w:val="21"/>
                      <w:szCs w:val="21"/>
                    </w:rPr>
                    <w:instrText xml:space="preserve"> = 1 \* GB3 \* MERGEFORMAT </w:instrText>
                  </w:r>
                  <w:r>
                    <w:rPr>
                      <w:rFonts w:hint="default" w:ascii="Times New Roman" w:hAnsi="Times New Roman" w:cs="Times New Roman"/>
                      <w:color w:val="000000" w:themeColor="text1"/>
                      <w:sz w:val="21"/>
                      <w:szCs w:val="21"/>
                    </w:rPr>
                    <w:fldChar w:fldCharType="separate"/>
                  </w:r>
                  <w:r>
                    <w:rPr>
                      <w:rFonts w:hint="default" w:ascii="Times New Roman" w:hAnsi="Times New Roman" w:cs="Times New Roman"/>
                      <w:color w:val="000000" w:themeColor="text1"/>
                      <w:sz w:val="21"/>
                      <w:szCs w:val="21"/>
                    </w:rPr>
                    <w:t>①</w:t>
                  </w:r>
                  <w:r>
                    <w:rPr>
                      <w:rFonts w:hint="default" w:ascii="Times New Roman" w:hAnsi="Times New Roman" w:cs="Times New Roman"/>
                      <w:color w:val="000000" w:themeColor="text1"/>
                      <w:sz w:val="21"/>
                      <w:szCs w:val="21"/>
                    </w:rPr>
                    <w:fldChar w:fldCharType="end"/>
                  </w:r>
                  <w:r>
                    <w:rPr>
                      <w:rFonts w:hint="default" w:ascii="Times New Roman" w:hAnsi="Times New Roman" w:cs="Times New Roman"/>
                      <w:color w:val="000000" w:themeColor="text1"/>
                      <w:sz w:val="21"/>
                      <w:szCs w:val="21"/>
                    </w:rPr>
                    <w:t>禁止引入列入《产业结构调整指导目录（2024年本）》、《市场准入负面清单（2022年版）》、《长江经济带发展负面清单指南》（试行，2022年版）、《安徽省淮河流域水污染防治条例》等相关产业政策中禁止或淘汰类项目、产品、工艺和设备；</w:t>
                  </w:r>
                </w:p>
                <w:p w14:paraId="7ACADB49">
                  <w:pPr>
                    <w:widowControl/>
                    <w:spacing w:line="240" w:lineRule="auto"/>
                    <w:ind w:firstLine="0" w:firstLineChars="0"/>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fldChar w:fldCharType="begin"/>
                  </w:r>
                  <w:r>
                    <w:rPr>
                      <w:rFonts w:hint="default" w:ascii="Times New Roman" w:hAnsi="Times New Roman" w:cs="Times New Roman"/>
                      <w:color w:val="000000" w:themeColor="text1"/>
                      <w:sz w:val="21"/>
                      <w:szCs w:val="21"/>
                    </w:rPr>
                    <w:instrText xml:space="preserve"> = 2 \* GB3 \* MERGEFORMAT </w:instrText>
                  </w:r>
                  <w:r>
                    <w:rPr>
                      <w:rFonts w:hint="default" w:ascii="Times New Roman" w:hAnsi="Times New Roman" w:cs="Times New Roman"/>
                      <w:color w:val="000000" w:themeColor="text1"/>
                      <w:sz w:val="21"/>
                      <w:szCs w:val="21"/>
                    </w:rPr>
                    <w:fldChar w:fldCharType="separate"/>
                  </w:r>
                  <w:r>
                    <w:rPr>
                      <w:rFonts w:hint="default" w:ascii="Times New Roman" w:hAnsi="Times New Roman" w:cs="Times New Roman"/>
                      <w:color w:val="000000" w:themeColor="text1"/>
                      <w:sz w:val="21"/>
                      <w:szCs w:val="21"/>
                    </w:rPr>
                    <w:t>②</w:t>
                  </w:r>
                  <w:r>
                    <w:rPr>
                      <w:rFonts w:hint="default" w:ascii="Times New Roman" w:hAnsi="Times New Roman" w:cs="Times New Roman"/>
                      <w:color w:val="000000" w:themeColor="text1"/>
                      <w:sz w:val="21"/>
                      <w:szCs w:val="21"/>
                    </w:rPr>
                    <w:fldChar w:fldCharType="end"/>
                  </w:r>
                  <w:r>
                    <w:rPr>
                      <w:rFonts w:hint="default" w:ascii="Times New Roman" w:hAnsi="Times New Roman" w:cs="Times New Roman"/>
                      <w:color w:val="000000" w:themeColor="text1"/>
                      <w:sz w:val="21"/>
                      <w:szCs w:val="21"/>
                    </w:rPr>
                    <w:t>禁止新建、扩建不符合法律法规和相关</w:t>
                  </w:r>
                </w:p>
                <w:p w14:paraId="67633E5E">
                  <w:pPr>
                    <w:widowControl/>
                    <w:spacing w:line="240" w:lineRule="auto"/>
                    <w:ind w:firstLine="0" w:firstLineChars="0"/>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政策明令禁止的落后产能项目；</w:t>
                  </w:r>
                </w:p>
                <w:p w14:paraId="1B21E109">
                  <w:pPr>
                    <w:widowControl/>
                    <w:spacing w:line="240" w:lineRule="auto"/>
                    <w:ind w:firstLine="0" w:firstLineChars="0"/>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fldChar w:fldCharType="begin"/>
                  </w:r>
                  <w:r>
                    <w:rPr>
                      <w:rFonts w:hint="default" w:ascii="Times New Roman" w:hAnsi="Times New Roman" w:cs="Times New Roman"/>
                      <w:color w:val="000000" w:themeColor="text1"/>
                      <w:sz w:val="21"/>
                      <w:szCs w:val="21"/>
                    </w:rPr>
                    <w:instrText xml:space="preserve"> = 3 \* GB3 \* MERGEFORMAT </w:instrText>
                  </w:r>
                  <w:r>
                    <w:rPr>
                      <w:rFonts w:hint="default" w:ascii="Times New Roman" w:hAnsi="Times New Roman" w:cs="Times New Roman"/>
                      <w:color w:val="000000" w:themeColor="text1"/>
                      <w:sz w:val="21"/>
                      <w:szCs w:val="21"/>
                    </w:rPr>
                    <w:fldChar w:fldCharType="separate"/>
                  </w:r>
                  <w:r>
                    <w:rPr>
                      <w:rFonts w:hint="default" w:ascii="Times New Roman" w:hAnsi="Times New Roman" w:cs="Times New Roman"/>
                      <w:color w:val="000000" w:themeColor="text1"/>
                      <w:sz w:val="21"/>
                      <w:szCs w:val="21"/>
                    </w:rPr>
                    <w:t>③</w:t>
                  </w:r>
                  <w:r>
                    <w:rPr>
                      <w:rFonts w:hint="default" w:ascii="Times New Roman" w:hAnsi="Times New Roman" w:cs="Times New Roman"/>
                      <w:color w:val="000000" w:themeColor="text1"/>
                      <w:sz w:val="21"/>
                      <w:szCs w:val="21"/>
                    </w:rPr>
                    <w:fldChar w:fldCharType="end"/>
                  </w:r>
                  <w:r>
                    <w:rPr>
                      <w:rFonts w:hint="default" w:ascii="Times New Roman" w:hAnsi="Times New Roman" w:cs="Times New Roman"/>
                      <w:color w:val="000000" w:themeColor="text1"/>
                      <w:sz w:val="21"/>
                      <w:szCs w:val="21"/>
                    </w:rPr>
                    <w:t>禁止新建、扩建不符合国家产能置换要求的严重过剩产能行业的项目；</w:t>
                  </w:r>
                </w:p>
                <w:p w14:paraId="0636D10A">
                  <w:pPr>
                    <w:widowControl/>
                    <w:spacing w:line="240" w:lineRule="auto"/>
                    <w:ind w:firstLine="0" w:firstLineChars="0"/>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fldChar w:fldCharType="begin"/>
                  </w:r>
                  <w:r>
                    <w:rPr>
                      <w:rFonts w:hint="default" w:ascii="Times New Roman" w:hAnsi="Times New Roman" w:cs="Times New Roman"/>
                      <w:color w:val="000000" w:themeColor="text1"/>
                      <w:sz w:val="21"/>
                      <w:szCs w:val="21"/>
                    </w:rPr>
                    <w:instrText xml:space="preserve"> = 4 \* GB3 \* MERGEFORMAT </w:instrText>
                  </w:r>
                  <w:r>
                    <w:rPr>
                      <w:rFonts w:hint="default" w:ascii="Times New Roman" w:hAnsi="Times New Roman" w:cs="Times New Roman"/>
                      <w:color w:val="000000" w:themeColor="text1"/>
                      <w:sz w:val="21"/>
                      <w:szCs w:val="21"/>
                    </w:rPr>
                    <w:fldChar w:fldCharType="separate"/>
                  </w:r>
                  <w:r>
                    <w:rPr>
                      <w:rFonts w:hint="default" w:ascii="Times New Roman" w:hAnsi="Times New Roman" w:cs="Times New Roman"/>
                      <w:color w:val="000000" w:themeColor="text1"/>
                      <w:sz w:val="21"/>
                      <w:szCs w:val="21"/>
                    </w:rPr>
                    <w:t>④</w:t>
                  </w:r>
                  <w:r>
                    <w:rPr>
                      <w:rFonts w:hint="default" w:ascii="Times New Roman" w:hAnsi="Times New Roman" w:cs="Times New Roman"/>
                      <w:color w:val="000000" w:themeColor="text1"/>
                      <w:sz w:val="21"/>
                      <w:szCs w:val="21"/>
                    </w:rPr>
                    <w:fldChar w:fldCharType="end"/>
                  </w:r>
                  <w:r>
                    <w:rPr>
                      <w:rFonts w:hint="default" w:ascii="Times New Roman" w:hAnsi="Times New Roman" w:cs="Times New Roman"/>
                      <w:color w:val="000000" w:themeColor="text1"/>
                      <w:sz w:val="21"/>
                      <w:szCs w:val="21"/>
                    </w:rPr>
                    <w:t>禁止新建、扩建不符合要求的高耗能高排放项目；</w:t>
                  </w:r>
                </w:p>
                <w:p w14:paraId="69A5E941">
                  <w:pPr>
                    <w:widowControl/>
                    <w:spacing w:line="240" w:lineRule="auto"/>
                    <w:ind w:firstLine="0" w:firstLineChars="0"/>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fldChar w:fldCharType="begin"/>
                  </w:r>
                  <w:r>
                    <w:rPr>
                      <w:rFonts w:hint="default" w:ascii="Times New Roman" w:hAnsi="Times New Roman" w:cs="Times New Roman"/>
                      <w:color w:val="000000" w:themeColor="text1"/>
                      <w:sz w:val="21"/>
                      <w:szCs w:val="21"/>
                    </w:rPr>
                    <w:instrText xml:space="preserve"> = 5 \* GB3 \* MERGEFORMAT </w:instrText>
                  </w:r>
                  <w:r>
                    <w:rPr>
                      <w:rFonts w:hint="default" w:ascii="Times New Roman" w:hAnsi="Times New Roman" w:cs="Times New Roman"/>
                      <w:color w:val="000000" w:themeColor="text1"/>
                      <w:sz w:val="21"/>
                      <w:szCs w:val="21"/>
                    </w:rPr>
                    <w:fldChar w:fldCharType="separate"/>
                  </w:r>
                  <w:r>
                    <w:rPr>
                      <w:rFonts w:hint="default" w:ascii="Times New Roman" w:hAnsi="Times New Roman" w:cs="Times New Roman"/>
                      <w:color w:val="000000" w:themeColor="text1"/>
                      <w:sz w:val="21"/>
                      <w:szCs w:val="21"/>
                    </w:rPr>
                    <w:t>⑤</w:t>
                  </w:r>
                  <w:r>
                    <w:rPr>
                      <w:rFonts w:hint="default" w:ascii="Times New Roman" w:hAnsi="Times New Roman" w:cs="Times New Roman"/>
                      <w:color w:val="000000" w:themeColor="text1"/>
                      <w:sz w:val="21"/>
                      <w:szCs w:val="21"/>
                    </w:rPr>
                    <w:fldChar w:fldCharType="end"/>
                  </w:r>
                  <w:r>
                    <w:rPr>
                      <w:rFonts w:hint="default" w:ascii="Times New Roman" w:hAnsi="Times New Roman" w:cs="Times New Roman"/>
                      <w:color w:val="000000" w:themeColor="text1"/>
                      <w:sz w:val="21"/>
                      <w:szCs w:val="21"/>
                    </w:rPr>
                    <w:t>禁止新增钢铁、焦化、电解铝、水泥和平板玻璃等产能；</w:t>
                  </w:r>
                </w:p>
                <w:p w14:paraId="1412BD79">
                  <w:pPr>
                    <w:widowControl/>
                    <w:spacing w:line="240" w:lineRule="auto"/>
                    <w:ind w:firstLine="0" w:firstLineChars="0"/>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fldChar w:fldCharType="begin"/>
                  </w:r>
                  <w:r>
                    <w:rPr>
                      <w:rFonts w:hint="default" w:ascii="Times New Roman" w:hAnsi="Times New Roman" w:cs="Times New Roman"/>
                      <w:color w:val="000000" w:themeColor="text1"/>
                      <w:sz w:val="21"/>
                      <w:szCs w:val="21"/>
                    </w:rPr>
                    <w:instrText xml:space="preserve"> = 6 \* GB3 \* MERGEFORMAT </w:instrText>
                  </w:r>
                  <w:r>
                    <w:rPr>
                      <w:rFonts w:hint="default" w:ascii="Times New Roman" w:hAnsi="Times New Roman" w:cs="Times New Roman"/>
                      <w:color w:val="000000" w:themeColor="text1"/>
                      <w:sz w:val="21"/>
                      <w:szCs w:val="21"/>
                    </w:rPr>
                    <w:fldChar w:fldCharType="separate"/>
                  </w:r>
                  <w:r>
                    <w:rPr>
                      <w:rFonts w:hint="default" w:ascii="Times New Roman" w:hAnsi="Times New Roman" w:cs="Times New Roman"/>
                      <w:color w:val="000000" w:themeColor="text1"/>
                      <w:sz w:val="21"/>
                      <w:szCs w:val="21"/>
                    </w:rPr>
                    <w:t>⑥</w:t>
                  </w:r>
                  <w:r>
                    <w:rPr>
                      <w:rFonts w:hint="default" w:ascii="Times New Roman" w:hAnsi="Times New Roman" w:cs="Times New Roman"/>
                      <w:color w:val="000000" w:themeColor="text1"/>
                      <w:sz w:val="21"/>
                      <w:szCs w:val="21"/>
                    </w:rPr>
                    <w:fldChar w:fldCharType="end"/>
                  </w:r>
                  <w:r>
                    <w:rPr>
                      <w:rFonts w:hint="default" w:ascii="Times New Roman" w:hAnsi="Times New Roman" w:cs="Times New Roman"/>
                      <w:color w:val="000000" w:themeColor="text1"/>
                      <w:sz w:val="21"/>
                      <w:szCs w:val="21"/>
                    </w:rPr>
                    <w:t>禁止新建《淮北市危险化学品禁止、限制和控制性目录》在附件1“淮北市禁止生产的危险化学品目录（试行）”所列危险化学品，主要包括了剧毒化学品、监控化学品以及国家明令淘汰的高毒高残留化学品。</w:t>
                  </w:r>
                </w:p>
                <w:p w14:paraId="40FFD0A6">
                  <w:pPr>
                    <w:widowControl/>
                    <w:spacing w:line="240" w:lineRule="auto"/>
                    <w:ind w:firstLine="0" w:firstLineChars="0"/>
                    <w:textAlignment w:val="center"/>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cs="Times New Roman"/>
                      <w:color w:val="000000" w:themeColor="text1"/>
                      <w:sz w:val="21"/>
                      <w:szCs w:val="21"/>
                    </w:rPr>
                    <w:fldChar w:fldCharType="begin"/>
                  </w:r>
                  <w:r>
                    <w:rPr>
                      <w:rFonts w:hint="default" w:ascii="Times New Roman" w:hAnsi="Times New Roman" w:cs="Times New Roman"/>
                      <w:color w:val="000000" w:themeColor="text1"/>
                      <w:sz w:val="21"/>
                      <w:szCs w:val="21"/>
                    </w:rPr>
                    <w:instrText xml:space="preserve"> = 7 \* GB3 \* MERGEFORMAT </w:instrText>
                  </w:r>
                  <w:r>
                    <w:rPr>
                      <w:rFonts w:hint="default" w:ascii="Times New Roman" w:hAnsi="Times New Roman" w:cs="Times New Roman"/>
                      <w:color w:val="000000" w:themeColor="text1"/>
                      <w:sz w:val="21"/>
                      <w:szCs w:val="21"/>
                    </w:rPr>
                    <w:fldChar w:fldCharType="separate"/>
                  </w:r>
                  <w:r>
                    <w:rPr>
                      <w:rFonts w:hint="default" w:ascii="Times New Roman" w:hAnsi="Times New Roman" w:cs="Times New Roman"/>
                      <w:color w:val="000000" w:themeColor="text1"/>
                      <w:sz w:val="21"/>
                      <w:szCs w:val="21"/>
                    </w:rPr>
                    <w:t>⑦</w:t>
                  </w:r>
                  <w:r>
                    <w:rPr>
                      <w:rFonts w:hint="default" w:ascii="Times New Roman" w:hAnsi="Times New Roman" w:cs="Times New Roman"/>
                      <w:color w:val="000000" w:themeColor="text1"/>
                      <w:sz w:val="21"/>
                      <w:szCs w:val="21"/>
                    </w:rPr>
                    <w:fldChar w:fldCharType="end"/>
                  </w:r>
                  <w:r>
                    <w:rPr>
                      <w:rFonts w:hint="default" w:ascii="Times New Roman" w:hAnsi="Times New Roman" w:cs="Times New Roman"/>
                      <w:color w:val="000000" w:themeColor="text1"/>
                      <w:sz w:val="21"/>
                      <w:szCs w:val="21"/>
                    </w:rPr>
                    <w:t>禁止在淮河流域新建化学制浆造纸企业和印染、制革、化工、电镀、酿造等污染严重的小型企业。</w:t>
                  </w:r>
                </w:p>
              </w:tc>
            </w:tr>
          </w:tbl>
          <w:p w14:paraId="4620A150">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ascii="Times New Roman" w:hAnsi="Times New Roman" w:eastAsia="宋体" w:cs="Times New Roman"/>
                <w:color w:val="000000" w:themeColor="text1"/>
                <w:sz w:val="24"/>
                <w:lang w:eastAsia="zh-CN"/>
              </w:rPr>
            </w:pPr>
            <w:r>
              <w:rPr>
                <w:rFonts w:hint="eastAsia" w:ascii="Times New Roman" w:hAnsi="Times New Roman" w:eastAsia="宋体" w:cs="Times New Roman"/>
                <w:color w:val="000000" w:themeColor="text1"/>
                <w:sz w:val="24"/>
                <w:lang w:eastAsia="zh-CN"/>
              </w:rPr>
              <w:t>本项目为电气机械和器材制造业，对照“安徽淮北杜集经济开发区生态环境准入清单”，不属于园区限制类和禁止类项目</w:t>
            </w:r>
            <w:r>
              <w:rPr>
                <w:rFonts w:hint="eastAsia" w:cs="Times New Roman"/>
                <w:color w:val="000000" w:themeColor="text1"/>
                <w:sz w:val="24"/>
                <w:lang w:eastAsia="zh-CN"/>
              </w:rPr>
              <w:t>，</w:t>
            </w:r>
            <w:r>
              <w:rPr>
                <w:rFonts w:hint="eastAsia" w:cs="Times New Roman"/>
                <w:color w:val="000000" w:themeColor="text1"/>
                <w:sz w:val="24"/>
                <w:lang w:val="en-US" w:eastAsia="zh-CN"/>
              </w:rPr>
              <w:t>属于鼓励类</w:t>
            </w:r>
            <w:r>
              <w:rPr>
                <w:rFonts w:hint="eastAsia" w:ascii="Times New Roman" w:hAnsi="Times New Roman" w:eastAsia="宋体" w:cs="Times New Roman"/>
                <w:color w:val="000000" w:themeColor="text1"/>
                <w:sz w:val="24"/>
                <w:lang w:eastAsia="zh-CN"/>
              </w:rPr>
              <w:t>。 因此，不在开发区生态环境负面清单内。</w:t>
            </w:r>
          </w:p>
          <w:p w14:paraId="69E43E7C">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sz w:val="24"/>
                <w:lang w:val="en-US" w:eastAsia="zh-CN"/>
              </w:rPr>
            </w:pPr>
            <w:r>
              <w:rPr>
                <w:rFonts w:hint="default" w:ascii="Times New Roman" w:hAnsi="Times New Roman" w:eastAsia="宋体" w:cs="Times New Roman"/>
                <w:color w:val="000000" w:themeColor="text1"/>
                <w:sz w:val="24"/>
                <w:lang w:val="en-US" w:eastAsia="zh-CN"/>
              </w:rPr>
              <w:t>综上，本项目符合建设项目所在区域的环境功能区划，不违背安徽省生态功能区划的要求，不会触碰区域环境质量底线，且未列入环境准入负面清单。因此，本项目的建设符合国家和地方相关环境保护法律、法规、标准、政策和规范等的要求。</w:t>
            </w:r>
          </w:p>
          <w:p w14:paraId="715E8D58">
            <w:pPr>
              <w:keepNext w:val="0"/>
              <w:keepLines w:val="0"/>
              <w:pageBreakBefore w:val="0"/>
              <w:widowControl w:val="0"/>
              <w:kinsoku/>
              <w:wordWrap/>
              <w:overflowPunct/>
              <w:topLinePunct w:val="0"/>
              <w:autoSpaceDE w:val="0"/>
              <w:autoSpaceDN w:val="0"/>
              <w:bidi w:val="0"/>
              <w:adjustRightInd w:val="0"/>
              <w:snapToGrid w:val="0"/>
              <w:spacing w:line="360" w:lineRule="auto"/>
              <w:jc w:val="left"/>
              <w:textAlignment w:val="auto"/>
              <w:rPr>
                <w:rFonts w:hint="default" w:ascii="Times New Roman" w:hAnsi="Times New Roman" w:eastAsia="宋体" w:cs="Times New Roman"/>
                <w:b/>
                <w:bCs/>
                <w:color w:val="000000" w:themeColor="text1"/>
                <w:sz w:val="24"/>
                <w:lang w:val="en-US" w:eastAsia="zh-CN"/>
              </w:rPr>
            </w:pPr>
            <w:r>
              <w:rPr>
                <w:rFonts w:hint="eastAsia" w:ascii="Times New Roman" w:hAnsi="Times New Roman" w:cs="Times New Roman"/>
                <w:b/>
                <w:bCs/>
                <w:color w:val="000000" w:themeColor="text1"/>
                <w:sz w:val="24"/>
                <w:lang w:val="en-US" w:eastAsia="zh-CN"/>
              </w:rPr>
              <w:t>4、政策相符性分析</w:t>
            </w:r>
          </w:p>
          <w:p w14:paraId="4D3A8756">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000000" w:themeColor="text1"/>
                <w:sz w:val="24"/>
              </w:rPr>
            </w:pPr>
            <w:r>
              <w:rPr>
                <w:rFonts w:hint="eastAsia" w:ascii="Times New Roman" w:hAnsi="Times New Roman" w:cs="Times New Roman"/>
                <w:color w:val="000000" w:themeColor="text1"/>
                <w:sz w:val="24"/>
                <w:lang w:eastAsia="zh-CN"/>
              </w:rPr>
              <w:t>（</w:t>
            </w:r>
            <w:r>
              <w:rPr>
                <w:rFonts w:hint="eastAsia" w:ascii="Times New Roman" w:hAnsi="Times New Roman" w:cs="Times New Roman"/>
                <w:color w:val="000000" w:themeColor="text1"/>
                <w:sz w:val="24"/>
                <w:lang w:val="en-US" w:eastAsia="zh-CN"/>
              </w:rPr>
              <w:t>1</w:t>
            </w:r>
            <w:r>
              <w:rPr>
                <w:rFonts w:hint="eastAsia" w:ascii="Times New Roman" w:hAnsi="Times New Roman" w:cs="Times New Roman"/>
                <w:color w:val="000000" w:themeColor="text1"/>
                <w:sz w:val="24"/>
                <w:lang w:eastAsia="zh-CN"/>
              </w:rPr>
              <w:t>）</w:t>
            </w:r>
            <w:r>
              <w:rPr>
                <w:rFonts w:hint="default" w:ascii="Times New Roman" w:hAnsi="Times New Roman" w:cs="Times New Roman"/>
                <w:color w:val="000000" w:themeColor="text1"/>
                <w:sz w:val="24"/>
              </w:rPr>
              <w:t>与《淮北市生态环境保护“十四五”规划》的通知（淮环〔2022〕1 号）相符性分析</w:t>
            </w:r>
          </w:p>
          <w:p w14:paraId="31738ACE">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themeColor="text1"/>
                <w:sz w:val="24"/>
                <w:lang w:val="en-US" w:eastAsia="zh-CN"/>
              </w:rPr>
            </w:pPr>
            <w:r>
              <w:rPr>
                <w:rFonts w:hint="eastAsia" w:ascii="Times New Roman" w:hAnsi="Times New Roman" w:eastAsia="宋体" w:cs="Times New Roman"/>
                <w:b/>
                <w:bCs/>
                <w:color w:val="000000" w:themeColor="text1"/>
                <w:sz w:val="24"/>
                <w:lang w:val="en-US" w:eastAsia="zh-CN"/>
              </w:rPr>
              <w:t>表1-6  与淮环〔2022〕1 号文件相符性分析</w:t>
            </w:r>
          </w:p>
          <w:tbl>
            <w:tblPr>
              <w:tblStyle w:val="3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6"/>
              <w:gridCol w:w="3634"/>
              <w:gridCol w:w="2537"/>
              <w:gridCol w:w="600"/>
            </w:tblGrid>
            <w:tr w14:paraId="3657A5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noWrap w:val="0"/>
                  <w:vAlign w:val="center"/>
                </w:tcPr>
                <w:p w14:paraId="587ED58D">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themeColor="text1"/>
                      <w:sz w:val="21"/>
                      <w:szCs w:val="21"/>
                      <w:vertAlign w:val="baseline"/>
                      <w:lang w:val="en-US" w:eastAsia="zh-CN"/>
                    </w:rPr>
                  </w:pPr>
                  <w:r>
                    <w:rPr>
                      <w:rFonts w:hint="eastAsia" w:ascii="Times New Roman" w:hAnsi="Times New Roman" w:eastAsia="宋体" w:cs="Times New Roman"/>
                      <w:b/>
                      <w:bCs/>
                      <w:color w:val="000000" w:themeColor="text1"/>
                      <w:sz w:val="21"/>
                      <w:szCs w:val="21"/>
                      <w:vertAlign w:val="baseline"/>
                      <w:lang w:val="en-US" w:eastAsia="zh-CN"/>
                    </w:rPr>
                    <w:t>序号</w:t>
                  </w:r>
                </w:p>
              </w:tc>
              <w:tc>
                <w:tcPr>
                  <w:tcW w:w="2482" w:type="pct"/>
                  <w:noWrap w:val="0"/>
                  <w:vAlign w:val="center"/>
                </w:tcPr>
                <w:p w14:paraId="0B83B32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themeColor="text1"/>
                      <w:sz w:val="21"/>
                      <w:szCs w:val="21"/>
                      <w:vertAlign w:val="baseline"/>
                      <w:lang w:val="en-US" w:eastAsia="zh-CN"/>
                    </w:rPr>
                  </w:pPr>
                  <w:r>
                    <w:rPr>
                      <w:rFonts w:hint="eastAsia" w:ascii="Times New Roman" w:hAnsi="Times New Roman" w:eastAsia="宋体" w:cs="Times New Roman"/>
                      <w:b/>
                      <w:bCs/>
                      <w:color w:val="000000" w:themeColor="text1"/>
                      <w:sz w:val="21"/>
                      <w:szCs w:val="21"/>
                      <w:vertAlign w:val="baseline"/>
                      <w:lang w:val="en-US" w:eastAsia="zh-CN"/>
                    </w:rPr>
                    <w:t>内容</w:t>
                  </w:r>
                </w:p>
              </w:tc>
              <w:tc>
                <w:tcPr>
                  <w:tcW w:w="1733" w:type="pct"/>
                  <w:noWrap w:val="0"/>
                  <w:vAlign w:val="center"/>
                </w:tcPr>
                <w:p w14:paraId="4B14ED1D">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themeColor="text1"/>
                      <w:sz w:val="21"/>
                      <w:szCs w:val="21"/>
                      <w:vertAlign w:val="baseline"/>
                      <w:lang w:val="en-US" w:eastAsia="zh-CN"/>
                    </w:rPr>
                  </w:pPr>
                  <w:r>
                    <w:rPr>
                      <w:rFonts w:hint="eastAsia" w:ascii="Times New Roman" w:hAnsi="Times New Roman" w:eastAsia="宋体" w:cs="Times New Roman"/>
                      <w:b/>
                      <w:bCs/>
                      <w:color w:val="000000" w:themeColor="text1"/>
                      <w:sz w:val="21"/>
                      <w:szCs w:val="21"/>
                      <w:vertAlign w:val="baseline"/>
                      <w:lang w:val="en-US" w:eastAsia="zh-CN"/>
                    </w:rPr>
                    <w:t>本项目情况</w:t>
                  </w:r>
                </w:p>
              </w:tc>
              <w:tc>
                <w:tcPr>
                  <w:tcW w:w="410" w:type="pct"/>
                  <w:noWrap w:val="0"/>
                  <w:vAlign w:val="center"/>
                </w:tcPr>
                <w:p w14:paraId="32AD7D06">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themeColor="text1"/>
                      <w:sz w:val="21"/>
                      <w:szCs w:val="21"/>
                      <w:vertAlign w:val="baseline"/>
                      <w:lang w:val="en-US" w:eastAsia="zh-CN"/>
                    </w:rPr>
                  </w:pPr>
                  <w:r>
                    <w:rPr>
                      <w:rFonts w:hint="eastAsia" w:ascii="Times New Roman" w:hAnsi="Times New Roman" w:eastAsia="宋体" w:cs="Times New Roman"/>
                      <w:b/>
                      <w:bCs/>
                      <w:color w:val="000000" w:themeColor="text1"/>
                      <w:sz w:val="21"/>
                      <w:szCs w:val="21"/>
                      <w:vertAlign w:val="baseline"/>
                      <w:lang w:val="en-US" w:eastAsia="zh-CN"/>
                    </w:rPr>
                    <w:t>符合性</w:t>
                  </w:r>
                </w:p>
              </w:tc>
            </w:tr>
            <w:tr w14:paraId="5FC70F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noWrap w:val="0"/>
                  <w:vAlign w:val="center"/>
                </w:tcPr>
                <w:p w14:paraId="316E5C3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1</w:t>
                  </w:r>
                </w:p>
              </w:tc>
              <w:tc>
                <w:tcPr>
                  <w:tcW w:w="2482" w:type="pct"/>
                  <w:noWrap w:val="0"/>
                  <w:vAlign w:val="center"/>
                </w:tcPr>
                <w:p w14:paraId="7BF1E771">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推进风险全过程监管。强化企业环境风险主体责任，督促企业开展环境风险隐患排查并建立档案。抓好重点行业企业和重点区域的环境风险评估工作，实施环境风险分级管理，持续推进企业、市政、行政区域的三级防控体系。建立企业突发环境事件报告与应急处理制度、特征污染物监测报告等制度，探索建立建设项目验收与企业环境应急预案备案的联动机制，推广“标杆式”、</w:t>
                  </w:r>
                  <w:r>
                    <w:rPr>
                      <w:rFonts w:hint="eastAsia" w:ascii="Times New Roman" w:hAnsi="Times New Roman" w:eastAsia="宋体" w:cs="Times New Roman"/>
                      <w:color w:val="000000" w:themeColor="text1"/>
                      <w:sz w:val="21"/>
                      <w:szCs w:val="21"/>
                      <w:vertAlign w:val="baseline"/>
                      <w:lang w:val="en-US" w:eastAsia="zh-CN"/>
                    </w:rPr>
                    <w:t>“卡片式”预案管理模式。严格源头防控、深化过程监管，严厉打击污染治理设施不规范、不运行、偷排、漏排等行为，强化责任追究，将环境风险防范纳入到日常环境管理</w:t>
                  </w:r>
                </w:p>
              </w:tc>
              <w:tc>
                <w:tcPr>
                  <w:tcW w:w="1733" w:type="pct"/>
                  <w:noWrap w:val="0"/>
                  <w:vAlign w:val="center"/>
                </w:tcPr>
                <w:p w14:paraId="1FE26F0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本项目将强化企业环境风险主体责任，督促企业开展环境风险隐患排查并建立档案，建立企业突发环境事件报告与应急处理制度、特征污染物监测报告等制度，加强厂区内的环境风险防范措施，制定突发环境风险应急预案联动</w:t>
                  </w:r>
                </w:p>
              </w:tc>
              <w:tc>
                <w:tcPr>
                  <w:tcW w:w="410" w:type="pct"/>
                  <w:noWrap w:val="0"/>
                  <w:vAlign w:val="center"/>
                </w:tcPr>
                <w:p w14:paraId="58BCCD5C">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符合</w:t>
                  </w:r>
                </w:p>
              </w:tc>
            </w:tr>
            <w:tr w14:paraId="7BA237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noWrap w:val="0"/>
                  <w:vAlign w:val="center"/>
                </w:tcPr>
                <w:p w14:paraId="457273FE">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2</w:t>
                  </w:r>
                </w:p>
              </w:tc>
              <w:tc>
                <w:tcPr>
                  <w:tcW w:w="2482" w:type="pct"/>
                  <w:noWrap w:val="0"/>
                  <w:vAlign w:val="center"/>
                </w:tcPr>
                <w:p w14:paraId="0031506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强化应急防范处置能力。加强环境风险信息化管理，完善环境风险源、环境敏感目标、环境应急能力及环境应急预案等数据库，健全应急指挥决策支持系统，提升环境应急信息化水平。加强环境应急预案管理，强化应急演练，推进环境应急管理规范化。加强部门应急联动机制建设，完善</w:t>
                  </w:r>
                </w:p>
                <w:p w14:paraId="0174052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环境应急监测设备，提高应急监测水平。提升环境应急保障能力，建立市、县(区)突发环境事件应急综合救援队伍，加强环境应急专家队伍管理，优化相关咨询机制和决策支持。加强突发环境事件环境污染损害评估、事件调查、信息发布等</w:t>
                  </w:r>
                </w:p>
              </w:tc>
              <w:tc>
                <w:tcPr>
                  <w:tcW w:w="1733" w:type="pct"/>
                  <w:noWrap w:val="0"/>
                  <w:vAlign w:val="center"/>
                </w:tcPr>
                <w:p w14:paraId="2CC562BF">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本项目完善环境风险源、环境敏感目标、环境应急能力及环境应急预案等数据库，且加强厂区内的环境风险防范措施，要求企业编制应急预案，加强突发环境事件环境污染损害评估、事件调查、信息发布</w:t>
                  </w:r>
                </w:p>
              </w:tc>
              <w:tc>
                <w:tcPr>
                  <w:tcW w:w="410" w:type="pct"/>
                  <w:noWrap w:val="0"/>
                  <w:vAlign w:val="center"/>
                </w:tcPr>
                <w:p w14:paraId="7ABC4A8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符合</w:t>
                  </w:r>
                </w:p>
              </w:tc>
            </w:tr>
            <w:tr w14:paraId="3724E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noWrap w:val="0"/>
                  <w:vAlign w:val="center"/>
                </w:tcPr>
                <w:p w14:paraId="51087812">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3</w:t>
                  </w:r>
                </w:p>
              </w:tc>
              <w:tc>
                <w:tcPr>
                  <w:tcW w:w="2482" w:type="pct"/>
                  <w:noWrap w:val="0"/>
                  <w:vAlign w:val="center"/>
                </w:tcPr>
                <w:p w14:paraId="76E71F6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防控重点行业环境风险。加强石化、化工行业环境风险防控，全面排查危险化学品生产、运输、使用及存储全过程风险隐患，健全环境监管及风险防范制度，严厉查处环境违法行为。加强对涉重行业环境风险防控，提高金属表面处理等行业环境准入门槛和环境安全水平。加强对危废处置</w:t>
                  </w:r>
                </w:p>
                <w:p w14:paraId="55BD77D7">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企业环境风险管控，强化贮存、运输、处置的环境监管</w:t>
                  </w:r>
                </w:p>
              </w:tc>
              <w:tc>
                <w:tcPr>
                  <w:tcW w:w="1733" w:type="pct"/>
                  <w:noWrap w:val="0"/>
                  <w:vAlign w:val="center"/>
                </w:tcPr>
                <w:p w14:paraId="60B96EA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本项目不属石油、化工、金属表面处理等防控重点行业，且项目设置符合要求的危险废物贮存库，并设置危废转移联单，加强建设单位与危废处置单位之间的管控，降低环境风险</w:t>
                  </w:r>
                </w:p>
              </w:tc>
              <w:tc>
                <w:tcPr>
                  <w:tcW w:w="410" w:type="pct"/>
                  <w:noWrap w:val="0"/>
                  <w:vAlign w:val="center"/>
                </w:tcPr>
                <w:p w14:paraId="604E6E0D">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符合</w:t>
                  </w:r>
                </w:p>
              </w:tc>
            </w:tr>
            <w:tr w14:paraId="67D06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noWrap w:val="0"/>
                  <w:vAlign w:val="center"/>
                </w:tcPr>
                <w:p w14:paraId="1518EF5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4</w:t>
                  </w:r>
                </w:p>
              </w:tc>
              <w:tc>
                <w:tcPr>
                  <w:tcW w:w="2482" w:type="pct"/>
                  <w:noWrap w:val="0"/>
                  <w:vAlign w:val="center"/>
                </w:tcPr>
                <w:p w14:paraId="06C884A6">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加强生活垃圾综合处理。深入实施城市生活垃圾分类，提高垃圾处理减量化、资源化和无害化水平，积极创建“无废城市”。完善区域生活垃圾无害化处理系统，加强生活垃圾无害化处理设施建设和运营信息统计，重点推进对焚烧厂、卫生填埋场主要设施运营状况等实施实时监控，加强对焚烧设施烟气排放和卫生填埋场渗滤液和填埋气体的监测，防范污染，提高垃圾处理厂监管能力</w:t>
                  </w:r>
                </w:p>
              </w:tc>
              <w:tc>
                <w:tcPr>
                  <w:tcW w:w="1733" w:type="pct"/>
                  <w:noWrap w:val="0"/>
                  <w:vAlign w:val="center"/>
                </w:tcPr>
                <w:p w14:paraId="586E96BA">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本项目生活垃圾经生活垃圾桶收集后由环卫部门统一清运处理，只在厂内暂存</w:t>
                  </w:r>
                </w:p>
              </w:tc>
              <w:tc>
                <w:tcPr>
                  <w:tcW w:w="410" w:type="pct"/>
                  <w:noWrap w:val="0"/>
                  <w:vAlign w:val="center"/>
                </w:tcPr>
                <w:p w14:paraId="1460A30F">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符合</w:t>
                  </w:r>
                </w:p>
              </w:tc>
            </w:tr>
          </w:tbl>
          <w:p w14:paraId="3B707C54">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sz w:val="24"/>
                <w:lang w:val="en-US" w:eastAsia="zh-CN"/>
              </w:rPr>
            </w:pPr>
            <w:r>
              <w:rPr>
                <w:rFonts w:hint="default" w:ascii="Times New Roman" w:hAnsi="Times New Roman" w:eastAsia="宋体" w:cs="Times New Roman"/>
                <w:color w:val="000000" w:themeColor="text1"/>
                <w:kern w:val="2"/>
                <w:sz w:val="24"/>
                <w:szCs w:val="21"/>
                <w:lang w:val="en-US" w:eastAsia="zh-CN" w:bidi="ar-SA"/>
              </w:rPr>
              <w:t>（</w:t>
            </w:r>
            <w:r>
              <w:rPr>
                <w:rFonts w:hint="eastAsia" w:cs="Times New Roman"/>
                <w:color w:val="000000" w:themeColor="text1"/>
                <w:kern w:val="2"/>
                <w:sz w:val="24"/>
                <w:szCs w:val="21"/>
                <w:lang w:val="en-US" w:eastAsia="zh-CN" w:bidi="ar-SA"/>
              </w:rPr>
              <w:t>2</w:t>
            </w:r>
            <w:r>
              <w:rPr>
                <w:rFonts w:hint="default" w:ascii="Times New Roman" w:hAnsi="Times New Roman" w:eastAsia="宋体" w:cs="Times New Roman"/>
                <w:color w:val="000000" w:themeColor="text1"/>
                <w:kern w:val="2"/>
                <w:sz w:val="24"/>
                <w:szCs w:val="21"/>
                <w:lang w:val="en-US" w:eastAsia="zh-CN" w:bidi="ar-SA"/>
              </w:rPr>
              <w:t>）</w:t>
            </w:r>
            <w:r>
              <w:rPr>
                <w:rFonts w:hint="default" w:ascii="Times New Roman" w:hAnsi="Times New Roman" w:eastAsia="宋体" w:cs="Times New Roman"/>
                <w:color w:val="000000" w:themeColor="text1"/>
                <w:sz w:val="24"/>
                <w:lang w:val="en-US" w:eastAsia="zh-CN"/>
              </w:rPr>
              <w:t>与安徽省人民政府《关于印发安徽省空气质量持续改善行动方案的通知》（皖政〔2024〕36号）相符性分</w:t>
            </w:r>
          </w:p>
          <w:p w14:paraId="3C66FBBE">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themeColor="text1"/>
                <w:sz w:val="24"/>
                <w:lang w:val="en-US" w:eastAsia="zh-CN"/>
              </w:rPr>
            </w:pPr>
            <w:r>
              <w:rPr>
                <w:rFonts w:hint="eastAsia" w:ascii="Times New Roman" w:hAnsi="Times New Roman" w:eastAsia="宋体" w:cs="Times New Roman"/>
                <w:b/>
                <w:bCs/>
                <w:color w:val="000000" w:themeColor="text1"/>
                <w:sz w:val="24"/>
                <w:lang w:val="en-US" w:eastAsia="zh-CN"/>
              </w:rPr>
              <w:t>表1-7  与皖政〔2024〕36 号文件相符性分析</w:t>
            </w:r>
          </w:p>
          <w:tbl>
            <w:tblPr>
              <w:tblStyle w:val="3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4"/>
              <w:gridCol w:w="3634"/>
              <w:gridCol w:w="2538"/>
              <w:gridCol w:w="601"/>
            </w:tblGrid>
            <w:tr w14:paraId="555F6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2" w:type="pct"/>
                  <w:noWrap w:val="0"/>
                  <w:vAlign w:val="center"/>
                </w:tcPr>
                <w:p w14:paraId="40045944">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themeColor="text1"/>
                      <w:sz w:val="21"/>
                      <w:szCs w:val="21"/>
                      <w:vertAlign w:val="baseline"/>
                      <w:lang w:val="en-US" w:eastAsia="zh-CN"/>
                    </w:rPr>
                  </w:pPr>
                  <w:r>
                    <w:rPr>
                      <w:rFonts w:hint="eastAsia" w:ascii="Times New Roman" w:hAnsi="Times New Roman" w:eastAsia="宋体" w:cs="Times New Roman"/>
                      <w:b/>
                      <w:bCs/>
                      <w:color w:val="000000" w:themeColor="text1"/>
                      <w:sz w:val="21"/>
                      <w:szCs w:val="21"/>
                      <w:vertAlign w:val="baseline"/>
                      <w:lang w:val="en-US" w:eastAsia="zh-CN"/>
                    </w:rPr>
                    <w:t>序号</w:t>
                  </w:r>
                </w:p>
              </w:tc>
              <w:tc>
                <w:tcPr>
                  <w:tcW w:w="2483" w:type="pct"/>
                  <w:noWrap w:val="0"/>
                  <w:vAlign w:val="center"/>
                </w:tcPr>
                <w:p w14:paraId="2A6241F6">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themeColor="text1"/>
                      <w:sz w:val="21"/>
                      <w:szCs w:val="21"/>
                      <w:vertAlign w:val="baseline"/>
                      <w:lang w:val="en-US" w:eastAsia="zh-CN"/>
                    </w:rPr>
                  </w:pPr>
                  <w:r>
                    <w:rPr>
                      <w:rFonts w:hint="eastAsia" w:ascii="Times New Roman" w:hAnsi="Times New Roman" w:eastAsia="宋体" w:cs="Times New Roman"/>
                      <w:b/>
                      <w:bCs/>
                      <w:color w:val="000000" w:themeColor="text1"/>
                      <w:sz w:val="21"/>
                      <w:szCs w:val="21"/>
                      <w:vertAlign w:val="baseline"/>
                      <w:lang w:val="en-US" w:eastAsia="zh-CN"/>
                    </w:rPr>
                    <w:t>内容</w:t>
                  </w:r>
                </w:p>
              </w:tc>
              <w:tc>
                <w:tcPr>
                  <w:tcW w:w="1734" w:type="pct"/>
                  <w:noWrap w:val="0"/>
                  <w:vAlign w:val="center"/>
                </w:tcPr>
                <w:p w14:paraId="0F740CE1">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themeColor="text1"/>
                      <w:sz w:val="21"/>
                      <w:szCs w:val="21"/>
                      <w:vertAlign w:val="baseline"/>
                      <w:lang w:val="en-US" w:eastAsia="zh-CN"/>
                    </w:rPr>
                  </w:pPr>
                  <w:r>
                    <w:rPr>
                      <w:rFonts w:hint="eastAsia" w:ascii="Times New Roman" w:hAnsi="Times New Roman" w:eastAsia="宋体" w:cs="Times New Roman"/>
                      <w:b/>
                      <w:bCs/>
                      <w:color w:val="000000" w:themeColor="text1"/>
                      <w:sz w:val="21"/>
                      <w:szCs w:val="21"/>
                      <w:vertAlign w:val="baseline"/>
                      <w:lang w:val="en-US" w:eastAsia="zh-CN"/>
                    </w:rPr>
                    <w:t>本项目情况</w:t>
                  </w:r>
                </w:p>
              </w:tc>
              <w:tc>
                <w:tcPr>
                  <w:tcW w:w="410" w:type="pct"/>
                  <w:noWrap w:val="0"/>
                  <w:vAlign w:val="center"/>
                </w:tcPr>
                <w:p w14:paraId="6FA10EB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themeColor="text1"/>
                      <w:sz w:val="21"/>
                      <w:szCs w:val="21"/>
                      <w:vertAlign w:val="baseline"/>
                      <w:lang w:val="en-US" w:eastAsia="zh-CN"/>
                    </w:rPr>
                  </w:pPr>
                  <w:r>
                    <w:rPr>
                      <w:rFonts w:hint="eastAsia" w:ascii="Times New Roman" w:hAnsi="Times New Roman" w:eastAsia="宋体" w:cs="Times New Roman"/>
                      <w:b/>
                      <w:bCs/>
                      <w:color w:val="000000" w:themeColor="text1"/>
                      <w:sz w:val="21"/>
                      <w:szCs w:val="21"/>
                      <w:vertAlign w:val="baseline"/>
                      <w:lang w:val="en-US" w:eastAsia="zh-CN"/>
                    </w:rPr>
                    <w:t>符合性</w:t>
                  </w:r>
                </w:p>
              </w:tc>
            </w:tr>
            <w:tr w14:paraId="024BC9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2" w:type="pct"/>
                  <w:noWrap w:val="0"/>
                  <w:vAlign w:val="center"/>
                </w:tcPr>
                <w:p w14:paraId="07FE139E">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1</w:t>
                  </w:r>
                </w:p>
              </w:tc>
              <w:tc>
                <w:tcPr>
                  <w:tcW w:w="2483" w:type="pct"/>
                  <w:noWrap w:val="0"/>
                  <w:vAlign w:val="center"/>
                </w:tcPr>
                <w:p w14:paraId="722EAF12">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加快低（无）VOCs 原辅材料替代。严格控制生产和使用</w:t>
                  </w:r>
                  <w:r>
                    <w:rPr>
                      <w:rFonts w:hint="eastAsia" w:ascii="Times New Roman" w:hAnsi="Times New Roman" w:eastAsia="宋体" w:cs="Times New Roman"/>
                      <w:color w:val="000000" w:themeColor="text1"/>
                      <w:sz w:val="21"/>
                      <w:szCs w:val="21"/>
                      <w:vertAlign w:val="baseline"/>
                      <w:lang w:val="en-US" w:eastAsia="zh-CN"/>
                    </w:rPr>
                    <w:t>高VOCs含量涂料、油墨、胶粘剂、清洗剂等建设项目。推动现有高VOCs含量产品生产企业加快产品升级转型，提高低（无）VOCs含量产品比重。加大工业涂装行业、包装印刷行业及电子行业低（无）VOCs 含量原辅材料替代力度。室外构筑物防护和城市道路交通标志推广使用低（无）VOCs 含量涂料。严格执行 VOCs 含量限值标准，确保生产、销售、进口、使用符合标准的产品</w:t>
                  </w:r>
                </w:p>
              </w:tc>
              <w:tc>
                <w:tcPr>
                  <w:tcW w:w="1734" w:type="pct"/>
                  <w:noWrap w:val="0"/>
                  <w:vAlign w:val="center"/>
                </w:tcPr>
                <w:p w14:paraId="5C6C76E4">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eastAsia="宋体"/>
                      <w:color w:val="000000" w:themeColor="text1"/>
                      <w:sz w:val="21"/>
                      <w:szCs w:val="21"/>
                      <w:highlight w:val="none"/>
                      <w:lang w:val="en-US" w:eastAsia="zh-CN"/>
                    </w:rPr>
                    <w:t>企业使用的环氧树脂A、B料属于本体型胶黏剂，根据提供的VOCs检测报告，其工作液中VOCs含量为29.8g/kg，低于《胶粘剂挥发性有机化合物限量》GB33372-2020）中含量要求（50g/kg），不属于高挥发性有机物含量胶黏剂</w:t>
                  </w:r>
                </w:p>
              </w:tc>
              <w:tc>
                <w:tcPr>
                  <w:tcW w:w="410" w:type="pct"/>
                  <w:noWrap w:val="0"/>
                  <w:vAlign w:val="center"/>
                </w:tcPr>
                <w:p w14:paraId="12C41F6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符合</w:t>
                  </w:r>
                </w:p>
              </w:tc>
            </w:tr>
            <w:tr w14:paraId="08F874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2" w:type="pct"/>
                  <w:noWrap w:val="0"/>
                  <w:vAlign w:val="center"/>
                </w:tcPr>
                <w:p w14:paraId="5831D2EA">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3</w:t>
                  </w:r>
                </w:p>
              </w:tc>
              <w:tc>
                <w:tcPr>
                  <w:tcW w:w="2483" w:type="pct"/>
                  <w:noWrap w:val="0"/>
                  <w:vAlign w:val="center"/>
                </w:tcPr>
                <w:p w14:paraId="7A07668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严格落实法律法规和标准。加强大气污染防治法治保障，严格实施大气污染防治法、清洁生产促进法和移动源污染防治管理办法，依法惩戒环境污染责任主体。落实 VOCs 含量限值强制性国家标准、低（无）VOCs 含量产品标识制度、有机废气治理用活性炭技术要求。严格落实国家环境空气质量标准、铁路内燃机车污染物排放等强制性国家标准。加快出台大气污染物排放标准，及时开展相关法规、标准培训和宣传解读</w:t>
                  </w:r>
                </w:p>
              </w:tc>
              <w:tc>
                <w:tcPr>
                  <w:tcW w:w="1734" w:type="pct"/>
                  <w:noWrap w:val="0"/>
                  <w:vAlign w:val="center"/>
                </w:tcPr>
                <w:p w14:paraId="46E0BAE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浇筑固化工序设置在密闭隔间内，</w:t>
                  </w:r>
                  <w:r>
                    <w:rPr>
                      <w:rFonts w:hint="eastAsia" w:cs="Times New Roman"/>
                      <w:color w:val="000000" w:themeColor="text1"/>
                      <w:sz w:val="21"/>
                      <w:szCs w:val="21"/>
                      <w:vertAlign w:val="baseline"/>
                      <w:lang w:val="en-US" w:eastAsia="zh-CN"/>
                    </w:rPr>
                    <w:t>浇筑投料口处设置集气罩，</w:t>
                  </w:r>
                  <w:r>
                    <w:rPr>
                      <w:rFonts w:hint="default" w:ascii="Times New Roman" w:hAnsi="Times New Roman" w:eastAsia="宋体" w:cs="Times New Roman"/>
                      <w:color w:val="000000" w:themeColor="text1"/>
                      <w:sz w:val="21"/>
                      <w:szCs w:val="21"/>
                      <w:vertAlign w:val="baseline"/>
                      <w:lang w:val="en-US" w:eastAsia="zh-CN"/>
                    </w:rPr>
                    <w:t>废气</w:t>
                  </w:r>
                  <w:r>
                    <w:rPr>
                      <w:rFonts w:hint="eastAsia" w:ascii="Times New Roman" w:hAnsi="Times New Roman" w:eastAsia="宋体" w:cs="Times New Roman"/>
                      <w:color w:val="000000" w:themeColor="text1"/>
                      <w:sz w:val="21"/>
                      <w:szCs w:val="21"/>
                      <w:vertAlign w:val="baseline"/>
                      <w:lang w:val="en-US" w:eastAsia="zh-CN"/>
                    </w:rPr>
                    <w:t>经负压收集后，经干式过滤棉</w:t>
                  </w:r>
                  <w:r>
                    <w:rPr>
                      <w:rFonts w:hint="default" w:ascii="Times New Roman" w:hAnsi="Times New Roman" w:eastAsia="宋体" w:cs="Times New Roman"/>
                      <w:color w:val="000000" w:themeColor="text1"/>
                      <w:sz w:val="21"/>
                      <w:szCs w:val="21"/>
                      <w:vertAlign w:val="baseline"/>
                      <w:lang w:val="en-US" w:eastAsia="zh-CN"/>
                    </w:rPr>
                    <w:t>+二级活性炭吸附装置（处理效率 90%）”处理后，经 DA001（15m）排气筒排</w:t>
                  </w:r>
                </w:p>
              </w:tc>
              <w:tc>
                <w:tcPr>
                  <w:tcW w:w="410" w:type="pct"/>
                  <w:noWrap w:val="0"/>
                  <w:vAlign w:val="center"/>
                </w:tcPr>
                <w:p w14:paraId="4C8FA251">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符合</w:t>
                  </w:r>
                </w:p>
              </w:tc>
            </w:tr>
          </w:tbl>
          <w:p w14:paraId="56130DDF">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sz w:val="24"/>
                <w:lang w:val="en-US" w:eastAsia="zh-CN"/>
              </w:rPr>
            </w:pPr>
            <w:r>
              <w:rPr>
                <w:rFonts w:hint="default" w:ascii="Times New Roman" w:hAnsi="Times New Roman" w:eastAsia="宋体" w:cs="Times New Roman"/>
                <w:color w:val="000000" w:themeColor="text1"/>
                <w:kern w:val="2"/>
                <w:sz w:val="24"/>
                <w:szCs w:val="21"/>
                <w:lang w:val="en-US" w:eastAsia="zh-CN" w:bidi="ar-SA"/>
              </w:rPr>
              <w:t>（</w:t>
            </w:r>
            <w:r>
              <w:rPr>
                <w:rFonts w:hint="eastAsia" w:cs="Times New Roman"/>
                <w:color w:val="000000" w:themeColor="text1"/>
                <w:kern w:val="2"/>
                <w:sz w:val="24"/>
                <w:szCs w:val="21"/>
                <w:lang w:val="en-US" w:eastAsia="zh-CN" w:bidi="ar-SA"/>
              </w:rPr>
              <w:t>3</w:t>
            </w:r>
            <w:r>
              <w:rPr>
                <w:rFonts w:hint="default" w:ascii="Times New Roman" w:hAnsi="Times New Roman" w:eastAsia="宋体" w:cs="Times New Roman"/>
                <w:color w:val="000000" w:themeColor="text1"/>
                <w:kern w:val="2"/>
                <w:sz w:val="24"/>
                <w:szCs w:val="21"/>
                <w:lang w:val="en-US" w:eastAsia="zh-CN" w:bidi="ar-SA"/>
              </w:rPr>
              <w:t>）</w:t>
            </w:r>
            <w:r>
              <w:rPr>
                <w:rFonts w:hint="default" w:ascii="Times New Roman" w:hAnsi="Times New Roman" w:eastAsia="宋体" w:cs="Times New Roman"/>
                <w:color w:val="000000" w:themeColor="text1"/>
                <w:sz w:val="24"/>
                <w:lang w:val="en-US" w:eastAsia="zh-CN"/>
              </w:rPr>
              <w:t>与安徽省人民政府办公厅《关于印发皖北六市空气质量提升攻坚行动方案的通知》（皖政办秘〔2023〕58号，2023年12月8日）相符性分析</w:t>
            </w:r>
          </w:p>
          <w:p w14:paraId="3014B56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themeColor="text1"/>
                <w:sz w:val="24"/>
                <w:lang w:val="en-US" w:eastAsia="zh-CN"/>
              </w:rPr>
            </w:pPr>
            <w:r>
              <w:rPr>
                <w:rFonts w:hint="eastAsia" w:ascii="Times New Roman" w:hAnsi="Times New Roman" w:eastAsia="宋体" w:cs="Times New Roman"/>
                <w:b/>
                <w:bCs/>
                <w:color w:val="000000" w:themeColor="text1"/>
                <w:sz w:val="24"/>
                <w:lang w:val="en-US" w:eastAsia="zh-CN"/>
              </w:rPr>
              <w:t>表1-8  与皖政办秘〔2023〕58 号文件相符性</w:t>
            </w:r>
          </w:p>
          <w:tbl>
            <w:tblPr>
              <w:tblStyle w:val="3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6"/>
              <w:gridCol w:w="3634"/>
              <w:gridCol w:w="2537"/>
              <w:gridCol w:w="600"/>
            </w:tblGrid>
            <w:tr w14:paraId="7A35F3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noWrap w:val="0"/>
                  <w:vAlign w:val="center"/>
                </w:tcPr>
                <w:p w14:paraId="1BE7600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themeColor="text1"/>
                      <w:sz w:val="21"/>
                      <w:szCs w:val="21"/>
                      <w:vertAlign w:val="baseline"/>
                      <w:lang w:val="en-US" w:eastAsia="zh-CN"/>
                    </w:rPr>
                  </w:pPr>
                  <w:r>
                    <w:rPr>
                      <w:rFonts w:hint="eastAsia" w:ascii="Times New Roman" w:hAnsi="Times New Roman" w:eastAsia="宋体" w:cs="Times New Roman"/>
                      <w:b/>
                      <w:bCs/>
                      <w:color w:val="000000" w:themeColor="text1"/>
                      <w:sz w:val="21"/>
                      <w:szCs w:val="21"/>
                      <w:vertAlign w:val="baseline"/>
                      <w:lang w:val="en-US" w:eastAsia="zh-CN"/>
                    </w:rPr>
                    <w:t>序号</w:t>
                  </w:r>
                </w:p>
              </w:tc>
              <w:tc>
                <w:tcPr>
                  <w:tcW w:w="2482" w:type="pct"/>
                  <w:noWrap w:val="0"/>
                  <w:vAlign w:val="center"/>
                </w:tcPr>
                <w:p w14:paraId="45FEE306">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themeColor="text1"/>
                      <w:sz w:val="21"/>
                      <w:szCs w:val="21"/>
                      <w:vertAlign w:val="baseline"/>
                      <w:lang w:val="en-US" w:eastAsia="zh-CN"/>
                    </w:rPr>
                  </w:pPr>
                  <w:r>
                    <w:rPr>
                      <w:rFonts w:hint="eastAsia" w:ascii="Times New Roman" w:hAnsi="Times New Roman" w:eastAsia="宋体" w:cs="Times New Roman"/>
                      <w:b/>
                      <w:bCs/>
                      <w:color w:val="000000" w:themeColor="text1"/>
                      <w:sz w:val="21"/>
                      <w:szCs w:val="21"/>
                      <w:vertAlign w:val="baseline"/>
                      <w:lang w:val="en-US" w:eastAsia="zh-CN"/>
                    </w:rPr>
                    <w:t>内容</w:t>
                  </w:r>
                </w:p>
              </w:tc>
              <w:tc>
                <w:tcPr>
                  <w:tcW w:w="1733" w:type="pct"/>
                  <w:noWrap w:val="0"/>
                  <w:vAlign w:val="center"/>
                </w:tcPr>
                <w:p w14:paraId="656245AA">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themeColor="text1"/>
                      <w:sz w:val="21"/>
                      <w:szCs w:val="21"/>
                      <w:vertAlign w:val="baseline"/>
                      <w:lang w:val="en-US" w:eastAsia="zh-CN"/>
                    </w:rPr>
                  </w:pPr>
                  <w:r>
                    <w:rPr>
                      <w:rFonts w:hint="eastAsia" w:ascii="Times New Roman" w:hAnsi="Times New Roman" w:eastAsia="宋体" w:cs="Times New Roman"/>
                      <w:b/>
                      <w:bCs/>
                      <w:color w:val="000000" w:themeColor="text1"/>
                      <w:sz w:val="21"/>
                      <w:szCs w:val="21"/>
                      <w:vertAlign w:val="baseline"/>
                      <w:lang w:val="en-US" w:eastAsia="zh-CN"/>
                    </w:rPr>
                    <w:t>本项目情况</w:t>
                  </w:r>
                </w:p>
              </w:tc>
              <w:tc>
                <w:tcPr>
                  <w:tcW w:w="410" w:type="pct"/>
                  <w:noWrap w:val="0"/>
                  <w:vAlign w:val="center"/>
                </w:tcPr>
                <w:p w14:paraId="4C5BE59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themeColor="text1"/>
                      <w:sz w:val="21"/>
                      <w:szCs w:val="21"/>
                      <w:vertAlign w:val="baseline"/>
                      <w:lang w:val="en-US" w:eastAsia="zh-CN"/>
                    </w:rPr>
                  </w:pPr>
                  <w:r>
                    <w:rPr>
                      <w:rFonts w:hint="eastAsia" w:ascii="Times New Roman" w:hAnsi="Times New Roman" w:eastAsia="宋体" w:cs="Times New Roman"/>
                      <w:b/>
                      <w:bCs/>
                      <w:color w:val="000000" w:themeColor="text1"/>
                      <w:sz w:val="21"/>
                      <w:szCs w:val="21"/>
                      <w:vertAlign w:val="baseline"/>
                      <w:lang w:val="en-US" w:eastAsia="zh-CN"/>
                    </w:rPr>
                    <w:t>符合性</w:t>
                  </w:r>
                </w:p>
              </w:tc>
            </w:tr>
            <w:tr w14:paraId="49F918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noWrap w:val="0"/>
                  <w:vAlign w:val="center"/>
                </w:tcPr>
                <w:p w14:paraId="65E76E2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1</w:t>
                  </w:r>
                </w:p>
              </w:tc>
              <w:tc>
                <w:tcPr>
                  <w:tcW w:w="2482" w:type="pct"/>
                  <w:noWrap w:val="0"/>
                  <w:vAlign w:val="center"/>
                </w:tcPr>
                <w:p w14:paraId="3B043FEE">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深化扬尘污染综合治理。加强扬尘管控的监测巡查， 推进扬尘管控精细化、规范化、长效化。加大建筑施工扬尘管 控力度，全面落实建成区建筑施工工地围挡及喷淋、物料堆放覆盖、土方开挖湿法作业、施工便道硬化、出入车辆清洗、渣土车辆密闭运输“六个百分之百”；严格落实交通、水利等线性工程扬尘控制措施。</w:t>
                  </w:r>
                </w:p>
              </w:tc>
              <w:tc>
                <w:tcPr>
                  <w:tcW w:w="1733" w:type="pct"/>
                  <w:noWrap w:val="0"/>
                  <w:vAlign w:val="center"/>
                </w:tcPr>
                <w:p w14:paraId="00046F9A">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厂内非道路移动机械和吸排车等特种运输机械全部</w:t>
                  </w:r>
                  <w:r>
                    <w:rPr>
                      <w:rFonts w:hint="eastAsia" w:cs="Times New Roman"/>
                      <w:color w:val="000000" w:themeColor="text1"/>
                      <w:sz w:val="21"/>
                      <w:szCs w:val="21"/>
                      <w:vertAlign w:val="baseline"/>
                      <w:lang w:val="en-US" w:eastAsia="zh-CN"/>
                    </w:rPr>
                    <w:t>采用清洁能源车辆</w:t>
                  </w:r>
                </w:p>
              </w:tc>
              <w:tc>
                <w:tcPr>
                  <w:tcW w:w="410" w:type="pct"/>
                  <w:noWrap w:val="0"/>
                  <w:vAlign w:val="center"/>
                </w:tcPr>
                <w:p w14:paraId="3D4A6DBC">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符合</w:t>
                  </w:r>
                </w:p>
              </w:tc>
            </w:tr>
            <w:tr w14:paraId="4655F8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noWrap w:val="0"/>
                  <w:vAlign w:val="center"/>
                </w:tcPr>
                <w:p w14:paraId="11724A73">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2</w:t>
                  </w:r>
                </w:p>
              </w:tc>
              <w:tc>
                <w:tcPr>
                  <w:tcW w:w="2482" w:type="pct"/>
                  <w:noWrap w:val="0"/>
                  <w:vAlign w:val="center"/>
                </w:tcPr>
                <w:p w14:paraId="35D04B37">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强化移动源污染综合治理。全面实施机动车排放检验与维护制度，定期进行排放情况抽测。加快推进企业单位使用以新能源为动力的内部作业车辆和机械，全面推广使用新能源非道路移动机械。2025年底前基本淘汰国Ⅰ及以下排放标准的工程机械。深化非法加油站点整治，加大自备加油站点监管，严厉打击不合格油品。开展油气回收专项排查整治。</w:t>
                  </w:r>
                </w:p>
              </w:tc>
              <w:tc>
                <w:tcPr>
                  <w:tcW w:w="1733" w:type="pct"/>
                  <w:noWrap w:val="0"/>
                  <w:vAlign w:val="center"/>
                </w:tcPr>
                <w:p w14:paraId="0AC6C281">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生活垃圾垃圾桶收集后，委托环卫部门采用密闭化收集转运，严防垃圾及渗滤液抛洒滴漏</w:t>
                  </w:r>
                </w:p>
              </w:tc>
              <w:tc>
                <w:tcPr>
                  <w:tcW w:w="410" w:type="pct"/>
                  <w:noWrap w:val="0"/>
                  <w:vAlign w:val="center"/>
                </w:tcPr>
                <w:p w14:paraId="60C13C51">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符合</w:t>
                  </w:r>
                </w:p>
              </w:tc>
            </w:tr>
          </w:tbl>
          <w:p w14:paraId="02BC90F5">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sz w:val="24"/>
                <w:lang w:val="en-US" w:eastAsia="zh-CN"/>
              </w:rPr>
            </w:pPr>
            <w:r>
              <w:rPr>
                <w:rFonts w:hint="default" w:ascii="Times New Roman" w:hAnsi="Times New Roman" w:eastAsia="宋体" w:cs="Times New Roman"/>
                <w:color w:val="000000" w:themeColor="text1"/>
                <w:kern w:val="2"/>
                <w:sz w:val="24"/>
                <w:szCs w:val="21"/>
                <w:lang w:val="en-US" w:eastAsia="zh-CN" w:bidi="ar-SA"/>
              </w:rPr>
              <w:t>（</w:t>
            </w:r>
            <w:r>
              <w:rPr>
                <w:rFonts w:hint="eastAsia" w:cs="Times New Roman"/>
                <w:color w:val="000000" w:themeColor="text1"/>
                <w:kern w:val="2"/>
                <w:sz w:val="24"/>
                <w:szCs w:val="21"/>
                <w:lang w:val="en-US" w:eastAsia="zh-CN" w:bidi="ar-SA"/>
              </w:rPr>
              <w:t>4</w:t>
            </w:r>
            <w:r>
              <w:rPr>
                <w:rFonts w:hint="default" w:ascii="Times New Roman" w:hAnsi="Times New Roman" w:eastAsia="宋体" w:cs="Times New Roman"/>
                <w:color w:val="000000" w:themeColor="text1"/>
                <w:kern w:val="2"/>
                <w:sz w:val="24"/>
                <w:szCs w:val="21"/>
                <w:lang w:val="en-US" w:eastAsia="zh-CN" w:bidi="ar-SA"/>
              </w:rPr>
              <w:t>）</w:t>
            </w:r>
            <w:r>
              <w:rPr>
                <w:rFonts w:hint="default" w:ascii="Times New Roman" w:hAnsi="Times New Roman" w:eastAsia="宋体" w:cs="Times New Roman"/>
                <w:color w:val="000000" w:themeColor="text1"/>
                <w:sz w:val="24"/>
                <w:lang w:val="en-US" w:eastAsia="zh-CN"/>
              </w:rPr>
              <w:t>与淮北市人民政府办公室《关于印发淮北市空气质量提升攻坚行动方案的通知》（淮政办秘〔2024〕8号，2024年2月12日）通知相符性分</w:t>
            </w:r>
            <w:r>
              <w:rPr>
                <w:rFonts w:hint="eastAsia" w:ascii="Times New Roman" w:hAnsi="Times New Roman" w:eastAsia="宋体" w:cs="Times New Roman"/>
                <w:color w:val="000000" w:themeColor="text1"/>
                <w:sz w:val="24"/>
                <w:lang w:val="en-US" w:eastAsia="zh-CN"/>
              </w:rPr>
              <w:t>析</w:t>
            </w:r>
          </w:p>
          <w:p w14:paraId="5D40A944">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themeColor="text1"/>
                <w:sz w:val="24"/>
                <w:lang w:val="en-US" w:eastAsia="zh-CN"/>
              </w:rPr>
            </w:pPr>
            <w:r>
              <w:rPr>
                <w:rFonts w:hint="eastAsia" w:ascii="Times New Roman" w:hAnsi="Times New Roman" w:eastAsia="宋体" w:cs="Times New Roman"/>
                <w:b/>
                <w:bCs/>
                <w:color w:val="000000" w:themeColor="text1"/>
                <w:sz w:val="24"/>
                <w:lang w:val="en-US" w:eastAsia="zh-CN"/>
              </w:rPr>
              <w:t>表1-9  与淮政办秘〔2024〕8号文件相符性分析</w:t>
            </w:r>
          </w:p>
          <w:tbl>
            <w:tblPr>
              <w:tblStyle w:val="3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6"/>
              <w:gridCol w:w="3632"/>
              <w:gridCol w:w="2536"/>
              <w:gridCol w:w="603"/>
            </w:tblGrid>
            <w:tr w14:paraId="4C91A7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73" w:type="pct"/>
                  <w:noWrap w:val="0"/>
                  <w:vAlign w:val="center"/>
                </w:tcPr>
                <w:p w14:paraId="57F9E51E">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themeColor="text1"/>
                      <w:sz w:val="21"/>
                      <w:szCs w:val="21"/>
                      <w:vertAlign w:val="baseline"/>
                      <w:lang w:val="en-US" w:eastAsia="zh-CN"/>
                    </w:rPr>
                  </w:pPr>
                  <w:r>
                    <w:rPr>
                      <w:rFonts w:hint="eastAsia" w:ascii="Times New Roman" w:hAnsi="Times New Roman" w:eastAsia="宋体" w:cs="Times New Roman"/>
                      <w:b/>
                      <w:bCs/>
                      <w:color w:val="000000" w:themeColor="text1"/>
                      <w:sz w:val="21"/>
                      <w:szCs w:val="21"/>
                      <w:vertAlign w:val="baseline"/>
                      <w:lang w:val="en-US" w:eastAsia="zh-CN"/>
                    </w:rPr>
                    <w:t>序号</w:t>
                  </w:r>
                </w:p>
              </w:tc>
              <w:tc>
                <w:tcPr>
                  <w:tcW w:w="2482" w:type="pct"/>
                  <w:noWrap w:val="0"/>
                  <w:vAlign w:val="center"/>
                </w:tcPr>
                <w:p w14:paraId="2E89455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themeColor="text1"/>
                      <w:sz w:val="21"/>
                      <w:szCs w:val="21"/>
                      <w:vertAlign w:val="baseline"/>
                      <w:lang w:val="en-US" w:eastAsia="zh-CN"/>
                    </w:rPr>
                  </w:pPr>
                  <w:r>
                    <w:rPr>
                      <w:rFonts w:hint="eastAsia" w:ascii="Times New Roman" w:hAnsi="Times New Roman" w:eastAsia="宋体" w:cs="Times New Roman"/>
                      <w:b/>
                      <w:bCs/>
                      <w:color w:val="000000" w:themeColor="text1"/>
                      <w:sz w:val="21"/>
                      <w:szCs w:val="21"/>
                      <w:vertAlign w:val="baseline"/>
                      <w:lang w:val="en-US" w:eastAsia="zh-CN"/>
                    </w:rPr>
                    <w:t>内容</w:t>
                  </w:r>
                </w:p>
              </w:tc>
              <w:tc>
                <w:tcPr>
                  <w:tcW w:w="1733" w:type="pct"/>
                  <w:noWrap w:val="0"/>
                  <w:vAlign w:val="center"/>
                </w:tcPr>
                <w:p w14:paraId="3B818D08">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themeColor="text1"/>
                      <w:sz w:val="21"/>
                      <w:szCs w:val="21"/>
                      <w:vertAlign w:val="baseline"/>
                      <w:lang w:val="en-US" w:eastAsia="zh-CN"/>
                    </w:rPr>
                  </w:pPr>
                  <w:r>
                    <w:rPr>
                      <w:rFonts w:hint="eastAsia" w:ascii="Times New Roman" w:hAnsi="Times New Roman" w:eastAsia="宋体" w:cs="Times New Roman"/>
                      <w:b/>
                      <w:bCs/>
                      <w:color w:val="000000" w:themeColor="text1"/>
                      <w:sz w:val="21"/>
                      <w:szCs w:val="21"/>
                      <w:vertAlign w:val="baseline"/>
                      <w:lang w:val="en-US" w:eastAsia="zh-CN"/>
                    </w:rPr>
                    <w:t>本项目情况</w:t>
                  </w:r>
                </w:p>
              </w:tc>
              <w:tc>
                <w:tcPr>
                  <w:tcW w:w="410" w:type="pct"/>
                  <w:noWrap w:val="0"/>
                  <w:vAlign w:val="center"/>
                </w:tcPr>
                <w:p w14:paraId="046A589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themeColor="text1"/>
                      <w:sz w:val="21"/>
                      <w:szCs w:val="21"/>
                      <w:vertAlign w:val="baseline"/>
                      <w:lang w:val="en-US" w:eastAsia="zh-CN"/>
                    </w:rPr>
                  </w:pPr>
                  <w:r>
                    <w:rPr>
                      <w:rFonts w:hint="eastAsia" w:ascii="Times New Roman" w:hAnsi="Times New Roman" w:eastAsia="宋体" w:cs="Times New Roman"/>
                      <w:b/>
                      <w:bCs/>
                      <w:color w:val="000000" w:themeColor="text1"/>
                      <w:sz w:val="21"/>
                      <w:szCs w:val="21"/>
                      <w:vertAlign w:val="baseline"/>
                      <w:lang w:val="en-US" w:eastAsia="zh-CN"/>
                    </w:rPr>
                    <w:t>符合性</w:t>
                  </w:r>
                </w:p>
              </w:tc>
            </w:tr>
            <w:tr w14:paraId="5B77D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noWrap w:val="0"/>
                  <w:vAlign w:val="center"/>
                </w:tcPr>
                <w:p w14:paraId="3AE19D8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000000" w:themeColor="text1"/>
                      <w:sz w:val="21"/>
                      <w:szCs w:val="21"/>
                      <w:vertAlign w:val="baseline"/>
                      <w:lang w:val="en-US" w:eastAsia="zh-CN"/>
                    </w:rPr>
                  </w:pPr>
                  <w:r>
                    <w:rPr>
                      <w:rFonts w:hint="eastAsia" w:ascii="Times New Roman" w:hAnsi="Times New Roman" w:eastAsia="宋体" w:cs="Times New Roman"/>
                      <w:b/>
                      <w:bCs/>
                      <w:color w:val="000000" w:themeColor="text1"/>
                      <w:sz w:val="21"/>
                      <w:szCs w:val="21"/>
                      <w:vertAlign w:val="baseline"/>
                      <w:lang w:val="en-US" w:eastAsia="zh-CN"/>
                    </w:rPr>
                    <w:t>(一)开展产业绿色发展提升行动</w:t>
                  </w:r>
                </w:p>
              </w:tc>
            </w:tr>
            <w:tr w14:paraId="30547C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noWrap w:val="0"/>
                  <w:vAlign w:val="center"/>
                </w:tcPr>
                <w:p w14:paraId="598EE4A7">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1</w:t>
                  </w:r>
                </w:p>
              </w:tc>
              <w:tc>
                <w:tcPr>
                  <w:tcW w:w="2482" w:type="pct"/>
                  <w:noWrap w:val="0"/>
                  <w:vAlign w:val="center"/>
                </w:tcPr>
                <w:p w14:paraId="1C1F5D92">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坚决遏制“两高”项目盲目发展。新改扩建项目严格落实国家产业规划、产业政策、产能置换、重点污染物总量控制、污染物排放区域削减、碳排放达峰目标等相关要求，采用清洁运输方式运输。严格火电、焦化行业监管，对火电、焦化、建材、水泥、化工、陶瓷等项目，实施清单管理、动态监控，严格落实省地方污染物排放标准和绩效分级差异管控，实施错峰生产和重污染天气应急管理措施；新建“两高”项目按照重污染天气 A级绩效指标建设。</w:t>
                  </w:r>
                </w:p>
              </w:tc>
              <w:tc>
                <w:tcPr>
                  <w:tcW w:w="1733" w:type="pct"/>
                  <w:noWrap w:val="0"/>
                  <w:vAlign w:val="center"/>
                </w:tcPr>
                <w:p w14:paraId="107BEBFF">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本项目</w:t>
                  </w:r>
                  <w:r>
                    <w:rPr>
                      <w:rFonts w:hint="eastAsia" w:ascii="Times New Roman" w:hAnsi="Times New Roman" w:eastAsia="宋体" w:cs="Times New Roman"/>
                      <w:color w:val="000000" w:themeColor="text1"/>
                      <w:sz w:val="21"/>
                      <w:szCs w:val="21"/>
                      <w:vertAlign w:val="baseline"/>
                      <w:lang w:val="en-US" w:eastAsia="zh-CN"/>
                    </w:rPr>
                    <w:t>为</w:t>
                  </w:r>
                  <w:r>
                    <w:rPr>
                      <w:rFonts w:hint="default" w:ascii="Times New Roman" w:hAnsi="Times New Roman" w:eastAsia="宋体" w:cs="Times New Roman"/>
                      <w:color w:val="000000" w:themeColor="text1"/>
                      <w:sz w:val="21"/>
                      <w:szCs w:val="21"/>
                      <w:vertAlign w:val="baseline"/>
                      <w:lang w:val="en-US" w:eastAsia="zh-CN"/>
                    </w:rPr>
                    <w:t>C3821变压器、整流器和电感器制造，不属于高耗能、高排放项目；对照《产业结构调整目录（2024 年本）》，本项目不属于其中淘汰和限制类项目</w:t>
                  </w:r>
                </w:p>
              </w:tc>
              <w:tc>
                <w:tcPr>
                  <w:tcW w:w="410" w:type="pct"/>
                  <w:noWrap w:val="0"/>
                  <w:vAlign w:val="center"/>
                </w:tcPr>
                <w:p w14:paraId="7FD91A12">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符合</w:t>
                  </w:r>
                </w:p>
              </w:tc>
            </w:tr>
            <w:tr w14:paraId="69C1AD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noWrap w:val="0"/>
                  <w:vAlign w:val="center"/>
                </w:tcPr>
                <w:p w14:paraId="09ED0C4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2</w:t>
                  </w:r>
                </w:p>
              </w:tc>
              <w:tc>
                <w:tcPr>
                  <w:tcW w:w="2482" w:type="pct"/>
                  <w:noWrap w:val="0"/>
                  <w:vAlign w:val="center"/>
                </w:tcPr>
                <w:p w14:paraId="2A7A0B33">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加快传统产业改造提升。加快退出重点行业落后产能，对照《产业结构调整指导目录(2024年本)》，逐步退出限制类涉气行业工艺和装备。全面推进众城水泥、临涣焦化等重点行业企业及燃煤锅炉超低排放改造，加大氨排放管控。加快推进建成区重污染企业搬迁改造，持续加强砖瓦、陶瓷、石灰、高岭土、玻璃等涉工业炉窑行业环境治理，扎实推进砖瓦企业转型发展三年提升行动。</w:t>
                  </w:r>
                </w:p>
              </w:tc>
              <w:tc>
                <w:tcPr>
                  <w:tcW w:w="1733" w:type="pct"/>
                  <w:noWrap w:val="0"/>
                  <w:vAlign w:val="center"/>
                </w:tcPr>
                <w:p w14:paraId="4954A8F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对照《产业结构调整目录（2024 年本）》，本项目不属于其中淘汰和限制类；本项目不使用污染物和温室气体排放明细高出行业平均水平、能效和清洁生产水平低的工艺和装备；本项目不属于限制类行业，且不属于涉气行业；本项目不涉及烧结机和球团竖炉，不属于钢铁、</w:t>
                  </w:r>
                </w:p>
                <w:p w14:paraId="73AB8BA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焦化、电解炉产业</w:t>
                  </w:r>
                </w:p>
              </w:tc>
              <w:tc>
                <w:tcPr>
                  <w:tcW w:w="410" w:type="pct"/>
                  <w:noWrap w:val="0"/>
                  <w:vAlign w:val="center"/>
                </w:tcPr>
                <w:p w14:paraId="267CC2D4">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符合</w:t>
                  </w:r>
                </w:p>
              </w:tc>
            </w:tr>
            <w:tr w14:paraId="0F913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noWrap w:val="0"/>
                  <w:vAlign w:val="center"/>
                </w:tcPr>
                <w:p w14:paraId="52A25DD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3</w:t>
                  </w:r>
                </w:p>
              </w:tc>
              <w:tc>
                <w:tcPr>
                  <w:tcW w:w="2482" w:type="pct"/>
                  <w:noWrap w:val="0"/>
                  <w:vAlign w:val="center"/>
                </w:tcPr>
                <w:p w14:paraId="6C15348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强化“散乱污”企业综合整治。全面排查塑料加工、人造板、木材加工、家具制造、合成革、包装印刷、石材(石料)加工、煤和矸石破碎加工(含煤球等)、粮食饲料加工、不规范搅拌站、汽车维修(抛光、打)、黑色和有色金属熔炼加工、陶瓷烧制、砖瓦窑、散状物料堆场等涉气“散乱污” 企业，实施清单管理，建立动态管理台账，明确时限、责任、措施，依法依规限期退出，推动相关产业转型升级。</w:t>
                  </w:r>
                </w:p>
              </w:tc>
              <w:tc>
                <w:tcPr>
                  <w:tcW w:w="1733" w:type="pct"/>
                  <w:noWrap w:val="0"/>
                  <w:vAlign w:val="center"/>
                </w:tcPr>
                <w:p w14:paraId="11301F9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项目不属于“散乱污”企业，实施清单管理，建立动态管理台账</w:t>
                  </w:r>
                </w:p>
              </w:tc>
              <w:tc>
                <w:tcPr>
                  <w:tcW w:w="410" w:type="pct"/>
                  <w:noWrap w:val="0"/>
                  <w:vAlign w:val="center"/>
                </w:tcPr>
                <w:p w14:paraId="3DE8D454">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符合</w:t>
                  </w:r>
                </w:p>
              </w:tc>
            </w:tr>
            <w:tr w14:paraId="2A9B3C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noWrap w:val="0"/>
                  <w:vAlign w:val="center"/>
                </w:tcPr>
                <w:p w14:paraId="795172AA">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b/>
                      <w:bCs/>
                      <w:color w:val="000000" w:themeColor="text1"/>
                      <w:sz w:val="21"/>
                      <w:szCs w:val="21"/>
                      <w:vertAlign w:val="baseline"/>
                      <w:lang w:val="en-US" w:eastAsia="zh-CN"/>
                    </w:rPr>
                    <w:t>(三)开展交通运输优化提升行动</w:t>
                  </w:r>
                </w:p>
              </w:tc>
            </w:tr>
            <w:tr w14:paraId="0B2B92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noWrap w:val="0"/>
                  <w:vAlign w:val="center"/>
                </w:tcPr>
                <w:p w14:paraId="5498D54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1</w:t>
                  </w:r>
                </w:p>
              </w:tc>
              <w:tc>
                <w:tcPr>
                  <w:tcW w:w="2482" w:type="pct"/>
                  <w:noWrap w:val="0"/>
                  <w:vAlign w:val="center"/>
                </w:tcPr>
                <w:p w14:paraId="212EB581">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深入推进柴油货车专项整治。落实淮北市国三及以下排放标准营运柴油货车淘汰和奖补方案，以国三及以下排放标准的营运柴油货车为重点，通过以奖代补等方式，加快推进提前淘汰高污染老旧机动车。到 2025 年全面限行国三柴油货车，基本淘汰国三柴油货车、采用稀薄燃烧技术和“油改气”的老旧燃气车辆。开展国四、国五柴油车辆尾气深度治理。</w:t>
                  </w:r>
                </w:p>
              </w:tc>
              <w:tc>
                <w:tcPr>
                  <w:tcW w:w="1733" w:type="pct"/>
                  <w:noWrap w:val="0"/>
                  <w:vAlign w:val="center"/>
                </w:tcPr>
                <w:p w14:paraId="68A5D794">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本项目运输不使用国</w:t>
                  </w:r>
                  <w:r>
                    <w:rPr>
                      <w:rFonts w:hint="eastAsia" w:ascii="Times New Roman" w:hAnsi="Times New Roman" w:eastAsia="宋体" w:cs="Times New Roman"/>
                      <w:color w:val="000000" w:themeColor="text1"/>
                      <w:sz w:val="21"/>
                      <w:szCs w:val="21"/>
                      <w:vertAlign w:val="baseline"/>
                      <w:lang w:val="en-US" w:eastAsia="zh-CN"/>
                    </w:rPr>
                    <w:t>三及</w:t>
                  </w:r>
                  <w:r>
                    <w:rPr>
                      <w:rFonts w:hint="default" w:ascii="Times New Roman" w:hAnsi="Times New Roman" w:eastAsia="宋体" w:cs="Times New Roman"/>
                      <w:color w:val="000000" w:themeColor="text1"/>
                      <w:sz w:val="21"/>
                      <w:szCs w:val="21"/>
                      <w:vertAlign w:val="baseline"/>
                      <w:lang w:val="en-US" w:eastAsia="zh-CN"/>
                    </w:rPr>
                    <w:t>以下车辆运输，环评要求使用符合污染控制要求的国</w:t>
                  </w:r>
                  <w:r>
                    <w:rPr>
                      <w:rFonts w:hint="eastAsia" w:ascii="Times New Roman" w:hAnsi="Times New Roman" w:eastAsia="宋体" w:cs="Times New Roman"/>
                      <w:color w:val="000000" w:themeColor="text1"/>
                      <w:sz w:val="21"/>
                      <w:szCs w:val="21"/>
                      <w:vertAlign w:val="baseline"/>
                      <w:lang w:val="en-US" w:eastAsia="zh-CN"/>
                    </w:rPr>
                    <w:t>三以上</w:t>
                  </w:r>
                  <w:r>
                    <w:rPr>
                      <w:rFonts w:hint="default" w:ascii="Times New Roman" w:hAnsi="Times New Roman" w:eastAsia="宋体" w:cs="Times New Roman"/>
                      <w:color w:val="000000" w:themeColor="text1"/>
                      <w:sz w:val="21"/>
                      <w:szCs w:val="21"/>
                      <w:vertAlign w:val="baseline"/>
                      <w:lang w:val="en-US" w:eastAsia="zh-CN"/>
                    </w:rPr>
                    <w:t>营运柴油货车。且厂区内使用车辆均符合《非道路移动机械管控要求》</w:t>
                  </w:r>
                </w:p>
              </w:tc>
              <w:tc>
                <w:tcPr>
                  <w:tcW w:w="410" w:type="pct"/>
                  <w:noWrap w:val="0"/>
                  <w:vAlign w:val="center"/>
                </w:tcPr>
                <w:p w14:paraId="2A59184E">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符合</w:t>
                  </w:r>
                </w:p>
              </w:tc>
            </w:tr>
            <w:tr w14:paraId="6EE34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noWrap w:val="0"/>
                  <w:vAlign w:val="center"/>
                </w:tcPr>
                <w:p w14:paraId="73263DFF">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000000" w:themeColor="text1"/>
                      <w:sz w:val="21"/>
                      <w:szCs w:val="21"/>
                      <w:vertAlign w:val="baseline"/>
                      <w:lang w:val="en-US" w:eastAsia="zh-CN"/>
                    </w:rPr>
                  </w:pPr>
                  <w:r>
                    <w:rPr>
                      <w:rFonts w:hint="eastAsia"/>
                      <w:b/>
                      <w:bCs/>
                      <w:color w:val="000000" w:themeColor="text1"/>
                    </w:rPr>
                    <w:t>(四)开展面源污染减排提升行动。</w:t>
                  </w:r>
                </w:p>
              </w:tc>
            </w:tr>
            <w:tr w14:paraId="4BA6BB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noWrap w:val="0"/>
                  <w:vAlign w:val="center"/>
                </w:tcPr>
                <w:p w14:paraId="43442063">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1</w:t>
                  </w:r>
                </w:p>
              </w:tc>
              <w:tc>
                <w:tcPr>
                  <w:tcW w:w="2482" w:type="pct"/>
                  <w:noWrap w:val="0"/>
                  <w:vAlign w:val="center"/>
                </w:tcPr>
                <w:p w14:paraId="0443BAC2">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强化移动源污染综合治理。全面实施机动车排放检验与维护制度，定期进行排放情况抽测。加快推进企业单位内部作业车辆和机械新能源化更新改造，推广使用新能源非道路移动机械。加快完成非道路移动机械编码登记，加强高排放非道路移动机械禁止使用区域管控，严格查处使用不达标机械和使用不合格燃油的违法行为，加</w:t>
                  </w:r>
                </w:p>
                <w:p w14:paraId="5C1B2EC1">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大路检路查力度，消除“冒黑烟”现象。2025 年底前基本淘汰国一及以下排放标准的工程机械。深化非法加油站点整治，加大自备加油站点监管，持续清理整顿无证无照或证照不全的自建油罐、流动加油车(船)和黑加油站点，严厉打击不合格油品。开展油气回收专项排查整治。加强排放检验机构监管，规范机动车检验机构排放检测行为。</w:t>
                  </w:r>
                </w:p>
              </w:tc>
              <w:tc>
                <w:tcPr>
                  <w:tcW w:w="1733" w:type="pct"/>
                  <w:noWrap w:val="0"/>
                  <w:vAlign w:val="center"/>
                </w:tcPr>
                <w:p w14:paraId="62F644A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本项目严格按照要求成非道路移动机械编码登记，不使用不合格燃油，定期对场内非道路移动机械检验和维护。</w:t>
                  </w:r>
                </w:p>
              </w:tc>
              <w:tc>
                <w:tcPr>
                  <w:tcW w:w="410" w:type="pct"/>
                  <w:noWrap w:val="0"/>
                  <w:vAlign w:val="center"/>
                </w:tcPr>
                <w:p w14:paraId="662BFA3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符合</w:t>
                  </w:r>
                </w:p>
              </w:tc>
            </w:tr>
            <w:tr w14:paraId="784343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noWrap w:val="0"/>
                  <w:vAlign w:val="center"/>
                </w:tcPr>
                <w:p w14:paraId="26B99C27">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b/>
                      <w:bCs/>
                      <w:color w:val="000000" w:themeColor="text1"/>
                      <w:sz w:val="21"/>
                      <w:szCs w:val="21"/>
                      <w:vertAlign w:val="baseline"/>
                      <w:lang w:val="en-US" w:eastAsia="zh-CN"/>
                    </w:rPr>
                    <w:t>(五)开展减污协同增效提升行动。</w:t>
                  </w:r>
                </w:p>
              </w:tc>
            </w:tr>
            <w:tr w14:paraId="78D13F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noWrap w:val="0"/>
                  <w:vAlign w:val="center"/>
                </w:tcPr>
                <w:p w14:paraId="6F17D50E">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1</w:t>
                  </w:r>
                </w:p>
              </w:tc>
              <w:tc>
                <w:tcPr>
                  <w:tcW w:w="2482" w:type="pct"/>
                  <w:noWrap w:val="0"/>
                  <w:vAlign w:val="center"/>
                </w:tcPr>
                <w:p w14:paraId="775C4511">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强化挥发性有机物深度治理。推动落实重点行业企业“一企一案”，坚持“源头替代、综合治理、总量削减”原则大力推动家具制造、板材加工、化工等涉挥发性有机物工业源重点行业全过程治理。实施低挥发性有机物含量原辅材料和产品源头替代工程，强化包装印刷、工业涂装、油品储运销等行业挥发性有机物收集效率，淘汰低效治理设施。持续开展挥发性有机物无组织排放问题排查整治。</w:t>
                  </w:r>
                </w:p>
              </w:tc>
              <w:tc>
                <w:tcPr>
                  <w:tcW w:w="1733" w:type="pct"/>
                  <w:noWrap w:val="0"/>
                  <w:vAlign w:val="center"/>
                </w:tcPr>
                <w:p w14:paraId="2650E14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本项目涉及到VOCs的物料为环氧树脂A、B 料、变压器油，均储存在密闭的容器内。浇筑固化工序设置在密闭隔间内，</w:t>
                  </w:r>
                  <w:r>
                    <w:rPr>
                      <w:rFonts w:hint="default" w:ascii="Times New Roman" w:hAnsi="Times New Roman" w:eastAsia="宋体" w:cs="Times New Roman"/>
                      <w:color w:val="000000" w:themeColor="text1"/>
                      <w:sz w:val="21"/>
                      <w:szCs w:val="21"/>
                      <w:vertAlign w:val="baseline"/>
                      <w:lang w:val="en-US" w:eastAsia="zh-CN"/>
                    </w:rPr>
                    <w:t>废气</w:t>
                  </w:r>
                  <w:r>
                    <w:rPr>
                      <w:rFonts w:hint="eastAsia" w:ascii="Times New Roman" w:hAnsi="Times New Roman" w:eastAsia="宋体" w:cs="Times New Roman"/>
                      <w:color w:val="000000" w:themeColor="text1"/>
                      <w:sz w:val="21"/>
                      <w:szCs w:val="21"/>
                      <w:vertAlign w:val="baseline"/>
                      <w:lang w:val="en-US" w:eastAsia="zh-CN"/>
                    </w:rPr>
                    <w:t>经负压收集后，经干式过滤棉</w:t>
                  </w:r>
                  <w:r>
                    <w:rPr>
                      <w:rFonts w:hint="default" w:ascii="Times New Roman" w:hAnsi="Times New Roman" w:eastAsia="宋体" w:cs="Times New Roman"/>
                      <w:color w:val="000000" w:themeColor="text1"/>
                      <w:sz w:val="21"/>
                      <w:szCs w:val="21"/>
                      <w:vertAlign w:val="baseline"/>
                      <w:lang w:val="en-US" w:eastAsia="zh-CN"/>
                    </w:rPr>
                    <w:t>+二级活性炭吸附装置（处理效率 90%）”处理后，经 DA001（15m）排气筒排</w:t>
                  </w:r>
                </w:p>
              </w:tc>
              <w:tc>
                <w:tcPr>
                  <w:tcW w:w="410" w:type="pct"/>
                  <w:noWrap w:val="0"/>
                  <w:vAlign w:val="center"/>
                </w:tcPr>
                <w:p w14:paraId="1C61B00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符合</w:t>
                  </w:r>
                </w:p>
              </w:tc>
            </w:tr>
          </w:tbl>
          <w:p w14:paraId="3FEAAD46">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sz w:val="24"/>
                <w:lang w:val="en-US" w:eastAsia="zh-CN"/>
              </w:rPr>
            </w:pPr>
            <w:r>
              <w:rPr>
                <w:rFonts w:hint="default" w:ascii="Times New Roman" w:hAnsi="Times New Roman" w:eastAsia="宋体" w:cs="Times New Roman"/>
                <w:color w:val="000000" w:themeColor="text1"/>
                <w:kern w:val="2"/>
                <w:sz w:val="24"/>
                <w:szCs w:val="21"/>
                <w:lang w:val="en-US" w:eastAsia="zh-CN" w:bidi="ar-SA"/>
              </w:rPr>
              <w:t>（</w:t>
            </w:r>
            <w:r>
              <w:rPr>
                <w:rFonts w:hint="eastAsia" w:cs="Times New Roman"/>
                <w:color w:val="000000" w:themeColor="text1"/>
                <w:kern w:val="2"/>
                <w:sz w:val="24"/>
                <w:szCs w:val="21"/>
                <w:lang w:val="en-US" w:eastAsia="zh-CN" w:bidi="ar-SA"/>
              </w:rPr>
              <w:t>5</w:t>
            </w:r>
            <w:r>
              <w:rPr>
                <w:rFonts w:hint="default" w:ascii="Times New Roman" w:hAnsi="Times New Roman" w:eastAsia="宋体" w:cs="Times New Roman"/>
                <w:color w:val="000000" w:themeColor="text1"/>
                <w:kern w:val="2"/>
                <w:sz w:val="24"/>
                <w:szCs w:val="21"/>
                <w:lang w:val="en-US" w:eastAsia="zh-CN" w:bidi="ar-SA"/>
              </w:rPr>
              <w:t>）</w:t>
            </w:r>
            <w:r>
              <w:rPr>
                <w:rFonts w:hint="default" w:ascii="Times New Roman" w:hAnsi="Times New Roman" w:eastAsia="宋体" w:cs="Times New Roman"/>
                <w:color w:val="000000" w:themeColor="text1"/>
                <w:sz w:val="24"/>
                <w:lang w:val="en-US" w:eastAsia="zh-CN"/>
              </w:rPr>
              <w:t>与《淮北市关于开展VOCs污染治理专项行动的实施方案》（淮大气办〔2021〕16号，2021年6月1日）相符性分析</w:t>
            </w:r>
          </w:p>
          <w:p w14:paraId="3BF98A8A">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themeColor="text1"/>
                <w:sz w:val="24"/>
                <w:lang w:val="en-US" w:eastAsia="zh-CN"/>
              </w:rPr>
            </w:pPr>
            <w:r>
              <w:rPr>
                <w:rFonts w:hint="eastAsia" w:ascii="Times New Roman" w:hAnsi="Times New Roman" w:eastAsia="宋体" w:cs="Times New Roman"/>
                <w:b/>
                <w:bCs/>
                <w:color w:val="000000" w:themeColor="text1"/>
                <w:sz w:val="24"/>
                <w:lang w:val="en-US" w:eastAsia="zh-CN"/>
              </w:rPr>
              <w:t>表1-10  与淮大气办〔2021〕16 号相符性分析</w:t>
            </w:r>
          </w:p>
          <w:tbl>
            <w:tblPr>
              <w:tblStyle w:val="3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6"/>
              <w:gridCol w:w="3634"/>
              <w:gridCol w:w="2537"/>
              <w:gridCol w:w="600"/>
            </w:tblGrid>
            <w:tr w14:paraId="6F1013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noWrap w:val="0"/>
                  <w:vAlign w:val="center"/>
                </w:tcPr>
                <w:p w14:paraId="50797033">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themeColor="text1"/>
                      <w:sz w:val="21"/>
                      <w:szCs w:val="21"/>
                      <w:vertAlign w:val="baseline"/>
                      <w:lang w:val="en-US" w:eastAsia="zh-CN"/>
                    </w:rPr>
                  </w:pPr>
                  <w:r>
                    <w:rPr>
                      <w:rFonts w:hint="eastAsia" w:ascii="Times New Roman" w:hAnsi="Times New Roman" w:eastAsia="宋体" w:cs="Times New Roman"/>
                      <w:b/>
                      <w:bCs/>
                      <w:color w:val="000000" w:themeColor="text1"/>
                      <w:sz w:val="21"/>
                      <w:szCs w:val="21"/>
                      <w:vertAlign w:val="baseline"/>
                      <w:lang w:val="en-US" w:eastAsia="zh-CN"/>
                    </w:rPr>
                    <w:t>序号</w:t>
                  </w:r>
                </w:p>
              </w:tc>
              <w:tc>
                <w:tcPr>
                  <w:tcW w:w="2482" w:type="pct"/>
                  <w:noWrap w:val="0"/>
                  <w:vAlign w:val="center"/>
                </w:tcPr>
                <w:p w14:paraId="6FF96523">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themeColor="text1"/>
                      <w:sz w:val="21"/>
                      <w:szCs w:val="21"/>
                      <w:vertAlign w:val="baseline"/>
                      <w:lang w:val="en-US" w:eastAsia="zh-CN"/>
                    </w:rPr>
                  </w:pPr>
                  <w:r>
                    <w:rPr>
                      <w:rFonts w:hint="eastAsia" w:ascii="Times New Roman" w:hAnsi="Times New Roman" w:eastAsia="宋体" w:cs="Times New Roman"/>
                      <w:b/>
                      <w:bCs/>
                      <w:color w:val="000000" w:themeColor="text1"/>
                      <w:sz w:val="21"/>
                      <w:szCs w:val="21"/>
                      <w:vertAlign w:val="baseline"/>
                      <w:lang w:val="en-US" w:eastAsia="zh-CN"/>
                    </w:rPr>
                    <w:t>内容</w:t>
                  </w:r>
                </w:p>
              </w:tc>
              <w:tc>
                <w:tcPr>
                  <w:tcW w:w="1733" w:type="pct"/>
                  <w:noWrap w:val="0"/>
                  <w:vAlign w:val="center"/>
                </w:tcPr>
                <w:p w14:paraId="1B901253">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themeColor="text1"/>
                      <w:sz w:val="21"/>
                      <w:szCs w:val="21"/>
                      <w:vertAlign w:val="baseline"/>
                      <w:lang w:val="en-US" w:eastAsia="zh-CN"/>
                    </w:rPr>
                  </w:pPr>
                  <w:r>
                    <w:rPr>
                      <w:rFonts w:hint="eastAsia" w:ascii="Times New Roman" w:hAnsi="Times New Roman" w:eastAsia="宋体" w:cs="Times New Roman"/>
                      <w:b/>
                      <w:bCs/>
                      <w:color w:val="000000" w:themeColor="text1"/>
                      <w:sz w:val="21"/>
                      <w:szCs w:val="21"/>
                      <w:vertAlign w:val="baseline"/>
                      <w:lang w:val="en-US" w:eastAsia="zh-CN"/>
                    </w:rPr>
                    <w:t>本项目情况</w:t>
                  </w:r>
                </w:p>
              </w:tc>
              <w:tc>
                <w:tcPr>
                  <w:tcW w:w="410" w:type="pct"/>
                  <w:noWrap w:val="0"/>
                  <w:vAlign w:val="center"/>
                </w:tcPr>
                <w:p w14:paraId="6C7ACA27">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themeColor="text1"/>
                      <w:sz w:val="21"/>
                      <w:szCs w:val="21"/>
                      <w:vertAlign w:val="baseline"/>
                      <w:lang w:val="en-US" w:eastAsia="zh-CN"/>
                    </w:rPr>
                  </w:pPr>
                  <w:r>
                    <w:rPr>
                      <w:rFonts w:hint="eastAsia" w:ascii="Times New Roman" w:hAnsi="Times New Roman" w:eastAsia="宋体" w:cs="Times New Roman"/>
                      <w:b/>
                      <w:bCs/>
                      <w:color w:val="000000" w:themeColor="text1"/>
                      <w:sz w:val="21"/>
                      <w:szCs w:val="21"/>
                      <w:vertAlign w:val="baseline"/>
                      <w:lang w:val="en-US" w:eastAsia="zh-CN"/>
                    </w:rPr>
                    <w:t>符合性</w:t>
                  </w:r>
                </w:p>
              </w:tc>
            </w:tr>
            <w:tr w14:paraId="11F720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noWrap w:val="0"/>
                  <w:vAlign w:val="center"/>
                </w:tcPr>
                <w:p w14:paraId="6CF9499D">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1</w:t>
                  </w:r>
                </w:p>
              </w:tc>
              <w:tc>
                <w:tcPr>
                  <w:tcW w:w="2482" w:type="pct"/>
                  <w:noWrap w:val="0"/>
                  <w:vAlign w:val="center"/>
                </w:tcPr>
                <w:p w14:paraId="295FA04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源头控制：使用低挥发性原辅料</w:t>
                  </w:r>
                </w:p>
              </w:tc>
              <w:tc>
                <w:tcPr>
                  <w:tcW w:w="1733" w:type="pct"/>
                  <w:noWrap w:val="0"/>
                  <w:vAlign w:val="center"/>
                </w:tcPr>
                <w:p w14:paraId="3A53D228">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本项目含VOCs的物料采取</w:t>
                  </w:r>
                  <w:r>
                    <w:rPr>
                      <w:rFonts w:hint="eastAsia" w:ascii="Times New Roman" w:hAnsi="Times New Roman" w:eastAsia="宋体" w:cs="Times New Roman"/>
                      <w:color w:val="000000" w:themeColor="text1"/>
                      <w:sz w:val="21"/>
                      <w:szCs w:val="21"/>
                      <w:vertAlign w:val="baseline"/>
                      <w:lang w:val="en-US" w:eastAsia="zh-CN"/>
                    </w:rPr>
                    <w:t>密闭设备贮存</w:t>
                  </w:r>
                  <w:r>
                    <w:rPr>
                      <w:rFonts w:hint="default" w:ascii="Times New Roman" w:hAnsi="Times New Roman" w:eastAsia="宋体" w:cs="Times New Roman"/>
                      <w:color w:val="000000" w:themeColor="text1"/>
                      <w:sz w:val="21"/>
                      <w:szCs w:val="21"/>
                      <w:vertAlign w:val="baseline"/>
                      <w:lang w:val="en-US" w:eastAsia="zh-CN"/>
                    </w:rPr>
                    <w:t>，从源头上减少了VOCs产生</w:t>
                  </w:r>
                </w:p>
              </w:tc>
              <w:tc>
                <w:tcPr>
                  <w:tcW w:w="410" w:type="pct"/>
                  <w:noWrap w:val="0"/>
                  <w:vAlign w:val="center"/>
                </w:tcPr>
                <w:p w14:paraId="0ABCEF02">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符合</w:t>
                  </w:r>
                </w:p>
              </w:tc>
            </w:tr>
            <w:tr w14:paraId="5C01CC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 w:type="pct"/>
                  <w:noWrap w:val="0"/>
                  <w:vAlign w:val="center"/>
                </w:tcPr>
                <w:p w14:paraId="7C1FF5F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2</w:t>
                  </w:r>
                </w:p>
              </w:tc>
              <w:tc>
                <w:tcPr>
                  <w:tcW w:w="2482" w:type="pct"/>
                  <w:noWrap w:val="0"/>
                  <w:vAlign w:val="center"/>
                </w:tcPr>
                <w:p w14:paraId="45B7A01D">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过程控制：</w:t>
                  </w:r>
                </w:p>
                <w:p w14:paraId="6B583F2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（1）粉状、粒状 VOCs 物料采用气力输送方式或采用密闭固体投料器等给料方式密闭投加；无法密闭投加的，在密闭空间内操作，或进行局部气体收集，废气排至除尘设施、VOCs 废气收集处理系统。</w:t>
                  </w:r>
                </w:p>
                <w:p w14:paraId="23CAD36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（2）在塑炼、塑化、熔化、加工成型等作业中采用密闭设备或在密闭空间内操作，废气排至 VOCs 废气收集处理系统；无法密闭的，采取局部气体收集措施，废气排至 VOCs 废气收集处理系统。</w:t>
                  </w:r>
                </w:p>
                <w:p w14:paraId="74831657">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（3）使用 VOCs 质量占比大于等于 10%</w:t>
                  </w:r>
                </w:p>
                <w:p w14:paraId="44F03578">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的含 VOCs 产品，其使用过程采用密闭设备或在密闭空间内操作，废气排至 VOCs废气收集处理系统；无法密闭的，采取局部气体收集措施，废气排至 VOCs 废气收集处理系</w:t>
                  </w:r>
                </w:p>
              </w:tc>
              <w:tc>
                <w:tcPr>
                  <w:tcW w:w="1733" w:type="pct"/>
                  <w:noWrap w:val="0"/>
                  <w:vAlign w:val="center"/>
                </w:tcPr>
                <w:p w14:paraId="3192412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 w:val="21"/>
                      <w:szCs w:val="21"/>
                      <w:vertAlign w:val="baseline"/>
                      <w:lang w:val="en-US" w:eastAsia="zh-CN"/>
                    </w:rPr>
                    <w:t>本项目加强VOCs废气收集处理，</w:t>
                  </w:r>
                  <w:r>
                    <w:rPr>
                      <w:rFonts w:hint="eastAsia" w:ascii="Times New Roman" w:hAnsi="Times New Roman" w:eastAsia="宋体" w:cs="Times New Roman"/>
                      <w:color w:val="000000" w:themeColor="text1"/>
                      <w:sz w:val="21"/>
                      <w:szCs w:val="21"/>
                      <w:vertAlign w:val="baseline"/>
                      <w:lang w:val="en-US" w:eastAsia="zh-CN"/>
                    </w:rPr>
                    <w:t>浇筑固化工序设置在密闭隔间内，</w:t>
                  </w:r>
                  <w:r>
                    <w:rPr>
                      <w:rFonts w:hint="eastAsia" w:cs="Times New Roman"/>
                      <w:color w:val="000000" w:themeColor="text1"/>
                      <w:sz w:val="21"/>
                      <w:szCs w:val="21"/>
                      <w:vertAlign w:val="baseline"/>
                      <w:lang w:val="en-US" w:eastAsia="zh-CN"/>
                    </w:rPr>
                    <w:t>浇筑投料口设置集气罩，</w:t>
                  </w:r>
                  <w:r>
                    <w:rPr>
                      <w:rFonts w:hint="default" w:ascii="Times New Roman" w:hAnsi="Times New Roman" w:eastAsia="宋体" w:cs="Times New Roman"/>
                      <w:color w:val="000000" w:themeColor="text1"/>
                      <w:sz w:val="21"/>
                      <w:szCs w:val="21"/>
                      <w:vertAlign w:val="baseline"/>
                      <w:lang w:val="en-US" w:eastAsia="zh-CN"/>
                    </w:rPr>
                    <w:t>废气</w:t>
                  </w:r>
                  <w:r>
                    <w:rPr>
                      <w:rFonts w:hint="eastAsia" w:ascii="Times New Roman" w:hAnsi="Times New Roman" w:eastAsia="宋体" w:cs="Times New Roman"/>
                      <w:color w:val="000000" w:themeColor="text1"/>
                      <w:sz w:val="21"/>
                      <w:szCs w:val="21"/>
                      <w:vertAlign w:val="baseline"/>
                      <w:lang w:val="en-US" w:eastAsia="zh-CN"/>
                    </w:rPr>
                    <w:t>经负压收集后，经干式过滤棉</w:t>
                  </w:r>
                  <w:r>
                    <w:rPr>
                      <w:rFonts w:hint="default" w:ascii="Times New Roman" w:hAnsi="Times New Roman" w:eastAsia="宋体" w:cs="Times New Roman"/>
                      <w:color w:val="000000" w:themeColor="text1"/>
                      <w:sz w:val="21"/>
                      <w:szCs w:val="21"/>
                      <w:vertAlign w:val="baseline"/>
                      <w:lang w:val="en-US" w:eastAsia="zh-CN"/>
                    </w:rPr>
                    <w:t>+二级活性炭吸附装置（处理效率 90%）”处理后，经 DA001（15m）排气筒排</w:t>
                  </w:r>
                </w:p>
              </w:tc>
              <w:tc>
                <w:tcPr>
                  <w:tcW w:w="410" w:type="pct"/>
                  <w:noWrap w:val="0"/>
                  <w:vAlign w:val="center"/>
                </w:tcPr>
                <w:p w14:paraId="5CC60333">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符合</w:t>
                  </w:r>
                </w:p>
              </w:tc>
            </w:tr>
          </w:tbl>
          <w:p w14:paraId="2AA7464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color w:val="000000" w:themeColor="text1"/>
                <w:sz w:val="24"/>
                <w:lang w:val="en-US" w:eastAsia="zh-CN"/>
              </w:rPr>
            </w:pPr>
            <w:r>
              <w:rPr>
                <w:rFonts w:hint="eastAsia" w:ascii="Times New Roman" w:hAnsi="Times New Roman" w:eastAsia="宋体" w:cs="Times New Roman"/>
                <w:color w:val="000000" w:themeColor="text1"/>
                <w:kern w:val="2"/>
                <w:sz w:val="24"/>
                <w:szCs w:val="21"/>
                <w:lang w:val="en-US" w:eastAsia="zh-CN" w:bidi="ar-SA"/>
              </w:rPr>
              <w:t>（</w:t>
            </w:r>
            <w:r>
              <w:rPr>
                <w:rFonts w:hint="eastAsia" w:cs="Times New Roman"/>
                <w:color w:val="000000" w:themeColor="text1"/>
                <w:kern w:val="2"/>
                <w:sz w:val="24"/>
                <w:szCs w:val="21"/>
                <w:lang w:val="en-US" w:eastAsia="zh-CN" w:bidi="ar-SA"/>
              </w:rPr>
              <w:t>6</w:t>
            </w:r>
            <w:r>
              <w:rPr>
                <w:rFonts w:hint="eastAsia" w:ascii="Times New Roman" w:hAnsi="Times New Roman" w:eastAsia="宋体" w:cs="Times New Roman"/>
                <w:color w:val="000000" w:themeColor="text1"/>
                <w:kern w:val="2"/>
                <w:sz w:val="24"/>
                <w:szCs w:val="21"/>
                <w:lang w:val="en-US" w:eastAsia="zh-CN" w:bidi="ar-SA"/>
              </w:rPr>
              <w:t>）</w:t>
            </w:r>
            <w:r>
              <w:rPr>
                <w:rFonts w:hint="eastAsia" w:ascii="Times New Roman" w:hAnsi="Times New Roman" w:eastAsia="宋体" w:cs="Times New Roman"/>
                <w:color w:val="000000" w:themeColor="text1"/>
                <w:sz w:val="24"/>
                <w:lang w:val="en-US" w:eastAsia="zh-CN"/>
              </w:rPr>
              <w:t>与《安徽省低挥发性有机物含量原辅材料替代工作方案》（皖环发﹝2024〕1号）相符性分析</w:t>
            </w:r>
          </w:p>
          <w:p w14:paraId="7E5058FC">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themeColor="text1"/>
                <w:sz w:val="24"/>
                <w:lang w:val="en-US" w:eastAsia="zh-CN"/>
              </w:rPr>
            </w:pPr>
            <w:r>
              <w:rPr>
                <w:rFonts w:hint="eastAsia" w:ascii="Times New Roman" w:hAnsi="Times New Roman" w:eastAsia="宋体" w:cs="Times New Roman"/>
                <w:b/>
                <w:bCs/>
                <w:color w:val="000000" w:themeColor="text1"/>
                <w:sz w:val="24"/>
                <w:lang w:val="en-US" w:eastAsia="zh-CN"/>
              </w:rPr>
              <w:t>表1-11  与皖环发﹝2024〕1号文符合性分析</w:t>
            </w:r>
          </w:p>
          <w:tbl>
            <w:tblPr>
              <w:tblStyle w:val="35"/>
              <w:tblW w:w="801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9"/>
              <w:gridCol w:w="3979"/>
              <w:gridCol w:w="2779"/>
              <w:gridCol w:w="658"/>
            </w:tblGrid>
            <w:tr w14:paraId="67FD5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9" w:type="dxa"/>
                  <w:noWrap w:val="0"/>
                  <w:vAlign w:val="center"/>
                </w:tcPr>
                <w:p w14:paraId="47A2206A">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themeColor="text1"/>
                      <w:sz w:val="21"/>
                      <w:szCs w:val="21"/>
                      <w:vertAlign w:val="baseline"/>
                      <w:lang w:val="en-US" w:eastAsia="zh-CN"/>
                    </w:rPr>
                  </w:pPr>
                  <w:r>
                    <w:rPr>
                      <w:rFonts w:hint="eastAsia" w:ascii="Times New Roman" w:hAnsi="Times New Roman" w:eastAsia="宋体" w:cs="Times New Roman"/>
                      <w:b/>
                      <w:bCs/>
                      <w:color w:val="000000" w:themeColor="text1"/>
                      <w:sz w:val="21"/>
                      <w:szCs w:val="21"/>
                      <w:vertAlign w:val="baseline"/>
                      <w:lang w:val="en-US" w:eastAsia="zh-CN"/>
                    </w:rPr>
                    <w:t>序号</w:t>
                  </w:r>
                </w:p>
              </w:tc>
              <w:tc>
                <w:tcPr>
                  <w:tcW w:w="3979" w:type="dxa"/>
                  <w:noWrap w:val="0"/>
                  <w:vAlign w:val="center"/>
                </w:tcPr>
                <w:p w14:paraId="02C0DF2E">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themeColor="text1"/>
                      <w:sz w:val="21"/>
                      <w:szCs w:val="21"/>
                      <w:vertAlign w:val="baseline"/>
                      <w:lang w:val="en-US" w:eastAsia="zh-CN"/>
                    </w:rPr>
                  </w:pPr>
                  <w:r>
                    <w:rPr>
                      <w:rFonts w:hint="eastAsia" w:ascii="Times New Roman" w:hAnsi="Times New Roman" w:eastAsia="宋体" w:cs="Times New Roman"/>
                      <w:b/>
                      <w:bCs/>
                      <w:color w:val="000000" w:themeColor="text1"/>
                      <w:sz w:val="21"/>
                      <w:szCs w:val="21"/>
                      <w:vertAlign w:val="baseline"/>
                      <w:lang w:val="en-US" w:eastAsia="zh-CN"/>
                    </w:rPr>
                    <w:t>内容</w:t>
                  </w:r>
                </w:p>
              </w:tc>
              <w:tc>
                <w:tcPr>
                  <w:tcW w:w="2779" w:type="dxa"/>
                  <w:noWrap w:val="0"/>
                  <w:vAlign w:val="center"/>
                </w:tcPr>
                <w:p w14:paraId="09B900B7">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themeColor="text1"/>
                      <w:sz w:val="21"/>
                      <w:szCs w:val="21"/>
                      <w:vertAlign w:val="baseline"/>
                      <w:lang w:val="en-US" w:eastAsia="zh-CN"/>
                    </w:rPr>
                  </w:pPr>
                  <w:r>
                    <w:rPr>
                      <w:rFonts w:hint="eastAsia" w:ascii="Times New Roman" w:hAnsi="Times New Roman" w:eastAsia="宋体" w:cs="Times New Roman"/>
                      <w:b/>
                      <w:bCs/>
                      <w:color w:val="000000" w:themeColor="text1"/>
                      <w:sz w:val="21"/>
                      <w:szCs w:val="21"/>
                      <w:vertAlign w:val="baseline"/>
                      <w:lang w:val="en-US" w:eastAsia="zh-CN"/>
                    </w:rPr>
                    <w:t>本项目情况</w:t>
                  </w:r>
                </w:p>
              </w:tc>
              <w:tc>
                <w:tcPr>
                  <w:tcW w:w="658" w:type="dxa"/>
                  <w:noWrap w:val="0"/>
                  <w:vAlign w:val="center"/>
                </w:tcPr>
                <w:p w14:paraId="2155F6A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themeColor="text1"/>
                      <w:sz w:val="21"/>
                      <w:szCs w:val="21"/>
                      <w:vertAlign w:val="baseline"/>
                      <w:lang w:val="en-US" w:eastAsia="zh-CN"/>
                    </w:rPr>
                  </w:pPr>
                  <w:r>
                    <w:rPr>
                      <w:rFonts w:hint="eastAsia" w:ascii="Times New Roman" w:hAnsi="Times New Roman" w:eastAsia="宋体" w:cs="Times New Roman"/>
                      <w:b/>
                      <w:bCs/>
                      <w:color w:val="000000" w:themeColor="text1"/>
                      <w:sz w:val="21"/>
                      <w:szCs w:val="21"/>
                      <w:vertAlign w:val="baseline"/>
                      <w:lang w:val="en-US" w:eastAsia="zh-CN"/>
                    </w:rPr>
                    <w:t>符合性</w:t>
                  </w:r>
                </w:p>
              </w:tc>
            </w:tr>
            <w:tr w14:paraId="779BF7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9" w:type="dxa"/>
                  <w:noWrap w:val="0"/>
                  <w:vAlign w:val="center"/>
                </w:tcPr>
                <w:p w14:paraId="3CFA9E0A">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1</w:t>
                  </w:r>
                </w:p>
              </w:tc>
              <w:tc>
                <w:tcPr>
                  <w:tcW w:w="3979" w:type="dxa"/>
                  <w:noWrap w:val="0"/>
                  <w:vAlign w:val="center"/>
                </w:tcPr>
                <w:p w14:paraId="40AA5C57">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b w:val="0"/>
                      <w:bCs w:val="0"/>
                      <w:color w:val="000000" w:themeColor="text1"/>
                      <w:sz w:val="21"/>
                      <w:szCs w:val="21"/>
                      <w:highlight w:val="none"/>
                      <w:lang w:val="en-US" w:eastAsia="zh-CN"/>
                    </w:rPr>
                    <w:t>(一)加强替代管理。工业涂装、包装印刷、竹木加工、家具制造、汽车修理与维护、鞋和皮革制品制造等重点行业企业，要按照《低挥发性有机物含量原辅材料源头替代技术指引(试行)》(附件3)要求，开展低VOCs原辅材料和生产方式替代，优化管控台账及档案管理，持续提升环境管理水平。各地要根据《关于深入开展挥发性有机物污染治理工作的通知》(皖大气办[2021]4号)要求，在认真梳理2021至2023年度VOCs源头削减治理项目清单基础上，对涉VOCs重点行业和使用溶剂型涂料、油墨、胶粘剂、清洗剂以及涉及有机化工生产的产业集群进行再排查，将含VOCs原辅材料使用企业全面纳入源头替代企业排查台账(附件2)，对具备替代条件的，加强调度指导；对无法替代的，要开展论证核实，严格把关并逐一说明。</w:t>
                  </w:r>
                </w:p>
              </w:tc>
              <w:tc>
                <w:tcPr>
                  <w:tcW w:w="2779" w:type="dxa"/>
                  <w:vMerge w:val="restart"/>
                  <w:noWrap w:val="0"/>
                  <w:vAlign w:val="center"/>
                </w:tcPr>
                <w:p w14:paraId="623A0C48">
                  <w:pPr>
                    <w:jc w:val="center"/>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color w:val="000000" w:themeColor="text1"/>
                      <w:szCs w:val="21"/>
                      <w:highlight w:val="none"/>
                      <w:lang w:val="en-US" w:eastAsia="zh-CN" w:bidi="ar"/>
                    </w:rPr>
                    <w:t>拟建项目</w:t>
                  </w:r>
                  <w:r>
                    <w:rPr>
                      <w:rFonts w:hint="eastAsia" w:ascii="Times New Roman" w:hAnsi="Times New Roman" w:eastAsia="宋体" w:cs="Times New Roman"/>
                      <w:color w:val="000000" w:themeColor="text1"/>
                      <w:szCs w:val="21"/>
                      <w:highlight w:val="none"/>
                      <w:lang w:val="en-US" w:eastAsia="zh-CN" w:bidi="ar"/>
                    </w:rPr>
                    <w:t>在生产过程中使用的环氧树脂A、B料属于本体型胶黏剂，其VOCs含量</w:t>
                  </w:r>
                  <w:r>
                    <w:rPr>
                      <w:rFonts w:hint="eastAsia" w:eastAsia="宋体"/>
                      <w:color w:val="000000" w:themeColor="text1"/>
                      <w:sz w:val="21"/>
                      <w:szCs w:val="21"/>
                      <w:highlight w:val="none"/>
                      <w:lang w:val="en-US" w:eastAsia="zh-CN"/>
                    </w:rPr>
                    <w:t>低于《胶粘剂挥发性有机化合物限量》GB33372-2020）中含量要求（50g/kg）</w:t>
                  </w:r>
                </w:p>
              </w:tc>
              <w:tc>
                <w:tcPr>
                  <w:tcW w:w="658" w:type="dxa"/>
                  <w:noWrap w:val="0"/>
                  <w:vAlign w:val="center"/>
                </w:tcPr>
                <w:p w14:paraId="5FA807FE">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符合</w:t>
                  </w:r>
                </w:p>
              </w:tc>
            </w:tr>
            <w:tr w14:paraId="369592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9" w:type="dxa"/>
                  <w:noWrap w:val="0"/>
                  <w:vAlign w:val="center"/>
                </w:tcPr>
                <w:p w14:paraId="4F5384FA">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2</w:t>
                  </w:r>
                </w:p>
              </w:tc>
              <w:tc>
                <w:tcPr>
                  <w:tcW w:w="3979" w:type="dxa"/>
                  <w:noWrap w:val="0"/>
                  <w:vAlign w:val="center"/>
                </w:tcPr>
                <w:p w14:paraId="768F6AB3">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default" w:ascii="Times New Roman" w:hAnsi="Times New Roman" w:eastAsia="宋体" w:cs="Times New Roman"/>
                      <w:b w:val="0"/>
                      <w:bCs w:val="0"/>
                      <w:color w:val="000000" w:themeColor="text1"/>
                      <w:sz w:val="21"/>
                      <w:szCs w:val="21"/>
                      <w:highlight w:val="none"/>
                      <w:lang w:val="en-US" w:eastAsia="zh-CN"/>
                    </w:rPr>
                    <w:t>（三）强化示范带动。结合产业特点，实施工业涂装、包装印刷重点行业低VOCs含量原辅材料源头替代企业豁免末端治理设施试点，完善建立含VOCs物料生产端和使用端清洁原辅材料替代正面清单。各地要将全部生产水性、粉末、无溶剂、辐射固化涂料以及水性和能量固化油墨、水基和半水基清洗剂、水基型和本体型胶粘剂的生产企业，以及已经完全实施低VOCs含量清洁原料替代，排放浓度稳定达标且排放速率、排放绩效等满足相关规定的企业，纳入正面清单管理，在重污染天气应对、环境执法检查、政府绿色采购、绿色工厂及清洁生产评价、绿色产品认证、企业信贷融资等方面，给予政策倾斜。</w:t>
                  </w:r>
                </w:p>
              </w:tc>
              <w:tc>
                <w:tcPr>
                  <w:tcW w:w="2779" w:type="dxa"/>
                  <w:vMerge w:val="continue"/>
                  <w:noWrap w:val="0"/>
                  <w:vAlign w:val="center"/>
                </w:tcPr>
                <w:p w14:paraId="682F9DBA">
                  <w:pPr>
                    <w:jc w:val="center"/>
                    <w:rPr>
                      <w:rFonts w:hint="default" w:ascii="Times New Roman" w:hAnsi="Times New Roman" w:eastAsia="宋体" w:cs="Times New Roman"/>
                      <w:color w:val="000000" w:themeColor="text1"/>
                      <w:sz w:val="21"/>
                      <w:szCs w:val="21"/>
                      <w:vertAlign w:val="baseline"/>
                      <w:lang w:val="en-US" w:eastAsia="zh-CN"/>
                    </w:rPr>
                  </w:pPr>
                </w:p>
              </w:tc>
              <w:tc>
                <w:tcPr>
                  <w:tcW w:w="658" w:type="dxa"/>
                  <w:noWrap w:val="0"/>
                  <w:vAlign w:val="center"/>
                </w:tcPr>
                <w:p w14:paraId="02597DEA">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vertAlign w:val="baseline"/>
                      <w:lang w:val="en-US" w:eastAsia="zh-CN"/>
                    </w:rPr>
                  </w:pPr>
                  <w:r>
                    <w:rPr>
                      <w:rFonts w:hint="eastAsia" w:ascii="Times New Roman" w:hAnsi="Times New Roman" w:eastAsia="宋体" w:cs="Times New Roman"/>
                      <w:color w:val="000000" w:themeColor="text1"/>
                      <w:sz w:val="21"/>
                      <w:szCs w:val="21"/>
                      <w:vertAlign w:val="baseline"/>
                      <w:lang w:val="en-US" w:eastAsia="zh-CN"/>
                    </w:rPr>
                    <w:t>符合</w:t>
                  </w:r>
                </w:p>
              </w:tc>
            </w:tr>
          </w:tbl>
          <w:p w14:paraId="101CBFAE">
            <w:pPr>
              <w:pStyle w:val="46"/>
              <w:rPr>
                <w:rFonts w:hint="default" w:ascii="Times New Roman" w:hAnsi="Times New Roman" w:cs="Times New Roman"/>
                <w:color w:val="000000" w:themeColor="text1"/>
              </w:rPr>
            </w:pPr>
          </w:p>
          <w:p w14:paraId="6A9E7DC0">
            <w:pPr>
              <w:pStyle w:val="46"/>
              <w:rPr>
                <w:rFonts w:hint="default" w:ascii="Times New Roman" w:hAnsi="Times New Roman" w:cs="Times New Roman"/>
                <w:color w:val="000000" w:themeColor="text1"/>
              </w:rPr>
            </w:pPr>
          </w:p>
          <w:p w14:paraId="43C7026D">
            <w:pPr>
              <w:pStyle w:val="46"/>
              <w:rPr>
                <w:rFonts w:hint="default" w:ascii="Times New Roman" w:hAnsi="Times New Roman" w:cs="Times New Roman"/>
                <w:color w:val="000000" w:themeColor="text1"/>
              </w:rPr>
            </w:pPr>
          </w:p>
          <w:p w14:paraId="4E8AF1BC">
            <w:pPr>
              <w:pStyle w:val="11"/>
              <w:rPr>
                <w:rFonts w:hint="default" w:ascii="Times New Roman" w:hAnsi="Times New Roman" w:cs="Times New Roman"/>
                <w:color w:val="000000" w:themeColor="text1"/>
              </w:rPr>
            </w:pPr>
          </w:p>
          <w:p w14:paraId="7029388F">
            <w:pPr>
              <w:pStyle w:val="11"/>
              <w:rPr>
                <w:rFonts w:hint="default" w:ascii="Times New Roman" w:hAnsi="Times New Roman" w:cs="Times New Roman"/>
                <w:color w:val="000000" w:themeColor="text1"/>
              </w:rPr>
            </w:pPr>
          </w:p>
          <w:p w14:paraId="259EC5A9">
            <w:pPr>
              <w:pStyle w:val="52"/>
              <w:ind w:firstLine="0" w:firstLineChars="0"/>
              <w:rPr>
                <w:rFonts w:hint="default" w:ascii="Times New Roman" w:hAnsi="Times New Roman" w:cs="Times New Roman"/>
                <w:color w:val="000000" w:themeColor="text1"/>
              </w:rPr>
            </w:pPr>
          </w:p>
        </w:tc>
      </w:tr>
    </w:tbl>
    <w:p w14:paraId="4B2D961B">
      <w:pPr>
        <w:spacing w:line="360" w:lineRule="auto"/>
        <w:outlineLvl w:val="0"/>
        <w:rPr>
          <w:rFonts w:hint="default" w:ascii="Times New Roman" w:hAnsi="Times New Roman" w:cs="Times New Roman"/>
          <w:color w:val="000000" w:themeColor="text1"/>
          <w:sz w:val="30"/>
          <w:szCs w:val="30"/>
        </w:rPr>
        <w:sectPr>
          <w:footerReference r:id="rId3" w:type="default"/>
          <w:pgSz w:w="11906" w:h="16838"/>
          <w:pgMar w:top="1276" w:right="1531" w:bottom="1701" w:left="1531" w:header="851" w:footer="1077" w:gutter="0"/>
          <w:pgNumType w:start="1"/>
          <w:cols w:space="720" w:num="1"/>
          <w:docGrid w:linePitch="312" w:charSpace="0"/>
        </w:sectPr>
      </w:pPr>
    </w:p>
    <w:p w14:paraId="19802133">
      <w:pPr>
        <w:pStyle w:val="31"/>
        <w:spacing w:before="0" w:beforeAutospacing="0"/>
        <w:jc w:val="center"/>
        <w:outlineLvl w:val="0"/>
        <w:rPr>
          <w:rFonts w:hint="default" w:ascii="Times New Roman" w:hAnsi="Times New Roman" w:cs="Times New Roman"/>
          <w:snapToGrid w:val="0"/>
          <w:color w:val="000000" w:themeColor="text1"/>
          <w:sz w:val="30"/>
          <w:szCs w:val="30"/>
        </w:rPr>
      </w:pPr>
      <w:r>
        <w:rPr>
          <w:rFonts w:hint="default" w:ascii="Times New Roman" w:hAnsi="Times New Roman" w:cs="Times New Roman"/>
          <w:snapToGrid w:val="0"/>
          <w:color w:val="000000" w:themeColor="text1"/>
          <w:sz w:val="30"/>
          <w:szCs w:val="30"/>
        </w:rPr>
        <w:t>二、建设项目工程分析</w:t>
      </w:r>
    </w:p>
    <w:tbl>
      <w:tblPr>
        <w:tblStyle w:val="34"/>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38"/>
        <w:gridCol w:w="278"/>
        <w:gridCol w:w="8345"/>
      </w:tblGrid>
      <w:tr w14:paraId="31A41D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3" w:hRule="atLeast"/>
          <w:jc w:val="center"/>
        </w:trPr>
        <w:tc>
          <w:tcPr>
            <w:tcW w:w="241" w:type="pct"/>
            <w:tcBorders>
              <w:top w:val="single" w:color="auto" w:sz="8" w:space="0"/>
              <w:bottom w:val="single" w:color="auto" w:sz="8" w:space="0"/>
            </w:tcBorders>
            <w:vAlign w:val="center"/>
          </w:tcPr>
          <w:p w14:paraId="2B75CAF3">
            <w:pPr>
              <w:pStyle w:val="31"/>
              <w:adjustRightInd w:val="0"/>
              <w:snapToGrid w:val="0"/>
              <w:spacing w:before="0" w:beforeAutospacing="0" w:after="0" w:afterAutospacing="0" w:line="460" w:lineRule="exact"/>
              <w:jc w:val="center"/>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lang w:val="en-US" w:eastAsia="zh-CN"/>
              </w:rPr>
              <w:t>建设内容</w:t>
            </w:r>
          </w:p>
        </w:tc>
        <w:tc>
          <w:tcPr>
            <w:tcW w:w="4758" w:type="pct"/>
            <w:gridSpan w:val="2"/>
            <w:tcBorders>
              <w:top w:val="single" w:color="auto" w:sz="8" w:space="0"/>
              <w:bottom w:val="single" w:color="auto" w:sz="8" w:space="0"/>
            </w:tcBorders>
          </w:tcPr>
          <w:p w14:paraId="352153FB">
            <w:pPr>
              <w:adjustRightInd w:val="0"/>
              <w:snapToGrid w:val="0"/>
              <w:spacing w:line="360" w:lineRule="auto"/>
              <w:ind w:firstLine="482" w:firstLineChars="200"/>
              <w:rPr>
                <w:rFonts w:hint="default" w:ascii="Times New Roman" w:hAnsi="Times New Roman" w:cs="Times New Roman"/>
                <w:b/>
                <w:bCs/>
                <w:color w:val="000000" w:themeColor="text1"/>
                <w:sz w:val="24"/>
                <w:szCs w:val="24"/>
              </w:rPr>
            </w:pPr>
            <w:r>
              <w:rPr>
                <w:rFonts w:hint="default" w:ascii="Times New Roman" w:hAnsi="Times New Roman" w:cs="Times New Roman"/>
                <w:b/>
                <w:bCs/>
                <w:color w:val="000000" w:themeColor="text1"/>
                <w:sz w:val="24"/>
                <w:szCs w:val="24"/>
              </w:rPr>
              <w:t>一、项目背景</w:t>
            </w:r>
          </w:p>
          <w:p w14:paraId="21B7BF4C">
            <w:pPr>
              <w:spacing w:line="360" w:lineRule="auto"/>
              <w:ind w:firstLine="480" w:firstLineChars="200"/>
              <w:rPr>
                <w:rFonts w:hint="eastAsia" w:ascii="Times New Roman" w:hAnsi="Times New Roman" w:eastAsia="宋体" w:cs="Times New Roman"/>
                <w:b w:val="0"/>
                <w:bCs w:val="0"/>
                <w:color w:val="000000" w:themeColor="text1"/>
                <w:spacing w:val="0"/>
                <w:sz w:val="24"/>
                <w:szCs w:val="24"/>
                <w:lang w:val="en-US" w:eastAsia="zh-CN"/>
              </w:rPr>
            </w:pPr>
            <w:r>
              <w:rPr>
                <w:rFonts w:hint="default" w:ascii="Times New Roman" w:hAnsi="Times New Roman" w:cs="Times New Roman"/>
                <w:color w:val="000000" w:themeColor="text1"/>
                <w:sz w:val="24"/>
                <w:szCs w:val="24"/>
              </w:rPr>
              <w:t>安徽三变智能科技有限公司</w:t>
            </w:r>
            <w:r>
              <w:rPr>
                <w:rFonts w:hint="eastAsia" w:cs="Times New Roman"/>
                <w:color w:val="000000" w:themeColor="text1"/>
                <w:sz w:val="24"/>
                <w:szCs w:val="24"/>
                <w:lang w:val="en-US" w:eastAsia="zh-CN"/>
              </w:rPr>
              <w:t>于</w:t>
            </w:r>
            <w:r>
              <w:rPr>
                <w:rFonts w:hint="eastAsia" w:ascii="Times New Roman" w:hAnsi="Times New Roman" w:eastAsia="宋体" w:cs="Times New Roman"/>
                <w:b w:val="0"/>
                <w:bCs w:val="0"/>
                <w:color w:val="000000" w:themeColor="text1"/>
                <w:spacing w:val="0"/>
                <w:sz w:val="24"/>
                <w:szCs w:val="24"/>
                <w:lang w:val="en-US" w:eastAsia="zh-CN"/>
              </w:rPr>
              <w:t>2022年6月16日取得由淮北市杜集区发展和改革委员会出具的“三变智能科技项目”备案文件，主要内容为：</w:t>
            </w:r>
            <w:r>
              <w:rPr>
                <w:rFonts w:hint="eastAsia" w:cs="Times New Roman"/>
                <w:b w:val="0"/>
                <w:bCs w:val="0"/>
                <w:color w:val="000000" w:themeColor="text1"/>
                <w:spacing w:val="0"/>
                <w:sz w:val="24"/>
                <w:szCs w:val="24"/>
                <w:lang w:val="en-US" w:eastAsia="zh-CN"/>
              </w:rPr>
              <w:t>建设地点位于</w:t>
            </w:r>
            <w:r>
              <w:rPr>
                <w:rStyle w:val="41"/>
                <w:rFonts w:hint="eastAsia" w:cs="Times New Roman"/>
                <w:snapToGrid w:val="0"/>
                <w:color w:val="000000" w:themeColor="text1"/>
                <w:kern w:val="0"/>
                <w:sz w:val="24"/>
                <w:szCs w:val="24"/>
                <w:lang w:eastAsia="zh-CN"/>
              </w:rPr>
              <w:t>安徽省淮北市杜集区经济开发区紫昱路与腾飞路交叉处向南100米，</w:t>
            </w:r>
            <w:r>
              <w:rPr>
                <w:rFonts w:hint="eastAsia" w:ascii="Times New Roman" w:hAnsi="Times New Roman" w:eastAsia="宋体" w:cs="Times New Roman"/>
                <w:b w:val="0"/>
                <w:bCs w:val="0"/>
                <w:color w:val="000000" w:themeColor="text1"/>
                <w:spacing w:val="0"/>
                <w:sz w:val="24"/>
                <w:szCs w:val="24"/>
                <w:lang w:val="en-US" w:eastAsia="zh-CN"/>
              </w:rPr>
              <w:t>占地5亩，总建筑面积3150m</w:t>
            </w:r>
            <w:r>
              <w:rPr>
                <w:rFonts w:hint="eastAsia" w:ascii="Times New Roman" w:hAnsi="Times New Roman" w:eastAsia="宋体" w:cs="Times New Roman"/>
                <w:b w:val="0"/>
                <w:bCs w:val="0"/>
                <w:color w:val="000000" w:themeColor="text1"/>
                <w:spacing w:val="0"/>
                <w:sz w:val="24"/>
                <w:szCs w:val="24"/>
                <w:vertAlign w:val="superscript"/>
                <w:lang w:val="en-US" w:eastAsia="zh-CN"/>
              </w:rPr>
              <w:t>2</w:t>
            </w:r>
            <w:r>
              <w:rPr>
                <w:rFonts w:hint="eastAsia" w:ascii="Times New Roman" w:hAnsi="Times New Roman" w:eastAsia="宋体" w:cs="Times New Roman"/>
                <w:b w:val="0"/>
                <w:bCs w:val="0"/>
                <w:color w:val="000000" w:themeColor="text1"/>
                <w:spacing w:val="0"/>
                <w:sz w:val="24"/>
                <w:szCs w:val="24"/>
                <w:lang w:val="en-US" w:eastAsia="zh-CN"/>
              </w:rPr>
              <w:t>，主要生产自助</w:t>
            </w:r>
            <w:r>
              <w:rPr>
                <w:rFonts w:hint="eastAsia" w:cs="Times New Roman"/>
                <w:b w:val="0"/>
                <w:bCs w:val="0"/>
                <w:color w:val="000000" w:themeColor="text1"/>
                <w:spacing w:val="0"/>
                <w:sz w:val="24"/>
                <w:szCs w:val="24"/>
                <w:lang w:val="en-US" w:eastAsia="zh-CN"/>
              </w:rPr>
              <w:t>售药</w:t>
            </w:r>
            <w:r>
              <w:rPr>
                <w:rFonts w:hint="eastAsia" w:ascii="Times New Roman" w:hAnsi="Times New Roman" w:eastAsia="宋体" w:cs="Times New Roman"/>
                <w:b w:val="0"/>
                <w:bCs w:val="0"/>
                <w:color w:val="000000" w:themeColor="text1"/>
                <w:spacing w:val="0"/>
                <w:sz w:val="24"/>
                <w:szCs w:val="24"/>
                <w:lang w:val="en-US" w:eastAsia="zh-CN"/>
              </w:rPr>
              <w:t>机、智能变压器智能柜子等2000万/年。企业于2022年6月17日取得该项目的环境影响登记表。</w:t>
            </w:r>
          </w:p>
          <w:p w14:paraId="69F5A158">
            <w:pPr>
              <w:spacing w:line="360" w:lineRule="auto"/>
              <w:ind w:firstLine="480" w:firstLineChars="200"/>
              <w:rPr>
                <w:rFonts w:hint="default" w:ascii="Times New Roman" w:hAnsi="Times New Roman" w:eastAsia="宋体" w:cs="Times New Roman"/>
                <w:b w:val="0"/>
                <w:bCs w:val="0"/>
                <w:color w:val="000000" w:themeColor="text1"/>
                <w:spacing w:val="0"/>
                <w:sz w:val="24"/>
                <w:szCs w:val="24"/>
                <w:lang w:val="en-US" w:eastAsia="zh-CN"/>
              </w:rPr>
            </w:pPr>
            <w:r>
              <w:rPr>
                <w:rFonts w:hint="eastAsia" w:cs="Times New Roman"/>
                <w:color w:val="000000" w:themeColor="text1"/>
                <w:sz w:val="24"/>
                <w:szCs w:val="24"/>
                <w:lang w:val="en-US" w:eastAsia="zh-CN"/>
              </w:rPr>
              <w:t>2025年8月，企业对现有项目进行技术改造，改造后的规模为</w:t>
            </w:r>
            <w:r>
              <w:rPr>
                <w:rFonts w:hint="default" w:ascii="Times New Roman" w:hAnsi="Times New Roman" w:cs="Times New Roman"/>
                <w:color w:val="000000" w:themeColor="text1"/>
                <w:sz w:val="24"/>
                <w:szCs w:val="24"/>
              </w:rPr>
              <w:t>年产油浸式变压器350台、干式变压器500台</w:t>
            </w:r>
            <w:r>
              <w:rPr>
                <w:rFonts w:hint="eastAsia" w:ascii="Times New Roman" w:hAnsi="Times New Roman" w:cs="Times New Roman"/>
                <w:color w:val="000000" w:themeColor="text1"/>
                <w:sz w:val="24"/>
                <w:szCs w:val="24"/>
                <w:lang w:val="en-US" w:eastAsia="zh-CN"/>
              </w:rPr>
              <w:t>和</w:t>
            </w:r>
            <w:r>
              <w:rPr>
                <w:rFonts w:hint="default" w:ascii="Times New Roman" w:hAnsi="Times New Roman" w:cs="Times New Roman"/>
                <w:color w:val="000000" w:themeColor="text1"/>
                <w:sz w:val="24"/>
                <w:szCs w:val="24"/>
              </w:rPr>
              <w:t>配电控制设备150台</w:t>
            </w:r>
            <w:r>
              <w:rPr>
                <w:rFonts w:hint="eastAsia" w:ascii="Times New Roman" w:hAnsi="Times New Roman" w:cs="Times New Roman"/>
                <w:color w:val="000000" w:themeColor="text1"/>
                <w:sz w:val="24"/>
                <w:szCs w:val="24"/>
                <w:lang w:eastAsia="zh-CN"/>
              </w:rPr>
              <w:t>（</w:t>
            </w:r>
            <w:r>
              <w:rPr>
                <w:rFonts w:hint="eastAsia" w:ascii="Times New Roman" w:hAnsi="Times New Roman" w:cs="Times New Roman"/>
                <w:color w:val="000000" w:themeColor="text1"/>
                <w:sz w:val="24"/>
                <w:szCs w:val="24"/>
                <w:lang w:val="en-US" w:eastAsia="zh-CN"/>
              </w:rPr>
              <w:t>将企业生产的变压器与外购箱体进行组装</w:t>
            </w:r>
            <w:r>
              <w:rPr>
                <w:rFonts w:hint="eastAsia" w:ascii="Times New Roman" w:hAnsi="Times New Roman" w:cs="Times New Roman"/>
                <w:color w:val="000000" w:themeColor="text1"/>
                <w:sz w:val="24"/>
                <w:szCs w:val="24"/>
                <w:lang w:eastAsia="zh-CN"/>
              </w:rPr>
              <w:t>）</w:t>
            </w:r>
            <w:r>
              <w:rPr>
                <w:rFonts w:hint="eastAsia" w:cs="Times New Roman"/>
                <w:color w:val="000000" w:themeColor="text1"/>
                <w:sz w:val="24"/>
                <w:szCs w:val="24"/>
                <w:lang w:eastAsia="zh-CN"/>
              </w:rPr>
              <w:t>，</w:t>
            </w:r>
            <w:r>
              <w:rPr>
                <w:rFonts w:hint="eastAsia" w:cs="Times New Roman"/>
                <w:color w:val="000000" w:themeColor="text1"/>
                <w:sz w:val="24"/>
                <w:szCs w:val="24"/>
                <w:lang w:val="en-US" w:eastAsia="zh-CN"/>
              </w:rPr>
              <w:t>不涉及自助售药机的生产，建设地点位于</w:t>
            </w:r>
            <w:r>
              <w:rPr>
                <w:rStyle w:val="41"/>
                <w:rFonts w:hint="eastAsia" w:cs="Times New Roman"/>
                <w:snapToGrid w:val="0"/>
                <w:color w:val="000000" w:themeColor="text1"/>
                <w:kern w:val="0"/>
                <w:sz w:val="24"/>
                <w:szCs w:val="24"/>
                <w:lang w:eastAsia="zh-CN"/>
              </w:rPr>
              <w:t>安徽省淮北市杜集区经济开发区紫昱路与腾飞路交叉处向南100米</w:t>
            </w:r>
            <w:r>
              <w:rPr>
                <w:rFonts w:hint="eastAsia" w:ascii="Times New Roman" w:hAnsi="Times New Roman" w:cs="Times New Roman"/>
                <w:color w:val="000000" w:themeColor="text1"/>
                <w:sz w:val="24"/>
                <w:szCs w:val="24"/>
                <w:lang w:eastAsia="zh-CN"/>
              </w:rPr>
              <w:t>。</w:t>
            </w:r>
            <w:r>
              <w:rPr>
                <w:rFonts w:hint="eastAsia" w:ascii="Times New Roman" w:hAnsi="Times New Roman" w:cs="Times New Roman"/>
                <w:color w:val="000000" w:themeColor="text1"/>
                <w:sz w:val="24"/>
                <w:szCs w:val="24"/>
                <w:lang w:val="en-US" w:eastAsia="zh-CN"/>
              </w:rPr>
              <w:t>该项目于2025年9月8日取得环评批复，批复文号为淮杜环行[2025]25号。</w:t>
            </w:r>
          </w:p>
          <w:p w14:paraId="199E0FC3">
            <w:pPr>
              <w:snapToGrid w:val="0"/>
              <w:spacing w:line="360" w:lineRule="auto"/>
              <w:ind w:firstLine="480" w:firstLineChars="200"/>
              <w:rPr>
                <w:rFonts w:hint="eastAsia"/>
                <w:color w:val="000000" w:themeColor="text1"/>
                <w:sz w:val="24"/>
                <w:szCs w:val="32"/>
                <w:lang w:val="en-US" w:eastAsia="zh-CN"/>
              </w:rPr>
            </w:pPr>
            <w:r>
              <w:rPr>
                <w:rFonts w:hint="eastAsia" w:cs="Times New Roman"/>
                <w:color w:val="000000" w:themeColor="text1"/>
                <w:sz w:val="24"/>
                <w:szCs w:val="24"/>
                <w:lang w:val="en-US" w:eastAsia="zh-CN"/>
              </w:rPr>
              <w:t>企业在后续生产中，经公司研究决定，拟对厂址进行搬迁，地址变更至安徽省淮北市杜集区经济开发区发展路10号，生产内容、工艺等不发生变化。</w:t>
            </w:r>
            <w:r>
              <w:rPr>
                <w:rFonts w:hint="eastAsia"/>
                <w:color w:val="000000" w:themeColor="text1"/>
                <w:sz w:val="24"/>
                <w:szCs w:val="32"/>
                <w:lang w:val="en-US" w:eastAsia="zh-CN"/>
              </w:rPr>
              <w:t>根据《中华人民共和国环境影响评价法》、《建设项目环境保护管理条例》、生态环境部办公厅关于印发《污染影响类建设项目重大变动清单（试行）》的通知（环办环评函[2020]688 号）等文件有关规定，</w:t>
            </w:r>
            <w:r>
              <w:rPr>
                <w:rFonts w:hint="eastAsia"/>
                <w:color w:val="000000" w:themeColor="text1"/>
                <w:sz w:val="24"/>
                <w:szCs w:val="32"/>
              </w:rPr>
              <w:t>建设项目的环境影响评价文件经批准后，建设项目的性质、规模、地点、生产工艺、环境保护措施发生重大变动的，建设单位应当重新报批建设项目的环境影响评价文件。本项目与《污染影响类建设项目重大变动清单（试行）》的对比分析情况如下表所示。</w:t>
            </w:r>
          </w:p>
          <w:p w14:paraId="3DBD8FDA">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b/>
                <w:bCs/>
                <w:color w:val="000000" w:themeColor="text1"/>
                <w:sz w:val="24"/>
                <w:szCs w:val="32"/>
                <w:lang w:val="en-US" w:eastAsia="zh-CN"/>
              </w:rPr>
            </w:pPr>
            <w:r>
              <w:rPr>
                <w:rFonts w:hint="eastAsia"/>
                <w:b/>
                <w:bCs/>
                <w:color w:val="000000" w:themeColor="text1"/>
                <w:sz w:val="24"/>
                <w:szCs w:val="32"/>
                <w:lang w:val="en-US" w:eastAsia="zh-CN"/>
              </w:rPr>
              <w:t>表2-1  本项目重大变动判定分析</w:t>
            </w:r>
          </w:p>
          <w:tbl>
            <w:tblPr>
              <w:tblStyle w:val="34"/>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2"/>
              <w:gridCol w:w="542"/>
              <w:gridCol w:w="3779"/>
              <w:gridCol w:w="2913"/>
              <w:gridCol w:w="709"/>
            </w:tblGrid>
            <w:tr w14:paraId="4ABB96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890" w:type="dxa"/>
                  <w:gridSpan w:val="3"/>
                  <w:tcBorders>
                    <w:top w:val="single" w:color="auto" w:sz="4" w:space="0"/>
                    <w:left w:val="single" w:color="auto" w:sz="4" w:space="0"/>
                    <w:bottom w:val="single" w:color="auto" w:sz="4" w:space="0"/>
                    <w:right w:val="single" w:color="auto" w:sz="4" w:space="0"/>
                  </w:tcBorders>
                  <w:vAlign w:val="center"/>
                </w:tcPr>
                <w:p w14:paraId="21B29B7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rPr>
                  </w:pPr>
                  <w:r>
                    <w:rPr>
                      <w:rFonts w:hint="eastAsia"/>
                      <w:color w:val="000000" w:themeColor="text1"/>
                    </w:rPr>
                    <w:t>污染影响类建设项目综合变动清单（试行）规定</w:t>
                  </w:r>
                </w:p>
              </w:tc>
              <w:tc>
                <w:tcPr>
                  <w:tcW w:w="2989" w:type="dxa"/>
                  <w:tcBorders>
                    <w:top w:val="single" w:color="auto" w:sz="4" w:space="0"/>
                    <w:left w:val="nil"/>
                    <w:bottom w:val="single" w:color="auto" w:sz="4" w:space="0"/>
                    <w:right w:val="single" w:color="auto" w:sz="4" w:space="0"/>
                  </w:tcBorders>
                  <w:vAlign w:val="center"/>
                </w:tcPr>
                <w:p w14:paraId="20B3E02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color w:val="000000" w:themeColor="text1"/>
                      <w:sz w:val="21"/>
                      <w:szCs w:val="21"/>
                      <w:lang w:val="en-US" w:eastAsia="zh-CN"/>
                    </w:rPr>
                  </w:pPr>
                  <w:r>
                    <w:rPr>
                      <w:rFonts w:hint="eastAsia"/>
                      <w:color w:val="000000" w:themeColor="text1"/>
                      <w:sz w:val="21"/>
                      <w:szCs w:val="21"/>
                      <w:lang w:val="en-US" w:eastAsia="zh-CN"/>
                    </w:rPr>
                    <w:t>项目变动情况</w:t>
                  </w:r>
                </w:p>
              </w:tc>
              <w:tc>
                <w:tcPr>
                  <w:tcW w:w="722" w:type="dxa"/>
                  <w:tcBorders>
                    <w:top w:val="single" w:color="auto" w:sz="4" w:space="0"/>
                    <w:left w:val="nil"/>
                    <w:bottom w:val="single" w:color="auto" w:sz="4" w:space="0"/>
                    <w:right w:val="single" w:color="auto" w:sz="4" w:space="0"/>
                  </w:tcBorders>
                  <w:vAlign w:val="center"/>
                </w:tcPr>
                <w:p w14:paraId="164C71E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rPr>
                  </w:pPr>
                  <w:r>
                    <w:rPr>
                      <w:color w:val="000000" w:themeColor="text1"/>
                      <w:sz w:val="21"/>
                      <w:szCs w:val="21"/>
                    </w:rPr>
                    <w:t>是否属于重大变动</w:t>
                  </w:r>
                </w:p>
              </w:tc>
            </w:tr>
            <w:tr w14:paraId="15C7E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59" w:type="dxa"/>
                  <w:tcBorders>
                    <w:top w:val="single" w:color="auto" w:sz="4" w:space="0"/>
                    <w:left w:val="single" w:color="auto" w:sz="4" w:space="0"/>
                    <w:bottom w:val="single" w:color="auto" w:sz="4" w:space="0"/>
                    <w:right w:val="single" w:color="auto" w:sz="4" w:space="0"/>
                  </w:tcBorders>
                  <w:vAlign w:val="center"/>
                </w:tcPr>
                <w:p w14:paraId="48B067F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rPr>
                  </w:pPr>
                  <w:r>
                    <w:rPr>
                      <w:color w:val="000000" w:themeColor="text1"/>
                      <w:sz w:val="21"/>
                      <w:szCs w:val="21"/>
                    </w:rPr>
                    <w:t>1</w:t>
                  </w:r>
                </w:p>
              </w:tc>
              <w:tc>
                <w:tcPr>
                  <w:tcW w:w="551" w:type="dxa"/>
                  <w:tcBorders>
                    <w:top w:val="single" w:color="auto" w:sz="4" w:space="0"/>
                    <w:left w:val="nil"/>
                    <w:bottom w:val="single" w:color="auto" w:sz="4" w:space="0"/>
                    <w:right w:val="single" w:color="auto" w:sz="4" w:space="0"/>
                  </w:tcBorders>
                  <w:vAlign w:val="center"/>
                </w:tcPr>
                <w:p w14:paraId="5E62EFC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rPr>
                  </w:pPr>
                  <w:r>
                    <w:rPr>
                      <w:color w:val="000000" w:themeColor="text1"/>
                      <w:sz w:val="21"/>
                      <w:szCs w:val="21"/>
                    </w:rPr>
                    <w:t>性质</w:t>
                  </w:r>
                </w:p>
              </w:tc>
              <w:tc>
                <w:tcPr>
                  <w:tcW w:w="3880" w:type="dxa"/>
                  <w:tcBorders>
                    <w:top w:val="single" w:color="auto" w:sz="4" w:space="0"/>
                    <w:left w:val="nil"/>
                    <w:bottom w:val="single" w:color="auto" w:sz="4" w:space="0"/>
                    <w:right w:val="single" w:color="auto" w:sz="4" w:space="0"/>
                  </w:tcBorders>
                  <w:vAlign w:val="center"/>
                </w:tcPr>
                <w:p w14:paraId="3B41491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rPr>
                  </w:pPr>
                  <w:r>
                    <w:rPr>
                      <w:color w:val="000000" w:themeColor="text1"/>
                      <w:sz w:val="21"/>
                      <w:szCs w:val="21"/>
                    </w:rPr>
                    <w:t>建设项目开发、使用功能发生变化的</w:t>
                  </w:r>
                </w:p>
              </w:tc>
              <w:tc>
                <w:tcPr>
                  <w:tcW w:w="2989" w:type="dxa"/>
                  <w:tcBorders>
                    <w:top w:val="single" w:color="auto" w:sz="4" w:space="0"/>
                    <w:left w:val="nil"/>
                    <w:bottom w:val="single" w:color="auto" w:sz="4" w:space="0"/>
                    <w:right w:val="single" w:color="auto" w:sz="4" w:space="0"/>
                  </w:tcBorders>
                  <w:vAlign w:val="center"/>
                </w:tcPr>
                <w:p w14:paraId="29B7036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rPr>
                  </w:pPr>
                  <w:r>
                    <w:rPr>
                      <w:rFonts w:hint="eastAsia"/>
                      <w:color w:val="000000" w:themeColor="text1"/>
                      <w:sz w:val="21"/>
                      <w:szCs w:val="21"/>
                    </w:rPr>
                    <w:t>项目开发、使用功能未发生变化</w:t>
                  </w:r>
                </w:p>
              </w:tc>
              <w:tc>
                <w:tcPr>
                  <w:tcW w:w="722" w:type="dxa"/>
                  <w:tcBorders>
                    <w:top w:val="single" w:color="auto" w:sz="4" w:space="0"/>
                    <w:left w:val="nil"/>
                    <w:bottom w:val="single" w:color="auto" w:sz="4" w:space="0"/>
                    <w:right w:val="single" w:color="auto" w:sz="4" w:space="0"/>
                  </w:tcBorders>
                  <w:vAlign w:val="center"/>
                </w:tcPr>
                <w:p w14:paraId="3681C7A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000000" w:themeColor="text1"/>
                      <w:sz w:val="21"/>
                      <w:szCs w:val="21"/>
                      <w:lang w:eastAsia="zh-CN"/>
                    </w:rPr>
                  </w:pPr>
                  <w:r>
                    <w:rPr>
                      <w:rFonts w:hint="eastAsia"/>
                      <w:color w:val="000000" w:themeColor="text1"/>
                      <w:sz w:val="21"/>
                      <w:szCs w:val="21"/>
                      <w:lang w:val="en-US" w:eastAsia="zh-CN"/>
                    </w:rPr>
                    <w:t>否</w:t>
                  </w:r>
                </w:p>
              </w:tc>
            </w:tr>
            <w:tr w14:paraId="2D97EC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59" w:type="dxa"/>
                  <w:vMerge w:val="restart"/>
                  <w:tcBorders>
                    <w:top w:val="single" w:color="auto" w:sz="4" w:space="0"/>
                    <w:left w:val="single" w:color="auto" w:sz="4" w:space="0"/>
                    <w:right w:val="single" w:color="auto" w:sz="4" w:space="0"/>
                  </w:tcBorders>
                  <w:vAlign w:val="center"/>
                </w:tcPr>
                <w:p w14:paraId="43F403D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rPr>
                  </w:pPr>
                  <w:r>
                    <w:rPr>
                      <w:color w:val="000000" w:themeColor="text1"/>
                      <w:sz w:val="21"/>
                      <w:szCs w:val="21"/>
                    </w:rPr>
                    <w:t>2</w:t>
                  </w:r>
                </w:p>
              </w:tc>
              <w:tc>
                <w:tcPr>
                  <w:tcW w:w="551" w:type="dxa"/>
                  <w:vMerge w:val="restart"/>
                  <w:tcBorders>
                    <w:top w:val="single" w:color="auto" w:sz="4" w:space="0"/>
                    <w:left w:val="nil"/>
                    <w:right w:val="single" w:color="auto" w:sz="4" w:space="0"/>
                  </w:tcBorders>
                  <w:vAlign w:val="center"/>
                </w:tcPr>
                <w:p w14:paraId="0EBD0E0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rPr>
                  </w:pPr>
                  <w:r>
                    <w:rPr>
                      <w:color w:val="000000" w:themeColor="text1"/>
                      <w:sz w:val="21"/>
                      <w:szCs w:val="21"/>
                    </w:rPr>
                    <w:t>规模</w:t>
                  </w:r>
                </w:p>
              </w:tc>
              <w:tc>
                <w:tcPr>
                  <w:tcW w:w="3880" w:type="dxa"/>
                  <w:tcBorders>
                    <w:top w:val="single" w:color="auto" w:sz="4" w:space="0"/>
                    <w:left w:val="nil"/>
                    <w:bottom w:val="single" w:color="auto" w:sz="4" w:space="0"/>
                    <w:right w:val="single" w:color="auto" w:sz="4" w:space="0"/>
                  </w:tcBorders>
                  <w:vAlign w:val="center"/>
                </w:tcPr>
                <w:p w14:paraId="7522921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rPr>
                  </w:pPr>
                  <w:r>
                    <w:rPr>
                      <w:color w:val="000000" w:themeColor="text1"/>
                      <w:sz w:val="21"/>
                      <w:szCs w:val="21"/>
                    </w:rPr>
                    <w:t>生产、处置或储存能力增大30%及以上的</w:t>
                  </w:r>
                </w:p>
              </w:tc>
              <w:tc>
                <w:tcPr>
                  <w:tcW w:w="2989" w:type="dxa"/>
                  <w:tcBorders>
                    <w:top w:val="single" w:color="auto" w:sz="4" w:space="0"/>
                    <w:left w:val="nil"/>
                    <w:right w:val="single" w:color="auto" w:sz="4" w:space="0"/>
                  </w:tcBorders>
                  <w:vAlign w:val="center"/>
                </w:tcPr>
                <w:p w14:paraId="255982A8">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eastAsia="宋体"/>
                      <w:color w:val="000000" w:themeColor="text1"/>
                      <w:sz w:val="21"/>
                      <w:szCs w:val="21"/>
                      <w:lang w:val="en-US" w:eastAsia="zh-CN"/>
                    </w:rPr>
                  </w:pPr>
                  <w:r>
                    <w:rPr>
                      <w:rFonts w:hint="eastAsia"/>
                      <w:color w:val="000000" w:themeColor="text1"/>
                      <w:sz w:val="21"/>
                      <w:szCs w:val="21"/>
                      <w:lang w:val="en-US" w:eastAsia="zh-CN"/>
                    </w:rPr>
                    <w:t>项目生产、处置和储存能力未发生变化</w:t>
                  </w:r>
                </w:p>
              </w:tc>
              <w:tc>
                <w:tcPr>
                  <w:tcW w:w="722" w:type="dxa"/>
                  <w:tcBorders>
                    <w:top w:val="single" w:color="auto" w:sz="4" w:space="0"/>
                    <w:left w:val="nil"/>
                    <w:right w:val="single" w:color="auto" w:sz="4" w:space="0"/>
                  </w:tcBorders>
                  <w:vAlign w:val="center"/>
                </w:tcPr>
                <w:p w14:paraId="1A6B3D7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000000" w:themeColor="text1"/>
                      <w:sz w:val="21"/>
                      <w:szCs w:val="21"/>
                      <w:lang w:eastAsia="zh-CN"/>
                    </w:rPr>
                  </w:pPr>
                  <w:r>
                    <w:rPr>
                      <w:rFonts w:hint="eastAsia"/>
                      <w:color w:val="000000" w:themeColor="text1"/>
                      <w:sz w:val="21"/>
                      <w:szCs w:val="21"/>
                      <w:lang w:val="en-US" w:eastAsia="zh-CN"/>
                    </w:rPr>
                    <w:t>否</w:t>
                  </w:r>
                </w:p>
              </w:tc>
            </w:tr>
            <w:tr w14:paraId="108704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59" w:type="dxa"/>
                  <w:vMerge w:val="continue"/>
                  <w:tcBorders>
                    <w:left w:val="single" w:color="auto" w:sz="4" w:space="0"/>
                    <w:right w:val="single" w:color="auto" w:sz="4" w:space="0"/>
                  </w:tcBorders>
                  <w:vAlign w:val="center"/>
                </w:tcPr>
                <w:p w14:paraId="2E0DA49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rPr>
                  </w:pPr>
                </w:p>
              </w:tc>
              <w:tc>
                <w:tcPr>
                  <w:tcW w:w="551" w:type="dxa"/>
                  <w:vMerge w:val="continue"/>
                  <w:tcBorders>
                    <w:left w:val="nil"/>
                    <w:right w:val="single" w:color="auto" w:sz="4" w:space="0"/>
                  </w:tcBorders>
                  <w:vAlign w:val="center"/>
                </w:tcPr>
                <w:p w14:paraId="4A8A6AF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rPr>
                  </w:pPr>
                </w:p>
              </w:tc>
              <w:tc>
                <w:tcPr>
                  <w:tcW w:w="3880" w:type="dxa"/>
                  <w:tcBorders>
                    <w:top w:val="single" w:color="auto" w:sz="4" w:space="0"/>
                    <w:left w:val="nil"/>
                    <w:bottom w:val="single" w:color="auto" w:sz="4" w:space="0"/>
                    <w:right w:val="single" w:color="auto" w:sz="4" w:space="0"/>
                  </w:tcBorders>
                  <w:vAlign w:val="center"/>
                </w:tcPr>
                <w:p w14:paraId="27CC328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21"/>
                      <w:szCs w:val="21"/>
                      <w:lang w:val="en-US" w:eastAsia="zh-CN"/>
                    </w:rPr>
                  </w:pPr>
                  <w:r>
                    <w:rPr>
                      <w:rFonts w:hint="eastAsia"/>
                      <w:color w:val="000000" w:themeColor="text1"/>
                      <w:sz w:val="21"/>
                      <w:szCs w:val="21"/>
                      <w:lang w:val="en-US" w:eastAsia="zh-CN"/>
                    </w:rPr>
                    <w:t>生产、处置能力增大，导致废水第一类污染物排放量增加的</w:t>
                  </w:r>
                </w:p>
              </w:tc>
              <w:tc>
                <w:tcPr>
                  <w:tcW w:w="2989" w:type="dxa"/>
                  <w:tcBorders>
                    <w:left w:val="nil"/>
                    <w:right w:val="single" w:color="auto" w:sz="4" w:space="0"/>
                  </w:tcBorders>
                  <w:vAlign w:val="center"/>
                </w:tcPr>
                <w:p w14:paraId="594ABF70">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color w:val="000000" w:themeColor="text1"/>
                      <w:sz w:val="21"/>
                      <w:szCs w:val="21"/>
                      <w:lang w:val="en-US" w:eastAsia="zh-CN"/>
                    </w:rPr>
                  </w:pPr>
                  <w:r>
                    <w:rPr>
                      <w:rFonts w:hint="eastAsia"/>
                      <w:color w:val="000000" w:themeColor="text1"/>
                      <w:sz w:val="21"/>
                      <w:szCs w:val="21"/>
                      <w:lang w:val="en-US" w:eastAsia="zh-CN"/>
                    </w:rPr>
                    <w:t>项目不涉及</w:t>
                  </w:r>
                </w:p>
              </w:tc>
              <w:tc>
                <w:tcPr>
                  <w:tcW w:w="722" w:type="dxa"/>
                  <w:tcBorders>
                    <w:left w:val="nil"/>
                    <w:right w:val="single" w:color="auto" w:sz="4" w:space="0"/>
                  </w:tcBorders>
                  <w:vAlign w:val="center"/>
                </w:tcPr>
                <w:p w14:paraId="5AB3929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rPr>
                  </w:pPr>
                  <w:r>
                    <w:rPr>
                      <w:rFonts w:hint="eastAsia"/>
                      <w:color w:val="000000" w:themeColor="text1"/>
                      <w:sz w:val="21"/>
                      <w:szCs w:val="21"/>
                      <w:lang w:val="en-US" w:eastAsia="zh-CN"/>
                    </w:rPr>
                    <w:t>否</w:t>
                  </w:r>
                </w:p>
              </w:tc>
            </w:tr>
            <w:tr w14:paraId="6AE1BC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59" w:type="dxa"/>
                  <w:vMerge w:val="continue"/>
                  <w:tcBorders>
                    <w:left w:val="single" w:color="auto" w:sz="4" w:space="0"/>
                    <w:bottom w:val="single" w:color="auto" w:sz="4" w:space="0"/>
                    <w:right w:val="single" w:color="auto" w:sz="4" w:space="0"/>
                  </w:tcBorders>
                  <w:vAlign w:val="center"/>
                </w:tcPr>
                <w:p w14:paraId="4D806B0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rPr>
                  </w:pPr>
                </w:p>
              </w:tc>
              <w:tc>
                <w:tcPr>
                  <w:tcW w:w="551" w:type="dxa"/>
                  <w:vMerge w:val="continue"/>
                  <w:tcBorders>
                    <w:left w:val="nil"/>
                    <w:bottom w:val="single" w:color="auto" w:sz="4" w:space="0"/>
                    <w:right w:val="single" w:color="auto" w:sz="4" w:space="0"/>
                  </w:tcBorders>
                  <w:vAlign w:val="center"/>
                </w:tcPr>
                <w:p w14:paraId="632920D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rPr>
                  </w:pPr>
                </w:p>
              </w:tc>
              <w:tc>
                <w:tcPr>
                  <w:tcW w:w="3880" w:type="dxa"/>
                  <w:tcBorders>
                    <w:top w:val="single" w:color="auto" w:sz="4" w:space="0"/>
                    <w:left w:val="nil"/>
                    <w:bottom w:val="single" w:color="auto" w:sz="4" w:space="0"/>
                    <w:right w:val="single" w:color="auto" w:sz="4" w:space="0"/>
                  </w:tcBorders>
                  <w:vAlign w:val="center"/>
                </w:tcPr>
                <w:p w14:paraId="604E1C0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21"/>
                      <w:szCs w:val="21"/>
                      <w:lang w:val="en-US" w:eastAsia="zh-CN"/>
                    </w:rPr>
                  </w:pPr>
                  <w:r>
                    <w:rPr>
                      <w:rFonts w:hint="eastAsia"/>
                      <w:color w:val="000000" w:themeColor="text1"/>
                      <w:sz w:val="21"/>
                      <w:szCs w:val="21"/>
                      <w:lang w:val="en-US" w:eastAsia="zh-CN"/>
                    </w:rPr>
                    <w:t>位于环境质量不达标区的建设项目生产、处置或储存能力增大，导致相应污染物排放量增加的；位于达标区的建设项目生产、处置或储存能力增大，导致污染物排放量增加10%及以上的</w:t>
                  </w:r>
                </w:p>
              </w:tc>
              <w:tc>
                <w:tcPr>
                  <w:tcW w:w="2989" w:type="dxa"/>
                  <w:tcBorders>
                    <w:left w:val="nil"/>
                    <w:bottom w:val="single" w:color="auto" w:sz="4" w:space="0"/>
                    <w:right w:val="single" w:color="auto" w:sz="4" w:space="0"/>
                  </w:tcBorders>
                  <w:vAlign w:val="center"/>
                </w:tcPr>
                <w:p w14:paraId="1BF93A5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color w:val="000000" w:themeColor="text1"/>
                      <w:sz w:val="21"/>
                      <w:szCs w:val="21"/>
                      <w:lang w:val="en-US" w:eastAsia="zh-CN"/>
                    </w:rPr>
                  </w:pPr>
                  <w:r>
                    <w:rPr>
                      <w:rFonts w:hint="eastAsia"/>
                      <w:color w:val="000000" w:themeColor="text1"/>
                      <w:sz w:val="21"/>
                      <w:szCs w:val="21"/>
                      <w:lang w:val="en-US" w:eastAsia="zh-CN"/>
                    </w:rPr>
                    <w:t>本项目位于环境质量不达标区，但企业生产、处置和储存能力未发生变化</w:t>
                  </w:r>
                </w:p>
              </w:tc>
              <w:tc>
                <w:tcPr>
                  <w:tcW w:w="722" w:type="dxa"/>
                  <w:tcBorders>
                    <w:left w:val="nil"/>
                    <w:bottom w:val="single" w:color="auto" w:sz="4" w:space="0"/>
                    <w:right w:val="single" w:color="auto" w:sz="4" w:space="0"/>
                  </w:tcBorders>
                  <w:vAlign w:val="center"/>
                </w:tcPr>
                <w:p w14:paraId="19C16F4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000000" w:themeColor="text1"/>
                      <w:sz w:val="21"/>
                      <w:szCs w:val="21"/>
                      <w:lang w:val="en-US" w:eastAsia="zh-CN"/>
                    </w:rPr>
                  </w:pPr>
                  <w:r>
                    <w:rPr>
                      <w:rFonts w:hint="eastAsia"/>
                      <w:color w:val="000000" w:themeColor="text1"/>
                      <w:sz w:val="21"/>
                      <w:szCs w:val="21"/>
                      <w:lang w:val="en-US" w:eastAsia="zh-CN"/>
                    </w:rPr>
                    <w:t>否</w:t>
                  </w:r>
                </w:p>
              </w:tc>
            </w:tr>
            <w:tr w14:paraId="6293EC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59" w:type="dxa"/>
                  <w:tcBorders>
                    <w:top w:val="single" w:color="auto" w:sz="4" w:space="0"/>
                    <w:left w:val="single" w:color="auto" w:sz="4" w:space="0"/>
                    <w:bottom w:val="single" w:color="auto" w:sz="4" w:space="0"/>
                    <w:right w:val="single" w:color="auto" w:sz="4" w:space="0"/>
                  </w:tcBorders>
                  <w:vAlign w:val="center"/>
                </w:tcPr>
                <w:p w14:paraId="7458A34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rPr>
                  </w:pPr>
                  <w:r>
                    <w:rPr>
                      <w:color w:val="000000" w:themeColor="text1"/>
                      <w:sz w:val="21"/>
                      <w:szCs w:val="21"/>
                    </w:rPr>
                    <w:t>3</w:t>
                  </w:r>
                </w:p>
              </w:tc>
              <w:tc>
                <w:tcPr>
                  <w:tcW w:w="551" w:type="dxa"/>
                  <w:tcBorders>
                    <w:top w:val="single" w:color="auto" w:sz="4" w:space="0"/>
                    <w:left w:val="nil"/>
                    <w:bottom w:val="single" w:color="auto" w:sz="4" w:space="0"/>
                    <w:right w:val="single" w:color="auto" w:sz="4" w:space="0"/>
                  </w:tcBorders>
                  <w:vAlign w:val="center"/>
                </w:tcPr>
                <w:p w14:paraId="184EDA6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rPr>
                  </w:pPr>
                  <w:r>
                    <w:rPr>
                      <w:color w:val="000000" w:themeColor="text1"/>
                      <w:sz w:val="21"/>
                      <w:szCs w:val="21"/>
                    </w:rPr>
                    <w:t>地点</w:t>
                  </w:r>
                </w:p>
              </w:tc>
              <w:tc>
                <w:tcPr>
                  <w:tcW w:w="3880" w:type="dxa"/>
                  <w:tcBorders>
                    <w:top w:val="single" w:color="auto" w:sz="4" w:space="0"/>
                    <w:left w:val="nil"/>
                    <w:bottom w:val="single" w:color="auto" w:sz="4" w:space="0"/>
                    <w:right w:val="single" w:color="auto" w:sz="4" w:space="0"/>
                  </w:tcBorders>
                  <w:vAlign w:val="center"/>
                </w:tcPr>
                <w:p w14:paraId="0F61D4B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rPr>
                  </w:pPr>
                  <w:r>
                    <w:rPr>
                      <w:color w:val="000000" w:themeColor="text1"/>
                      <w:sz w:val="21"/>
                      <w:szCs w:val="21"/>
                    </w:rPr>
                    <w:t>重新选址；在原厂址附近调整（包括总平面布置变化）导致环境防护距离范围变化且新增敏感点的</w:t>
                  </w:r>
                </w:p>
              </w:tc>
              <w:tc>
                <w:tcPr>
                  <w:tcW w:w="2989" w:type="dxa"/>
                  <w:tcBorders>
                    <w:top w:val="single" w:color="auto" w:sz="4" w:space="0"/>
                    <w:left w:val="nil"/>
                    <w:bottom w:val="single" w:color="auto" w:sz="4" w:space="0"/>
                    <w:right w:val="single" w:color="auto" w:sz="4" w:space="0"/>
                  </w:tcBorders>
                  <w:vAlign w:val="center"/>
                </w:tcPr>
                <w:p w14:paraId="14D4CDC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color w:val="000000" w:themeColor="text1"/>
                      <w:sz w:val="21"/>
                      <w:szCs w:val="21"/>
                      <w:lang w:val="en-US" w:eastAsia="zh-CN"/>
                    </w:rPr>
                  </w:pPr>
                  <w:r>
                    <w:rPr>
                      <w:rFonts w:hint="eastAsia"/>
                      <w:color w:val="000000" w:themeColor="text1"/>
                      <w:sz w:val="21"/>
                      <w:szCs w:val="21"/>
                      <w:lang w:val="en-US" w:eastAsia="zh-CN"/>
                    </w:rPr>
                    <w:t>本项目属于重新选址</w:t>
                  </w:r>
                </w:p>
              </w:tc>
              <w:tc>
                <w:tcPr>
                  <w:tcW w:w="722" w:type="dxa"/>
                  <w:tcBorders>
                    <w:top w:val="single" w:color="auto" w:sz="4" w:space="0"/>
                    <w:left w:val="nil"/>
                    <w:bottom w:val="single" w:color="auto" w:sz="4" w:space="0"/>
                    <w:right w:val="single" w:color="auto" w:sz="4" w:space="0"/>
                  </w:tcBorders>
                  <w:vAlign w:val="center"/>
                </w:tcPr>
                <w:p w14:paraId="0A4E4E2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000000" w:themeColor="text1"/>
                      <w:sz w:val="21"/>
                      <w:szCs w:val="21"/>
                      <w:lang w:eastAsia="zh-CN"/>
                    </w:rPr>
                  </w:pPr>
                  <w:r>
                    <w:rPr>
                      <w:rFonts w:hint="eastAsia"/>
                      <w:color w:val="000000" w:themeColor="text1"/>
                      <w:sz w:val="21"/>
                      <w:szCs w:val="21"/>
                      <w:lang w:val="en-US" w:eastAsia="zh-CN"/>
                    </w:rPr>
                    <w:t>是</w:t>
                  </w:r>
                </w:p>
              </w:tc>
            </w:tr>
            <w:tr w14:paraId="6EF110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459" w:type="dxa"/>
                  <w:vMerge w:val="restart"/>
                  <w:tcBorders>
                    <w:top w:val="single" w:color="auto" w:sz="4" w:space="0"/>
                    <w:left w:val="single" w:color="auto" w:sz="4" w:space="0"/>
                    <w:right w:val="single" w:color="auto" w:sz="4" w:space="0"/>
                  </w:tcBorders>
                  <w:vAlign w:val="center"/>
                </w:tcPr>
                <w:p w14:paraId="4C66E9F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rPr>
                  </w:pPr>
                  <w:r>
                    <w:rPr>
                      <w:color w:val="000000" w:themeColor="text1"/>
                      <w:sz w:val="21"/>
                      <w:szCs w:val="21"/>
                    </w:rPr>
                    <w:t>4</w:t>
                  </w:r>
                </w:p>
              </w:tc>
              <w:tc>
                <w:tcPr>
                  <w:tcW w:w="551" w:type="dxa"/>
                  <w:vMerge w:val="restart"/>
                  <w:tcBorders>
                    <w:top w:val="single" w:color="auto" w:sz="4" w:space="0"/>
                    <w:left w:val="nil"/>
                    <w:right w:val="single" w:color="auto" w:sz="4" w:space="0"/>
                  </w:tcBorders>
                  <w:vAlign w:val="center"/>
                </w:tcPr>
                <w:p w14:paraId="75796C0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rPr>
                  </w:pPr>
                  <w:r>
                    <w:rPr>
                      <w:color w:val="000000" w:themeColor="text1"/>
                      <w:sz w:val="21"/>
                      <w:szCs w:val="21"/>
                    </w:rPr>
                    <w:t>生产工艺</w:t>
                  </w:r>
                </w:p>
              </w:tc>
              <w:tc>
                <w:tcPr>
                  <w:tcW w:w="3880" w:type="dxa"/>
                  <w:tcBorders>
                    <w:top w:val="single" w:color="auto" w:sz="4" w:space="0"/>
                    <w:left w:val="nil"/>
                    <w:bottom w:val="single" w:color="auto" w:sz="4" w:space="0"/>
                    <w:right w:val="single" w:color="auto" w:sz="4" w:space="0"/>
                  </w:tcBorders>
                  <w:vAlign w:val="center"/>
                </w:tcPr>
                <w:p w14:paraId="374950C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rPr>
                  </w:pPr>
                  <w:r>
                    <w:rPr>
                      <w:color w:val="000000" w:themeColor="text1"/>
                      <w:sz w:val="21"/>
                      <w:szCs w:val="21"/>
                    </w:rPr>
                    <w:t>新增产品品种或生产工艺、主要原辅材料、燃料变化，导致</w:t>
                  </w:r>
                  <w:r>
                    <w:rPr>
                      <w:rFonts w:hint="eastAsia"/>
                      <w:color w:val="000000" w:themeColor="text1"/>
                      <w:sz w:val="21"/>
                      <w:szCs w:val="21"/>
                      <w:lang w:val="en-US" w:eastAsia="zh-CN"/>
                    </w:rPr>
                    <w:t>以下情形之一</w:t>
                  </w:r>
                  <w:r>
                    <w:rPr>
                      <w:color w:val="000000" w:themeColor="text1"/>
                      <w:sz w:val="21"/>
                      <w:szCs w:val="21"/>
                    </w:rPr>
                    <w:t>：（1）新增排放污染物种类的；（2）位于环境质量不达标区的建设项目相应污染物排放量增加的；（3）废水第一类污染物排放量增加的；（4）其他污染物排放量增加10%及以上的</w:t>
                  </w:r>
                </w:p>
              </w:tc>
              <w:tc>
                <w:tcPr>
                  <w:tcW w:w="2989" w:type="dxa"/>
                  <w:tcBorders>
                    <w:top w:val="single" w:color="auto" w:sz="4" w:space="0"/>
                    <w:left w:val="nil"/>
                    <w:bottom w:val="single" w:color="auto" w:sz="4" w:space="0"/>
                    <w:right w:val="single" w:color="auto" w:sz="4" w:space="0"/>
                  </w:tcBorders>
                  <w:vAlign w:val="center"/>
                </w:tcPr>
                <w:p w14:paraId="6B3B811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color w:val="000000" w:themeColor="text1"/>
                      <w:sz w:val="21"/>
                      <w:szCs w:val="21"/>
                      <w:lang w:val="en-US" w:eastAsia="zh-CN"/>
                    </w:rPr>
                  </w:pPr>
                  <w:r>
                    <w:rPr>
                      <w:rFonts w:hint="eastAsia"/>
                      <w:color w:val="000000" w:themeColor="text1"/>
                      <w:sz w:val="21"/>
                      <w:szCs w:val="21"/>
                      <w:lang w:val="en-US" w:eastAsia="zh-CN"/>
                    </w:rPr>
                    <w:t>本项目不新增产品品种，生产工艺、主要原辅材料均未发生变化</w:t>
                  </w:r>
                </w:p>
              </w:tc>
              <w:tc>
                <w:tcPr>
                  <w:tcW w:w="722" w:type="dxa"/>
                  <w:tcBorders>
                    <w:top w:val="single" w:color="auto" w:sz="4" w:space="0"/>
                    <w:left w:val="nil"/>
                    <w:bottom w:val="single" w:color="auto" w:sz="4" w:space="0"/>
                    <w:right w:val="single" w:color="auto" w:sz="4" w:space="0"/>
                  </w:tcBorders>
                  <w:vAlign w:val="center"/>
                </w:tcPr>
                <w:p w14:paraId="1AC9A53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000000" w:themeColor="text1"/>
                      <w:sz w:val="21"/>
                      <w:szCs w:val="21"/>
                      <w:lang w:eastAsia="zh-CN"/>
                    </w:rPr>
                  </w:pPr>
                  <w:r>
                    <w:rPr>
                      <w:rFonts w:hint="eastAsia"/>
                      <w:color w:val="000000" w:themeColor="text1"/>
                      <w:sz w:val="21"/>
                      <w:szCs w:val="21"/>
                      <w:lang w:val="en-US" w:eastAsia="zh-CN"/>
                    </w:rPr>
                    <w:t>否</w:t>
                  </w:r>
                </w:p>
              </w:tc>
            </w:tr>
            <w:tr w14:paraId="7D51D0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59" w:type="dxa"/>
                  <w:vMerge w:val="continue"/>
                  <w:tcBorders>
                    <w:left w:val="single" w:color="auto" w:sz="4" w:space="0"/>
                    <w:bottom w:val="single" w:color="auto" w:sz="4" w:space="0"/>
                    <w:right w:val="single" w:color="auto" w:sz="4" w:space="0"/>
                  </w:tcBorders>
                  <w:vAlign w:val="center"/>
                </w:tcPr>
                <w:p w14:paraId="4D62C69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rPr>
                  </w:pPr>
                </w:p>
              </w:tc>
              <w:tc>
                <w:tcPr>
                  <w:tcW w:w="551" w:type="dxa"/>
                  <w:vMerge w:val="continue"/>
                  <w:tcBorders>
                    <w:left w:val="nil"/>
                    <w:bottom w:val="single" w:color="auto" w:sz="4" w:space="0"/>
                    <w:right w:val="single" w:color="auto" w:sz="4" w:space="0"/>
                  </w:tcBorders>
                  <w:vAlign w:val="center"/>
                </w:tcPr>
                <w:p w14:paraId="15B548E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rPr>
                  </w:pPr>
                </w:p>
              </w:tc>
              <w:tc>
                <w:tcPr>
                  <w:tcW w:w="3880" w:type="dxa"/>
                  <w:tcBorders>
                    <w:top w:val="single" w:color="auto" w:sz="4" w:space="0"/>
                    <w:left w:val="nil"/>
                    <w:bottom w:val="single" w:color="auto" w:sz="4" w:space="0"/>
                    <w:right w:val="single" w:color="auto" w:sz="4" w:space="0"/>
                  </w:tcBorders>
                  <w:vAlign w:val="center"/>
                </w:tcPr>
                <w:p w14:paraId="28BD0AC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21"/>
                      <w:szCs w:val="21"/>
                      <w:lang w:val="en-US" w:eastAsia="zh-CN"/>
                    </w:rPr>
                  </w:pPr>
                  <w:r>
                    <w:rPr>
                      <w:rFonts w:hint="eastAsia"/>
                      <w:color w:val="000000" w:themeColor="text1"/>
                      <w:sz w:val="21"/>
                      <w:szCs w:val="21"/>
                      <w:lang w:val="en-US" w:eastAsia="zh-CN"/>
                    </w:rPr>
                    <w:t>物料运输、装卸、贮存方式变化，导致大气污染物无组织排放量增加10%及以上的</w:t>
                  </w:r>
                </w:p>
              </w:tc>
              <w:tc>
                <w:tcPr>
                  <w:tcW w:w="2989" w:type="dxa"/>
                  <w:tcBorders>
                    <w:top w:val="single" w:color="auto" w:sz="4" w:space="0"/>
                    <w:left w:val="nil"/>
                    <w:right w:val="single" w:color="auto" w:sz="4" w:space="0"/>
                  </w:tcBorders>
                  <w:vAlign w:val="center"/>
                </w:tcPr>
                <w:p w14:paraId="7B3C08C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21"/>
                      <w:szCs w:val="21"/>
                      <w:lang w:val="en-US" w:eastAsia="zh-CN"/>
                    </w:rPr>
                  </w:pPr>
                  <w:r>
                    <w:rPr>
                      <w:rFonts w:hint="eastAsia"/>
                      <w:color w:val="000000" w:themeColor="text1"/>
                      <w:sz w:val="21"/>
                      <w:szCs w:val="21"/>
                      <w:lang w:val="en-US" w:eastAsia="zh-CN"/>
                    </w:rPr>
                    <w:t>项目物料运输、装卸、贮存方式未发生变化</w:t>
                  </w:r>
                </w:p>
              </w:tc>
              <w:tc>
                <w:tcPr>
                  <w:tcW w:w="722" w:type="dxa"/>
                  <w:tcBorders>
                    <w:top w:val="single" w:color="auto" w:sz="4" w:space="0"/>
                    <w:left w:val="nil"/>
                    <w:right w:val="single" w:color="auto" w:sz="4" w:space="0"/>
                  </w:tcBorders>
                  <w:vAlign w:val="center"/>
                </w:tcPr>
                <w:p w14:paraId="5C5E286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000000" w:themeColor="text1"/>
                      <w:sz w:val="21"/>
                      <w:szCs w:val="21"/>
                      <w:lang w:val="en-US" w:eastAsia="zh-CN"/>
                    </w:rPr>
                  </w:pPr>
                  <w:r>
                    <w:rPr>
                      <w:rFonts w:hint="eastAsia"/>
                      <w:color w:val="000000" w:themeColor="text1"/>
                      <w:sz w:val="21"/>
                      <w:szCs w:val="21"/>
                      <w:lang w:val="en-US" w:eastAsia="zh-CN"/>
                    </w:rPr>
                    <w:t>否</w:t>
                  </w:r>
                </w:p>
              </w:tc>
            </w:tr>
            <w:tr w14:paraId="287A13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59" w:type="dxa"/>
                  <w:vMerge w:val="restart"/>
                  <w:tcBorders>
                    <w:top w:val="single" w:color="auto" w:sz="4" w:space="0"/>
                    <w:left w:val="single" w:color="auto" w:sz="4" w:space="0"/>
                    <w:right w:val="single" w:color="auto" w:sz="4" w:space="0"/>
                  </w:tcBorders>
                  <w:vAlign w:val="center"/>
                </w:tcPr>
                <w:p w14:paraId="22018CA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rPr>
                  </w:pPr>
                  <w:r>
                    <w:rPr>
                      <w:color w:val="000000" w:themeColor="text1"/>
                      <w:sz w:val="21"/>
                      <w:szCs w:val="21"/>
                    </w:rPr>
                    <w:t>5</w:t>
                  </w:r>
                </w:p>
              </w:tc>
              <w:tc>
                <w:tcPr>
                  <w:tcW w:w="551" w:type="dxa"/>
                  <w:vMerge w:val="restart"/>
                  <w:tcBorders>
                    <w:top w:val="single" w:color="auto" w:sz="4" w:space="0"/>
                    <w:left w:val="nil"/>
                    <w:right w:val="single" w:color="auto" w:sz="4" w:space="0"/>
                  </w:tcBorders>
                  <w:vAlign w:val="center"/>
                </w:tcPr>
                <w:p w14:paraId="20E577D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rPr>
                  </w:pPr>
                  <w:r>
                    <w:rPr>
                      <w:color w:val="000000" w:themeColor="text1"/>
                      <w:sz w:val="21"/>
                      <w:szCs w:val="21"/>
                    </w:rPr>
                    <w:t>环境保护措施</w:t>
                  </w:r>
                </w:p>
              </w:tc>
              <w:tc>
                <w:tcPr>
                  <w:tcW w:w="3880" w:type="dxa"/>
                  <w:tcBorders>
                    <w:top w:val="single" w:color="auto" w:sz="4" w:space="0"/>
                    <w:left w:val="nil"/>
                    <w:bottom w:val="single" w:color="auto" w:sz="4" w:space="0"/>
                    <w:right w:val="single" w:color="auto" w:sz="4" w:space="0"/>
                  </w:tcBorders>
                  <w:vAlign w:val="center"/>
                </w:tcPr>
                <w:p w14:paraId="4877EC3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rPr>
                  </w:pPr>
                  <w:r>
                    <w:rPr>
                      <w:color w:val="000000" w:themeColor="text1"/>
                      <w:sz w:val="21"/>
                      <w:szCs w:val="21"/>
                    </w:rPr>
                    <w:t>废气、废水污染防治措施变化，导致第6条中所列情形之一（废气无组织排放改为有组织排放、污染防治措施强化或改进的除外）或大气污染物无组织排放量增加10%及以上的</w:t>
                  </w:r>
                </w:p>
              </w:tc>
              <w:tc>
                <w:tcPr>
                  <w:tcW w:w="2989" w:type="dxa"/>
                  <w:tcBorders>
                    <w:left w:val="nil"/>
                    <w:bottom w:val="single" w:color="auto" w:sz="4" w:space="0"/>
                    <w:right w:val="single" w:color="auto" w:sz="4" w:space="0"/>
                  </w:tcBorders>
                  <w:vAlign w:val="center"/>
                </w:tcPr>
                <w:p w14:paraId="6A8168A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21"/>
                      <w:szCs w:val="21"/>
                      <w:highlight w:val="none"/>
                      <w:vertAlign w:val="baseline"/>
                      <w:lang w:val="en-US" w:eastAsia="zh-CN"/>
                    </w:rPr>
                  </w:pPr>
                  <w:r>
                    <w:rPr>
                      <w:rFonts w:hint="eastAsia"/>
                      <w:color w:val="000000" w:themeColor="text1"/>
                      <w:sz w:val="21"/>
                      <w:szCs w:val="21"/>
                      <w:lang w:val="en-US" w:eastAsia="zh-CN"/>
                    </w:rPr>
                    <w:t>废气、废水污染防治措施未变化</w:t>
                  </w:r>
                </w:p>
              </w:tc>
              <w:tc>
                <w:tcPr>
                  <w:tcW w:w="722" w:type="dxa"/>
                  <w:tcBorders>
                    <w:left w:val="nil"/>
                    <w:bottom w:val="single" w:color="auto" w:sz="4" w:space="0"/>
                    <w:right w:val="single" w:color="auto" w:sz="4" w:space="0"/>
                  </w:tcBorders>
                  <w:vAlign w:val="center"/>
                </w:tcPr>
                <w:p w14:paraId="5BC0EF2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000000" w:themeColor="text1"/>
                      <w:sz w:val="21"/>
                      <w:szCs w:val="21"/>
                      <w:lang w:val="en-US" w:eastAsia="zh-CN"/>
                    </w:rPr>
                  </w:pPr>
                  <w:r>
                    <w:rPr>
                      <w:rFonts w:hint="eastAsia"/>
                      <w:color w:val="000000" w:themeColor="text1"/>
                      <w:sz w:val="21"/>
                      <w:szCs w:val="21"/>
                      <w:lang w:val="en-US" w:eastAsia="zh-CN"/>
                    </w:rPr>
                    <w:t>否</w:t>
                  </w:r>
                </w:p>
              </w:tc>
            </w:tr>
            <w:tr w14:paraId="7D084A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59" w:type="dxa"/>
                  <w:vMerge w:val="continue"/>
                  <w:tcBorders>
                    <w:left w:val="single" w:color="auto" w:sz="4" w:space="0"/>
                    <w:right w:val="single" w:color="auto" w:sz="4" w:space="0"/>
                  </w:tcBorders>
                  <w:vAlign w:val="center"/>
                </w:tcPr>
                <w:p w14:paraId="3B7F728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rPr>
                  </w:pPr>
                </w:p>
              </w:tc>
              <w:tc>
                <w:tcPr>
                  <w:tcW w:w="551" w:type="dxa"/>
                  <w:vMerge w:val="continue"/>
                  <w:tcBorders>
                    <w:left w:val="nil"/>
                    <w:right w:val="single" w:color="auto" w:sz="4" w:space="0"/>
                  </w:tcBorders>
                  <w:vAlign w:val="center"/>
                </w:tcPr>
                <w:p w14:paraId="3BD2F78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rPr>
                  </w:pPr>
                </w:p>
              </w:tc>
              <w:tc>
                <w:tcPr>
                  <w:tcW w:w="3880" w:type="dxa"/>
                  <w:tcBorders>
                    <w:top w:val="single" w:color="auto" w:sz="4" w:space="0"/>
                    <w:left w:val="nil"/>
                    <w:bottom w:val="single" w:color="auto" w:sz="4" w:space="0"/>
                    <w:right w:val="single" w:color="auto" w:sz="4" w:space="0"/>
                  </w:tcBorders>
                  <w:vAlign w:val="center"/>
                </w:tcPr>
                <w:p w14:paraId="33ADA6F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21"/>
                      <w:szCs w:val="21"/>
                      <w:lang w:val="en-US" w:eastAsia="zh-CN"/>
                    </w:rPr>
                  </w:pPr>
                  <w:r>
                    <w:rPr>
                      <w:rFonts w:hint="eastAsia"/>
                      <w:color w:val="000000" w:themeColor="text1"/>
                      <w:sz w:val="21"/>
                      <w:szCs w:val="21"/>
                      <w:lang w:val="en-US" w:eastAsia="zh-CN"/>
                    </w:rPr>
                    <w:t>新增废水直接排放口；废水由间接排放改为直接排放；废水直接排放口位置变化，导致不利环境影响加重的</w:t>
                  </w:r>
                </w:p>
              </w:tc>
              <w:tc>
                <w:tcPr>
                  <w:tcW w:w="2989" w:type="dxa"/>
                  <w:tcBorders>
                    <w:top w:val="single" w:color="auto" w:sz="4" w:space="0"/>
                    <w:left w:val="nil"/>
                    <w:bottom w:val="single" w:color="auto" w:sz="4" w:space="0"/>
                    <w:right w:val="single" w:color="auto" w:sz="4" w:space="0"/>
                  </w:tcBorders>
                  <w:vAlign w:val="center"/>
                </w:tcPr>
                <w:p w14:paraId="10C6E07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21"/>
                      <w:szCs w:val="21"/>
                      <w:lang w:val="en-US" w:eastAsia="zh-CN"/>
                    </w:rPr>
                  </w:pPr>
                  <w:r>
                    <w:rPr>
                      <w:rFonts w:hint="eastAsia"/>
                      <w:color w:val="000000" w:themeColor="text1"/>
                      <w:sz w:val="21"/>
                      <w:szCs w:val="21"/>
                      <w:lang w:val="en-US" w:eastAsia="zh-CN"/>
                    </w:rPr>
                    <w:t>本项目不涉及</w:t>
                  </w:r>
                </w:p>
              </w:tc>
              <w:tc>
                <w:tcPr>
                  <w:tcW w:w="722" w:type="dxa"/>
                  <w:tcBorders>
                    <w:top w:val="single" w:color="auto" w:sz="4" w:space="0"/>
                    <w:left w:val="nil"/>
                    <w:bottom w:val="single" w:color="auto" w:sz="4" w:space="0"/>
                    <w:right w:val="single" w:color="auto" w:sz="4" w:space="0"/>
                  </w:tcBorders>
                  <w:vAlign w:val="center"/>
                </w:tcPr>
                <w:p w14:paraId="280FC06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sz w:val="21"/>
                      <w:szCs w:val="21"/>
                      <w:lang w:val="en-US" w:eastAsia="zh-CN"/>
                    </w:rPr>
                  </w:pPr>
                  <w:r>
                    <w:rPr>
                      <w:rFonts w:hint="eastAsia"/>
                      <w:color w:val="000000" w:themeColor="text1"/>
                      <w:sz w:val="21"/>
                      <w:szCs w:val="21"/>
                      <w:lang w:val="en-US" w:eastAsia="zh-CN"/>
                    </w:rPr>
                    <w:t>否</w:t>
                  </w:r>
                </w:p>
              </w:tc>
            </w:tr>
            <w:tr w14:paraId="6A57E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59" w:type="dxa"/>
                  <w:vMerge w:val="continue"/>
                  <w:tcBorders>
                    <w:left w:val="single" w:color="auto" w:sz="4" w:space="0"/>
                    <w:right w:val="single" w:color="auto" w:sz="4" w:space="0"/>
                  </w:tcBorders>
                  <w:vAlign w:val="center"/>
                </w:tcPr>
                <w:p w14:paraId="1AB3C9C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rPr>
                  </w:pPr>
                </w:p>
              </w:tc>
              <w:tc>
                <w:tcPr>
                  <w:tcW w:w="551" w:type="dxa"/>
                  <w:vMerge w:val="continue"/>
                  <w:tcBorders>
                    <w:left w:val="nil"/>
                    <w:right w:val="single" w:color="auto" w:sz="4" w:space="0"/>
                  </w:tcBorders>
                  <w:vAlign w:val="center"/>
                </w:tcPr>
                <w:p w14:paraId="544E3D5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rPr>
                  </w:pPr>
                </w:p>
              </w:tc>
              <w:tc>
                <w:tcPr>
                  <w:tcW w:w="3880" w:type="dxa"/>
                  <w:tcBorders>
                    <w:top w:val="single" w:color="auto" w:sz="4" w:space="0"/>
                    <w:left w:val="nil"/>
                    <w:bottom w:val="single" w:color="auto" w:sz="4" w:space="0"/>
                    <w:right w:val="single" w:color="auto" w:sz="4" w:space="0"/>
                  </w:tcBorders>
                  <w:vAlign w:val="center"/>
                </w:tcPr>
                <w:p w14:paraId="7662DBF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21"/>
                      <w:szCs w:val="21"/>
                      <w:lang w:val="en-US" w:eastAsia="zh-CN"/>
                    </w:rPr>
                  </w:pPr>
                  <w:r>
                    <w:rPr>
                      <w:rFonts w:hint="eastAsia"/>
                      <w:color w:val="000000" w:themeColor="text1"/>
                      <w:sz w:val="21"/>
                      <w:szCs w:val="21"/>
                      <w:lang w:val="en-US" w:eastAsia="zh-CN"/>
                    </w:rPr>
                    <w:t>新增废气主要排放口（废气无组织排放改为有组织排放的除外）；主要排放口排气筒高度降低10%及以上的</w:t>
                  </w:r>
                </w:p>
              </w:tc>
              <w:tc>
                <w:tcPr>
                  <w:tcW w:w="2989" w:type="dxa"/>
                  <w:tcBorders>
                    <w:top w:val="single" w:color="auto" w:sz="4" w:space="0"/>
                    <w:left w:val="nil"/>
                    <w:bottom w:val="single" w:color="auto" w:sz="4" w:space="0"/>
                    <w:right w:val="single" w:color="auto" w:sz="4" w:space="0"/>
                  </w:tcBorders>
                  <w:vAlign w:val="center"/>
                </w:tcPr>
                <w:p w14:paraId="224B5B2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21"/>
                      <w:szCs w:val="21"/>
                      <w:lang w:val="en-US" w:eastAsia="zh-CN"/>
                    </w:rPr>
                  </w:pPr>
                  <w:r>
                    <w:rPr>
                      <w:rFonts w:hint="eastAsia"/>
                      <w:color w:val="000000" w:themeColor="text1"/>
                      <w:sz w:val="21"/>
                      <w:szCs w:val="21"/>
                      <w:lang w:val="en-US" w:eastAsia="zh-CN"/>
                    </w:rPr>
                    <w:t>本项目不涉及</w:t>
                  </w:r>
                </w:p>
              </w:tc>
              <w:tc>
                <w:tcPr>
                  <w:tcW w:w="722" w:type="dxa"/>
                  <w:tcBorders>
                    <w:top w:val="single" w:color="auto" w:sz="4" w:space="0"/>
                    <w:left w:val="nil"/>
                    <w:bottom w:val="single" w:color="auto" w:sz="4" w:space="0"/>
                    <w:right w:val="single" w:color="auto" w:sz="4" w:space="0"/>
                  </w:tcBorders>
                  <w:vAlign w:val="center"/>
                </w:tcPr>
                <w:p w14:paraId="592CEDD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sz w:val="21"/>
                      <w:szCs w:val="21"/>
                      <w:lang w:val="en-US" w:eastAsia="zh-CN"/>
                    </w:rPr>
                  </w:pPr>
                  <w:r>
                    <w:rPr>
                      <w:rFonts w:hint="eastAsia"/>
                      <w:color w:val="000000" w:themeColor="text1"/>
                      <w:sz w:val="21"/>
                      <w:szCs w:val="21"/>
                      <w:lang w:val="en-US" w:eastAsia="zh-CN"/>
                    </w:rPr>
                    <w:t>否</w:t>
                  </w:r>
                </w:p>
              </w:tc>
            </w:tr>
            <w:tr w14:paraId="378171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59" w:type="dxa"/>
                  <w:vMerge w:val="continue"/>
                  <w:tcBorders>
                    <w:left w:val="single" w:color="auto" w:sz="4" w:space="0"/>
                    <w:right w:val="single" w:color="auto" w:sz="4" w:space="0"/>
                  </w:tcBorders>
                  <w:vAlign w:val="center"/>
                </w:tcPr>
                <w:p w14:paraId="502DCDC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rPr>
                  </w:pPr>
                </w:p>
              </w:tc>
              <w:tc>
                <w:tcPr>
                  <w:tcW w:w="551" w:type="dxa"/>
                  <w:vMerge w:val="continue"/>
                  <w:tcBorders>
                    <w:left w:val="nil"/>
                    <w:right w:val="single" w:color="auto" w:sz="4" w:space="0"/>
                  </w:tcBorders>
                  <w:vAlign w:val="center"/>
                </w:tcPr>
                <w:p w14:paraId="0467E9A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rPr>
                  </w:pPr>
                </w:p>
              </w:tc>
              <w:tc>
                <w:tcPr>
                  <w:tcW w:w="3880" w:type="dxa"/>
                  <w:tcBorders>
                    <w:top w:val="single" w:color="auto" w:sz="4" w:space="0"/>
                    <w:left w:val="nil"/>
                    <w:bottom w:val="single" w:color="auto" w:sz="4" w:space="0"/>
                    <w:right w:val="single" w:color="auto" w:sz="4" w:space="0"/>
                  </w:tcBorders>
                  <w:vAlign w:val="center"/>
                </w:tcPr>
                <w:p w14:paraId="1274435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21"/>
                      <w:szCs w:val="21"/>
                      <w:lang w:val="en-US" w:eastAsia="zh-CN"/>
                    </w:rPr>
                  </w:pPr>
                  <w:r>
                    <w:rPr>
                      <w:rFonts w:hint="eastAsia"/>
                      <w:color w:val="000000" w:themeColor="text1"/>
                      <w:sz w:val="21"/>
                      <w:szCs w:val="21"/>
                      <w:lang w:val="en-US" w:eastAsia="zh-CN"/>
                    </w:rPr>
                    <w:t>噪声、土壤或地下水污染防治措施变化，导致不利环境影响加重的</w:t>
                  </w:r>
                </w:p>
              </w:tc>
              <w:tc>
                <w:tcPr>
                  <w:tcW w:w="2989" w:type="dxa"/>
                  <w:tcBorders>
                    <w:top w:val="single" w:color="auto" w:sz="4" w:space="0"/>
                    <w:left w:val="nil"/>
                    <w:bottom w:val="single" w:color="auto" w:sz="4" w:space="0"/>
                    <w:right w:val="single" w:color="auto" w:sz="4" w:space="0"/>
                  </w:tcBorders>
                  <w:vAlign w:val="center"/>
                </w:tcPr>
                <w:p w14:paraId="53474BC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21"/>
                      <w:szCs w:val="21"/>
                      <w:lang w:val="en-US" w:eastAsia="zh-CN"/>
                    </w:rPr>
                  </w:pPr>
                  <w:r>
                    <w:rPr>
                      <w:rFonts w:hint="eastAsia"/>
                      <w:color w:val="000000" w:themeColor="text1"/>
                      <w:sz w:val="21"/>
                      <w:szCs w:val="21"/>
                      <w:lang w:val="en-US" w:eastAsia="zh-CN"/>
                    </w:rPr>
                    <w:t>本项目不涉及</w:t>
                  </w:r>
                </w:p>
              </w:tc>
              <w:tc>
                <w:tcPr>
                  <w:tcW w:w="722" w:type="dxa"/>
                  <w:tcBorders>
                    <w:top w:val="single" w:color="auto" w:sz="4" w:space="0"/>
                    <w:left w:val="nil"/>
                    <w:bottom w:val="single" w:color="auto" w:sz="4" w:space="0"/>
                    <w:right w:val="single" w:color="auto" w:sz="4" w:space="0"/>
                  </w:tcBorders>
                  <w:vAlign w:val="center"/>
                </w:tcPr>
                <w:p w14:paraId="3033443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sz w:val="21"/>
                      <w:szCs w:val="21"/>
                      <w:lang w:val="en-US" w:eastAsia="zh-CN"/>
                    </w:rPr>
                  </w:pPr>
                  <w:r>
                    <w:rPr>
                      <w:rFonts w:hint="eastAsia"/>
                      <w:color w:val="000000" w:themeColor="text1"/>
                      <w:sz w:val="21"/>
                      <w:szCs w:val="21"/>
                      <w:lang w:val="en-US" w:eastAsia="zh-CN"/>
                    </w:rPr>
                    <w:t>否</w:t>
                  </w:r>
                </w:p>
              </w:tc>
            </w:tr>
            <w:tr w14:paraId="10098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59" w:type="dxa"/>
                  <w:vMerge w:val="continue"/>
                  <w:tcBorders>
                    <w:left w:val="single" w:color="auto" w:sz="4" w:space="0"/>
                    <w:right w:val="single" w:color="auto" w:sz="4" w:space="0"/>
                  </w:tcBorders>
                  <w:vAlign w:val="center"/>
                </w:tcPr>
                <w:p w14:paraId="483EC3B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rPr>
                  </w:pPr>
                </w:p>
              </w:tc>
              <w:tc>
                <w:tcPr>
                  <w:tcW w:w="551" w:type="dxa"/>
                  <w:vMerge w:val="continue"/>
                  <w:tcBorders>
                    <w:left w:val="nil"/>
                    <w:right w:val="single" w:color="auto" w:sz="4" w:space="0"/>
                  </w:tcBorders>
                  <w:vAlign w:val="center"/>
                </w:tcPr>
                <w:p w14:paraId="1A7A472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rPr>
                  </w:pPr>
                </w:p>
              </w:tc>
              <w:tc>
                <w:tcPr>
                  <w:tcW w:w="3880" w:type="dxa"/>
                  <w:tcBorders>
                    <w:top w:val="single" w:color="auto" w:sz="4" w:space="0"/>
                    <w:left w:val="nil"/>
                    <w:bottom w:val="single" w:color="auto" w:sz="4" w:space="0"/>
                    <w:right w:val="single" w:color="auto" w:sz="4" w:space="0"/>
                  </w:tcBorders>
                  <w:vAlign w:val="center"/>
                </w:tcPr>
                <w:p w14:paraId="0041232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21"/>
                      <w:szCs w:val="21"/>
                      <w:lang w:val="en-US" w:eastAsia="zh-CN"/>
                    </w:rPr>
                  </w:pPr>
                  <w:r>
                    <w:rPr>
                      <w:rFonts w:hint="eastAsia"/>
                      <w:color w:val="000000" w:themeColor="text1"/>
                      <w:sz w:val="21"/>
                      <w:szCs w:val="21"/>
                      <w:lang w:val="en-US" w:eastAsia="zh-CN"/>
                    </w:rPr>
                    <w:t>固体废物利用处置方式由委托外单位利用处置改为自行利用处置的（自行利用处置设施单独开展环境影响评价的除外）；固体废物自行处置方式变化，导致不利环境影响加重的</w:t>
                  </w:r>
                </w:p>
              </w:tc>
              <w:tc>
                <w:tcPr>
                  <w:tcW w:w="2989" w:type="dxa"/>
                  <w:tcBorders>
                    <w:top w:val="single" w:color="auto" w:sz="4" w:space="0"/>
                    <w:left w:val="nil"/>
                    <w:bottom w:val="single" w:color="auto" w:sz="4" w:space="0"/>
                    <w:right w:val="single" w:color="auto" w:sz="4" w:space="0"/>
                  </w:tcBorders>
                  <w:vAlign w:val="center"/>
                </w:tcPr>
                <w:p w14:paraId="7B452F8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21"/>
                      <w:szCs w:val="21"/>
                      <w:lang w:val="en-US" w:eastAsia="zh-CN"/>
                    </w:rPr>
                  </w:pPr>
                  <w:r>
                    <w:rPr>
                      <w:rFonts w:hint="eastAsia"/>
                      <w:color w:val="000000" w:themeColor="text1"/>
                      <w:sz w:val="21"/>
                      <w:szCs w:val="21"/>
                      <w:lang w:val="en-US" w:eastAsia="zh-CN"/>
                    </w:rPr>
                    <w:t>本项目不涉及</w:t>
                  </w:r>
                </w:p>
              </w:tc>
              <w:tc>
                <w:tcPr>
                  <w:tcW w:w="722" w:type="dxa"/>
                  <w:tcBorders>
                    <w:top w:val="single" w:color="auto" w:sz="4" w:space="0"/>
                    <w:left w:val="nil"/>
                    <w:bottom w:val="single" w:color="auto" w:sz="4" w:space="0"/>
                    <w:right w:val="single" w:color="auto" w:sz="4" w:space="0"/>
                  </w:tcBorders>
                  <w:vAlign w:val="center"/>
                </w:tcPr>
                <w:p w14:paraId="5E42ACE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sz w:val="21"/>
                      <w:szCs w:val="21"/>
                      <w:lang w:val="en-US" w:eastAsia="zh-CN"/>
                    </w:rPr>
                  </w:pPr>
                  <w:r>
                    <w:rPr>
                      <w:rFonts w:hint="eastAsia"/>
                      <w:color w:val="000000" w:themeColor="text1"/>
                      <w:sz w:val="21"/>
                      <w:szCs w:val="21"/>
                      <w:lang w:val="en-US" w:eastAsia="zh-CN"/>
                    </w:rPr>
                    <w:t>否</w:t>
                  </w:r>
                </w:p>
              </w:tc>
            </w:tr>
            <w:tr w14:paraId="248E85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59" w:type="dxa"/>
                  <w:vMerge w:val="continue"/>
                  <w:tcBorders>
                    <w:left w:val="single" w:color="auto" w:sz="4" w:space="0"/>
                    <w:right w:val="single" w:color="auto" w:sz="4" w:space="0"/>
                  </w:tcBorders>
                  <w:vAlign w:val="center"/>
                </w:tcPr>
                <w:p w14:paraId="4F43B6E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rPr>
                  </w:pPr>
                </w:p>
              </w:tc>
              <w:tc>
                <w:tcPr>
                  <w:tcW w:w="551" w:type="dxa"/>
                  <w:vMerge w:val="continue"/>
                  <w:tcBorders>
                    <w:left w:val="nil"/>
                    <w:right w:val="single" w:color="auto" w:sz="4" w:space="0"/>
                  </w:tcBorders>
                  <w:vAlign w:val="center"/>
                </w:tcPr>
                <w:p w14:paraId="63685BA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rPr>
                  </w:pPr>
                </w:p>
              </w:tc>
              <w:tc>
                <w:tcPr>
                  <w:tcW w:w="3880" w:type="dxa"/>
                  <w:tcBorders>
                    <w:top w:val="single" w:color="auto" w:sz="4" w:space="0"/>
                    <w:left w:val="nil"/>
                    <w:bottom w:val="single" w:color="auto" w:sz="4" w:space="0"/>
                    <w:right w:val="single" w:color="auto" w:sz="4" w:space="0"/>
                  </w:tcBorders>
                  <w:vAlign w:val="center"/>
                </w:tcPr>
                <w:p w14:paraId="3D9D43B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21"/>
                      <w:szCs w:val="21"/>
                      <w:lang w:val="en-US" w:eastAsia="zh-CN"/>
                    </w:rPr>
                  </w:pPr>
                  <w:r>
                    <w:rPr>
                      <w:rFonts w:hint="eastAsia"/>
                      <w:color w:val="000000" w:themeColor="text1"/>
                      <w:sz w:val="21"/>
                      <w:szCs w:val="21"/>
                      <w:lang w:val="en-US" w:eastAsia="zh-CN"/>
                    </w:rPr>
                    <w:t>事故废水暂存能力或拦截设施变化，导致环境风险防范能力弱化或降低的</w:t>
                  </w:r>
                </w:p>
              </w:tc>
              <w:tc>
                <w:tcPr>
                  <w:tcW w:w="2989" w:type="dxa"/>
                  <w:tcBorders>
                    <w:top w:val="single" w:color="auto" w:sz="4" w:space="0"/>
                    <w:left w:val="nil"/>
                    <w:bottom w:val="single" w:color="auto" w:sz="4" w:space="0"/>
                    <w:right w:val="single" w:color="auto" w:sz="4" w:space="0"/>
                  </w:tcBorders>
                  <w:vAlign w:val="center"/>
                </w:tcPr>
                <w:p w14:paraId="63E6EF3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000000" w:themeColor="text1"/>
                      <w:sz w:val="21"/>
                      <w:szCs w:val="21"/>
                      <w:lang w:val="en-US" w:eastAsia="zh-CN"/>
                    </w:rPr>
                  </w:pPr>
                  <w:r>
                    <w:rPr>
                      <w:rFonts w:hint="eastAsia"/>
                      <w:color w:val="000000" w:themeColor="text1"/>
                      <w:sz w:val="21"/>
                      <w:szCs w:val="21"/>
                      <w:lang w:val="en-US" w:eastAsia="zh-CN"/>
                    </w:rPr>
                    <w:t>本项目不涉及</w:t>
                  </w:r>
                </w:p>
              </w:tc>
              <w:tc>
                <w:tcPr>
                  <w:tcW w:w="722" w:type="dxa"/>
                  <w:tcBorders>
                    <w:top w:val="single" w:color="auto" w:sz="4" w:space="0"/>
                    <w:left w:val="nil"/>
                    <w:bottom w:val="single" w:color="auto" w:sz="4" w:space="0"/>
                    <w:right w:val="single" w:color="auto" w:sz="4" w:space="0"/>
                  </w:tcBorders>
                  <w:vAlign w:val="center"/>
                </w:tcPr>
                <w:p w14:paraId="1017E5A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sz w:val="21"/>
                      <w:szCs w:val="21"/>
                      <w:lang w:val="en-US" w:eastAsia="zh-CN"/>
                    </w:rPr>
                  </w:pPr>
                  <w:r>
                    <w:rPr>
                      <w:rFonts w:hint="eastAsia"/>
                      <w:color w:val="000000" w:themeColor="text1"/>
                      <w:sz w:val="21"/>
                      <w:szCs w:val="21"/>
                      <w:lang w:val="en-US" w:eastAsia="zh-CN"/>
                    </w:rPr>
                    <w:t>否</w:t>
                  </w:r>
                </w:p>
              </w:tc>
            </w:tr>
          </w:tbl>
          <w:p w14:paraId="24E46FEF">
            <w:pPr>
              <w:spacing w:line="360" w:lineRule="auto"/>
              <w:ind w:firstLine="420" w:firstLineChars="200"/>
              <w:rPr>
                <w:rFonts w:hint="eastAsia" w:ascii="Times New Roman" w:hAnsi="Times New Roman" w:eastAsia="宋体" w:cs="Times New Roman"/>
                <w:color w:val="000000" w:themeColor="text1"/>
                <w:sz w:val="24"/>
                <w:szCs w:val="24"/>
                <w:lang w:eastAsia="zh-CN"/>
              </w:rPr>
            </w:pPr>
            <w:r>
              <w:rPr>
                <w:rFonts w:hint="eastAsia"/>
                <w:bCs/>
                <w:color w:val="000000" w:themeColor="text1"/>
              </w:rPr>
              <w:t>根据上表可知，该项目属于重大变动，应报送原审批部门进行重新审批。</w:t>
            </w:r>
            <w:r>
              <w:rPr>
                <w:rFonts w:hint="default" w:ascii="Times New Roman" w:hAnsi="Times New Roman" w:eastAsia="宋体" w:cs="Times New Roman"/>
                <w:color w:val="000000" w:themeColor="text1"/>
                <w:sz w:val="24"/>
                <w:szCs w:val="24"/>
              </w:rPr>
              <w:t>根据《中华人民共和国环境影响评价法》、《中华人民共和国环境影响评价法》和《建设项目环境保护管理条例》等有关规定，建设单位必须就本项目办理环保相关手续。对照《建设项目环境影响评价分类管理名录(2021年版)》，本项目环境影响评价类别判定情况见下表</w:t>
            </w:r>
            <w:r>
              <w:rPr>
                <w:rFonts w:hint="eastAsia" w:ascii="Times New Roman" w:hAnsi="Times New Roman" w:eastAsia="宋体" w:cs="Times New Roman"/>
                <w:color w:val="000000" w:themeColor="text1"/>
                <w:sz w:val="24"/>
                <w:szCs w:val="24"/>
                <w:lang w:eastAsia="zh-CN"/>
              </w:rPr>
              <w:t>：</w:t>
            </w:r>
          </w:p>
          <w:p w14:paraId="55E79DFC">
            <w:pPr>
              <w:jc w:val="center"/>
              <w:rPr>
                <w:rFonts w:hint="default"/>
                <w:b/>
                <w:bCs/>
                <w:color w:val="000000" w:themeColor="text1"/>
                <w:sz w:val="24"/>
                <w:szCs w:val="24"/>
                <w:lang w:val="en-US" w:eastAsia="zh-CN"/>
              </w:rPr>
            </w:pPr>
            <w:r>
              <w:rPr>
                <w:b/>
                <w:bCs/>
                <w:color w:val="000000" w:themeColor="text1"/>
                <w:sz w:val="24"/>
                <w:szCs w:val="24"/>
              </w:rPr>
              <w:pict>
                <v:shape id="_x0000_s1034" o:spid="_x0000_s1034" o:spt="202" type="#_x0000_t202" style="position:absolute;left:0pt;margin-left:30.3pt;margin-top:13.9pt;height:20.5pt;width:80.5pt;z-index:251661312;mso-width-relative:page;mso-height-relative:page;" filled="f" stroked="f" coordsize="21600,21600">
                  <v:path/>
                  <v:fill on="f" focussize="0,0"/>
                  <v:stroke on="f"/>
                  <v:imagedata o:title=""/>
                  <o:lock v:ext="edit" aspectratio="f"/>
                  <v:textbox>
                    <w:txbxContent>
                      <w:p w14:paraId="5EC2F31E">
                        <w:pPr>
                          <w:rPr>
                            <w:rFonts w:hint="default" w:eastAsia="宋体"/>
                            <w:b/>
                            <w:bCs/>
                            <w:lang w:val="en-US" w:eastAsia="zh-CN"/>
                          </w:rPr>
                        </w:pPr>
                        <w:r>
                          <w:rPr>
                            <w:rFonts w:hint="eastAsia"/>
                            <w:b/>
                            <w:bCs/>
                            <w:lang w:val="en-US" w:eastAsia="zh-CN"/>
                          </w:rPr>
                          <w:t>环评类别</w:t>
                        </w:r>
                      </w:p>
                    </w:txbxContent>
                  </v:textbox>
                </v:shape>
              </w:pict>
            </w:r>
            <w:r>
              <w:rPr>
                <w:rFonts w:hint="default"/>
                <w:b/>
                <w:bCs/>
                <w:color w:val="000000" w:themeColor="text1"/>
                <w:sz w:val="24"/>
                <w:szCs w:val="24"/>
                <w:lang w:val="en-US" w:eastAsia="zh-CN"/>
              </w:rPr>
              <w:t>表2-</w:t>
            </w:r>
            <w:r>
              <w:rPr>
                <w:rFonts w:hint="eastAsia"/>
                <w:b/>
                <w:bCs/>
                <w:color w:val="000000" w:themeColor="text1"/>
                <w:sz w:val="24"/>
                <w:szCs w:val="24"/>
                <w:lang w:val="en-US" w:eastAsia="zh-CN"/>
              </w:rPr>
              <w:t>3</w:t>
            </w:r>
            <w:r>
              <w:rPr>
                <w:rFonts w:hint="default"/>
                <w:b/>
                <w:bCs/>
                <w:color w:val="000000" w:themeColor="text1"/>
                <w:sz w:val="24"/>
                <w:szCs w:val="24"/>
                <w:lang w:val="en-US" w:eastAsia="zh-CN"/>
              </w:rPr>
              <w:t xml:space="preserve">  项目环评类别判断情况表</w:t>
            </w:r>
          </w:p>
          <w:tbl>
            <w:tblPr>
              <w:tblStyle w:val="35"/>
              <w:tblW w:w="85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3"/>
              <w:gridCol w:w="2296"/>
              <w:gridCol w:w="1896"/>
              <w:gridCol w:w="920"/>
              <w:gridCol w:w="1704"/>
            </w:tblGrid>
            <w:tr w14:paraId="27B71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1703" w:type="dxa"/>
                  <w:vMerge w:val="restart"/>
                  <w:vAlign w:val="center"/>
                </w:tcPr>
                <w:p w14:paraId="7BA35175">
                  <w:pPr>
                    <w:pStyle w:val="30"/>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bCs/>
                      <w:color w:val="000000" w:themeColor="text1"/>
                      <w:spacing w:val="0"/>
                      <w:kern w:val="2"/>
                      <w:sz w:val="24"/>
                      <w:szCs w:val="24"/>
                      <w:vertAlign w:val="baseline"/>
                      <w:lang w:val="en-US" w:eastAsia="zh-CN" w:bidi="ar-SA"/>
                    </w:rPr>
                  </w:pPr>
                  <w:r>
                    <w:rPr>
                      <w:color w:val="000000" w:themeColor="text1"/>
                      <w:sz w:val="24"/>
                    </w:rPr>
                    <w:pict>
                      <v:shape id="_x0000_s1035" o:spid="_x0000_s1035" o:spt="202" type="#_x0000_t202" style="position:absolute;left:0pt;margin-left:-8.65pt;margin-top:12.2pt;height:20.5pt;width:80.5pt;z-index:251662336;mso-width-relative:page;mso-height-relative:page;" filled="f" stroked="f" coordsize="21600,21600">
                        <v:path/>
                        <v:fill on="f" focussize="0,0"/>
                        <v:stroke on="f"/>
                        <v:imagedata o:title=""/>
                        <o:lock v:ext="edit" aspectratio="f"/>
                        <v:textbox>
                          <w:txbxContent>
                            <w:p w14:paraId="665CBF4B">
                              <w:pPr>
                                <w:rPr>
                                  <w:rFonts w:hint="default" w:eastAsia="宋体"/>
                                  <w:b/>
                                  <w:bCs/>
                                  <w:lang w:val="en-US" w:eastAsia="zh-CN"/>
                                </w:rPr>
                              </w:pPr>
                              <w:r>
                                <w:rPr>
                                  <w:rFonts w:hint="eastAsia"/>
                                  <w:b/>
                                  <w:bCs/>
                                  <w:lang w:val="en-US" w:eastAsia="zh-CN"/>
                                </w:rPr>
                                <w:t>项目类别</w:t>
                              </w:r>
                            </w:p>
                          </w:txbxContent>
                        </v:textbox>
                      </v:shape>
                    </w:pict>
                  </w:r>
                  <w:r>
                    <w:rPr>
                      <w:color w:val="000000" w:themeColor="text1"/>
                      <w:sz w:val="24"/>
                    </w:rPr>
                    <w:pict>
                      <v:line id="_x0000_s1033" o:spid="_x0000_s1033" o:spt="20" style="position:absolute;left:0pt;margin-left:-5.5pt;margin-top:0.8pt;height:27.75pt;width:85.15pt;z-index:251660288;mso-width-relative:page;mso-height-relative:page;" fillcolor="#FFFFFF" filled="t" stroked="t" coordsize="21600,21600">
                        <v:path arrowok="t"/>
                        <v:fill on="t" color2="#FFFFFF" focussize="0,0"/>
                        <v:stroke color="#000000"/>
                        <v:imagedata o:title=""/>
                        <o:lock v:ext="edit" aspectratio="f"/>
                      </v:line>
                    </w:pict>
                  </w:r>
                </w:p>
              </w:tc>
              <w:tc>
                <w:tcPr>
                  <w:tcW w:w="5112" w:type="dxa"/>
                  <w:gridSpan w:val="3"/>
                  <w:vAlign w:val="center"/>
                </w:tcPr>
                <w:p w14:paraId="6F58F41D">
                  <w:pPr>
                    <w:jc w:val="center"/>
                    <w:rPr>
                      <w:rFonts w:hint="default" w:ascii="Times New Roman" w:hAnsi="Times New Roman" w:eastAsia="宋体" w:cs="Times New Roman"/>
                      <w:b/>
                      <w:bCs/>
                      <w:color w:val="000000" w:themeColor="text1"/>
                      <w:spacing w:val="0"/>
                      <w:kern w:val="2"/>
                      <w:sz w:val="24"/>
                      <w:szCs w:val="24"/>
                      <w:vertAlign w:val="baseline"/>
                      <w:lang w:val="en-US" w:eastAsia="zh-CN" w:bidi="ar-SA"/>
                    </w:rPr>
                  </w:pPr>
                  <w:r>
                    <w:rPr>
                      <w:rFonts w:hint="eastAsia" w:ascii="Times New Roman" w:hAnsi="Times New Roman" w:eastAsia="宋体" w:cs="Times New Roman"/>
                      <w:b/>
                      <w:bCs/>
                      <w:color w:val="000000" w:themeColor="text1"/>
                      <w:lang w:val="en-US" w:eastAsia="zh-CN"/>
                    </w:rPr>
                    <w:t>环境影响评价类别</w:t>
                  </w:r>
                </w:p>
              </w:tc>
              <w:tc>
                <w:tcPr>
                  <w:tcW w:w="1704" w:type="dxa"/>
                  <w:vMerge w:val="restart"/>
                  <w:vAlign w:val="center"/>
                </w:tcPr>
                <w:p w14:paraId="33FB5B7A">
                  <w:pPr>
                    <w:jc w:val="center"/>
                    <w:rPr>
                      <w:rFonts w:hint="default" w:ascii="Times New Roman" w:hAnsi="Times New Roman" w:eastAsia="宋体" w:cs="Times New Roman"/>
                      <w:b/>
                      <w:bCs/>
                      <w:color w:val="000000" w:themeColor="text1"/>
                      <w:spacing w:val="0"/>
                      <w:kern w:val="2"/>
                      <w:sz w:val="24"/>
                      <w:szCs w:val="24"/>
                      <w:vertAlign w:val="baseline"/>
                      <w:lang w:val="en-US" w:eastAsia="zh-CN" w:bidi="ar-SA"/>
                    </w:rPr>
                  </w:pPr>
                  <w:r>
                    <w:rPr>
                      <w:rFonts w:hint="default" w:ascii="Times New Roman" w:hAnsi="Times New Roman" w:eastAsia="宋体" w:cs="Times New Roman"/>
                      <w:b/>
                      <w:bCs/>
                      <w:color w:val="000000" w:themeColor="text1"/>
                      <w:lang w:val="en-US" w:eastAsia="zh-CN"/>
                    </w:rPr>
                    <w:t>本项目</w:t>
                  </w:r>
                </w:p>
              </w:tc>
            </w:tr>
            <w:tr w14:paraId="429DAD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3" w:type="dxa"/>
                  <w:vMerge w:val="continue"/>
                  <w:vAlign w:val="center"/>
                </w:tcPr>
                <w:p w14:paraId="26A93BEA">
                  <w:pPr>
                    <w:pStyle w:val="30"/>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bCs/>
                      <w:color w:val="000000" w:themeColor="text1"/>
                      <w:spacing w:val="0"/>
                      <w:kern w:val="2"/>
                      <w:sz w:val="24"/>
                      <w:szCs w:val="24"/>
                      <w:vertAlign w:val="baseline"/>
                      <w:lang w:val="en-US" w:eastAsia="zh-CN" w:bidi="ar-SA"/>
                    </w:rPr>
                  </w:pPr>
                </w:p>
              </w:tc>
              <w:tc>
                <w:tcPr>
                  <w:tcW w:w="2296" w:type="dxa"/>
                  <w:vAlign w:val="center"/>
                </w:tcPr>
                <w:p w14:paraId="47FE7BFA">
                  <w:pPr>
                    <w:jc w:val="center"/>
                    <w:rPr>
                      <w:rFonts w:hint="default" w:ascii="Times New Roman" w:hAnsi="Times New Roman" w:eastAsia="宋体" w:cs="Times New Roman"/>
                      <w:b/>
                      <w:bCs/>
                      <w:color w:val="000000" w:themeColor="text1"/>
                      <w:spacing w:val="0"/>
                      <w:kern w:val="2"/>
                      <w:sz w:val="24"/>
                      <w:szCs w:val="24"/>
                      <w:vertAlign w:val="baseline"/>
                      <w:lang w:val="en-US" w:eastAsia="zh-CN" w:bidi="ar-SA"/>
                    </w:rPr>
                  </w:pPr>
                  <w:r>
                    <w:rPr>
                      <w:rFonts w:hint="eastAsia" w:ascii="Times New Roman" w:hAnsi="Times New Roman" w:eastAsia="宋体" w:cs="Times New Roman"/>
                      <w:b/>
                      <w:bCs/>
                      <w:color w:val="000000" w:themeColor="text1"/>
                      <w:lang w:val="en-US" w:eastAsia="zh-CN"/>
                    </w:rPr>
                    <w:t>报告书</w:t>
                  </w:r>
                </w:p>
              </w:tc>
              <w:tc>
                <w:tcPr>
                  <w:tcW w:w="1896" w:type="dxa"/>
                  <w:vAlign w:val="center"/>
                </w:tcPr>
                <w:p w14:paraId="6ED4DE83">
                  <w:pPr>
                    <w:jc w:val="center"/>
                    <w:rPr>
                      <w:rFonts w:hint="default" w:ascii="Times New Roman" w:hAnsi="Times New Roman" w:eastAsia="宋体" w:cs="Times New Roman"/>
                      <w:b/>
                      <w:bCs/>
                      <w:color w:val="000000" w:themeColor="text1"/>
                      <w:spacing w:val="0"/>
                      <w:kern w:val="2"/>
                      <w:sz w:val="24"/>
                      <w:szCs w:val="24"/>
                      <w:vertAlign w:val="baseline"/>
                      <w:lang w:val="en-US" w:eastAsia="zh-CN" w:bidi="ar-SA"/>
                    </w:rPr>
                  </w:pPr>
                  <w:r>
                    <w:rPr>
                      <w:rFonts w:hint="eastAsia" w:ascii="Times New Roman" w:hAnsi="Times New Roman" w:eastAsia="宋体" w:cs="Times New Roman"/>
                      <w:b/>
                      <w:bCs/>
                      <w:color w:val="000000" w:themeColor="text1"/>
                      <w:lang w:val="en-US" w:eastAsia="zh-CN"/>
                    </w:rPr>
                    <w:t>报告表</w:t>
                  </w:r>
                </w:p>
              </w:tc>
              <w:tc>
                <w:tcPr>
                  <w:tcW w:w="920" w:type="dxa"/>
                  <w:vAlign w:val="center"/>
                </w:tcPr>
                <w:p w14:paraId="6C673F9D">
                  <w:pPr>
                    <w:jc w:val="center"/>
                    <w:rPr>
                      <w:rFonts w:hint="default" w:ascii="Times New Roman" w:hAnsi="Times New Roman" w:eastAsia="宋体" w:cs="Times New Roman"/>
                      <w:b/>
                      <w:bCs/>
                      <w:color w:val="000000" w:themeColor="text1"/>
                      <w:spacing w:val="0"/>
                      <w:kern w:val="2"/>
                      <w:sz w:val="24"/>
                      <w:szCs w:val="24"/>
                      <w:vertAlign w:val="baseline"/>
                      <w:lang w:val="en-US" w:eastAsia="zh-CN" w:bidi="ar-SA"/>
                    </w:rPr>
                  </w:pPr>
                  <w:r>
                    <w:rPr>
                      <w:rFonts w:hint="eastAsia" w:ascii="Times New Roman" w:hAnsi="Times New Roman" w:eastAsia="宋体" w:cs="Times New Roman"/>
                      <w:b/>
                      <w:bCs/>
                      <w:color w:val="000000" w:themeColor="text1"/>
                      <w:lang w:val="en-US" w:eastAsia="zh-CN"/>
                    </w:rPr>
                    <w:t>登记表</w:t>
                  </w:r>
                </w:p>
              </w:tc>
              <w:tc>
                <w:tcPr>
                  <w:tcW w:w="1704" w:type="dxa"/>
                  <w:vMerge w:val="continue"/>
                  <w:vAlign w:val="center"/>
                </w:tcPr>
                <w:p w14:paraId="6A430E5D">
                  <w:pPr>
                    <w:pStyle w:val="30"/>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bCs/>
                      <w:color w:val="000000" w:themeColor="text1"/>
                      <w:spacing w:val="0"/>
                      <w:kern w:val="2"/>
                      <w:sz w:val="24"/>
                      <w:szCs w:val="24"/>
                      <w:vertAlign w:val="baseline"/>
                      <w:lang w:val="en-US" w:eastAsia="zh-CN" w:bidi="ar-SA"/>
                    </w:rPr>
                  </w:pPr>
                </w:p>
              </w:tc>
            </w:tr>
            <w:tr w14:paraId="1F98E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9" w:type="dxa"/>
                  <w:gridSpan w:val="5"/>
                  <w:vAlign w:val="center"/>
                </w:tcPr>
                <w:p w14:paraId="04AEA1C5">
                  <w:pPr>
                    <w:jc w:val="left"/>
                    <w:rPr>
                      <w:rFonts w:hint="default" w:ascii="Times New Roman" w:hAnsi="Times New Roman" w:eastAsia="宋体" w:cs="Times New Roman"/>
                      <w:b/>
                      <w:bCs/>
                      <w:color w:val="000000" w:themeColor="text1"/>
                      <w:spacing w:val="0"/>
                      <w:kern w:val="2"/>
                      <w:sz w:val="24"/>
                      <w:szCs w:val="24"/>
                      <w:vertAlign w:val="baseline"/>
                      <w:lang w:val="en-US" w:eastAsia="zh-CN" w:bidi="ar-SA"/>
                    </w:rPr>
                  </w:pPr>
                  <w:r>
                    <w:rPr>
                      <w:rFonts w:hint="default" w:ascii="Times New Roman" w:hAnsi="Times New Roman" w:eastAsia="宋体" w:cs="Times New Roman"/>
                      <w:b/>
                      <w:bCs/>
                      <w:color w:val="000000" w:themeColor="text1"/>
                      <w:lang w:val="en-US" w:eastAsia="zh-CN"/>
                    </w:rPr>
                    <w:t>三十五、电气机械和器材制造业38</w:t>
                  </w:r>
                </w:p>
              </w:tc>
            </w:tr>
            <w:tr w14:paraId="4F47DF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3" w:type="dxa"/>
                  <w:vAlign w:val="center"/>
                </w:tcPr>
                <w:p w14:paraId="24DA2C99">
                  <w:pPr>
                    <w:jc w:val="center"/>
                    <w:rPr>
                      <w:rFonts w:hint="default" w:ascii="Times New Roman" w:hAnsi="Times New Roman" w:eastAsia="宋体" w:cs="Times New Roman"/>
                      <w:b/>
                      <w:bCs/>
                      <w:color w:val="000000" w:themeColor="text1"/>
                      <w:spacing w:val="0"/>
                      <w:kern w:val="2"/>
                      <w:sz w:val="24"/>
                      <w:szCs w:val="24"/>
                      <w:vertAlign w:val="baseline"/>
                      <w:lang w:val="en-US" w:eastAsia="zh-CN" w:bidi="ar-SA"/>
                    </w:rPr>
                  </w:pPr>
                  <w:r>
                    <w:rPr>
                      <w:rFonts w:hint="eastAsia" w:ascii="Times New Roman" w:hAnsi="Times New Roman" w:eastAsia="宋体" w:cs="Times New Roman"/>
                      <w:color w:val="000000" w:themeColor="text1"/>
                      <w:lang w:val="en-US" w:eastAsia="zh-CN"/>
                    </w:rPr>
                    <w:t>77.输配电及控制设备制造382</w:t>
                  </w:r>
                </w:p>
              </w:tc>
              <w:tc>
                <w:tcPr>
                  <w:tcW w:w="2296" w:type="dxa"/>
                  <w:vAlign w:val="center"/>
                </w:tcPr>
                <w:p w14:paraId="5B58EB3C">
                  <w:pPr>
                    <w:jc w:val="center"/>
                    <w:rPr>
                      <w:rFonts w:hint="default" w:ascii="Times New Roman" w:hAnsi="Times New Roman" w:eastAsia="宋体" w:cs="Times New Roman"/>
                      <w:b/>
                      <w:bCs/>
                      <w:color w:val="000000" w:themeColor="text1"/>
                      <w:spacing w:val="0"/>
                      <w:kern w:val="2"/>
                      <w:sz w:val="24"/>
                      <w:szCs w:val="24"/>
                      <w:vertAlign w:val="baseline"/>
                      <w:lang w:val="en-US" w:eastAsia="zh-CN" w:bidi="ar-SA"/>
                    </w:rPr>
                  </w:pPr>
                  <w:r>
                    <w:rPr>
                      <w:rFonts w:hint="eastAsia" w:ascii="Times New Roman" w:hAnsi="Times New Roman" w:eastAsia="宋体" w:cs="Times New Roman"/>
                      <w:color w:val="000000" w:themeColor="text1"/>
                      <w:lang w:val="en-US" w:eastAsia="zh-CN"/>
                    </w:rPr>
                    <w:t>铅蓄电池制造；太阳能电池片生产；有电镀工艺的；年用溶剂型涂料（含稀释剂）10吨及以上的</w:t>
                  </w:r>
                </w:p>
              </w:tc>
              <w:tc>
                <w:tcPr>
                  <w:tcW w:w="1896" w:type="dxa"/>
                  <w:vAlign w:val="center"/>
                </w:tcPr>
                <w:p w14:paraId="545B3BA2">
                  <w:pPr>
                    <w:jc w:val="center"/>
                    <w:rPr>
                      <w:rFonts w:hint="default" w:ascii="Times New Roman" w:hAnsi="Times New Roman" w:eastAsia="宋体" w:cs="Times New Roman"/>
                      <w:b/>
                      <w:bCs/>
                      <w:color w:val="000000" w:themeColor="text1"/>
                      <w:spacing w:val="0"/>
                      <w:kern w:val="2"/>
                      <w:sz w:val="24"/>
                      <w:szCs w:val="24"/>
                      <w:vertAlign w:val="baseline"/>
                      <w:lang w:val="en-US" w:eastAsia="zh-CN" w:bidi="ar-SA"/>
                    </w:rPr>
                  </w:pPr>
                  <w:r>
                    <w:rPr>
                      <w:rFonts w:hint="eastAsia" w:ascii="Times New Roman" w:hAnsi="Times New Roman" w:eastAsia="宋体" w:cs="Times New Roman"/>
                      <w:color w:val="000000" w:themeColor="text1"/>
                      <w:lang w:val="en-US" w:eastAsia="zh-CN"/>
                    </w:rPr>
                    <w:t>其他（仅分割、焊接、组装的除外；年用非溶剂型低VOCs含量涂料10吨以下的除外）</w:t>
                  </w:r>
                </w:p>
              </w:tc>
              <w:tc>
                <w:tcPr>
                  <w:tcW w:w="920" w:type="dxa"/>
                  <w:vAlign w:val="center"/>
                </w:tcPr>
                <w:p w14:paraId="56F328DF">
                  <w:pPr>
                    <w:jc w:val="center"/>
                    <w:rPr>
                      <w:rFonts w:hint="default" w:ascii="Times New Roman" w:hAnsi="Times New Roman" w:eastAsia="宋体" w:cs="Times New Roman"/>
                      <w:b/>
                      <w:bCs/>
                      <w:color w:val="000000" w:themeColor="text1"/>
                      <w:spacing w:val="0"/>
                      <w:kern w:val="2"/>
                      <w:sz w:val="24"/>
                      <w:szCs w:val="24"/>
                      <w:vertAlign w:val="baseline"/>
                      <w:lang w:val="en-US" w:eastAsia="zh-CN" w:bidi="ar-SA"/>
                    </w:rPr>
                  </w:pPr>
                  <w:r>
                    <w:rPr>
                      <w:rFonts w:hint="eastAsia" w:ascii="Times New Roman" w:hAnsi="Times New Roman" w:eastAsia="宋体" w:cs="Times New Roman"/>
                      <w:color w:val="000000" w:themeColor="text1"/>
                      <w:lang w:val="en-US" w:eastAsia="zh-CN"/>
                    </w:rPr>
                    <w:t>/</w:t>
                  </w:r>
                </w:p>
              </w:tc>
              <w:tc>
                <w:tcPr>
                  <w:tcW w:w="1704" w:type="dxa"/>
                  <w:vAlign w:val="center"/>
                </w:tcPr>
                <w:p w14:paraId="77422AA9">
                  <w:pPr>
                    <w:pStyle w:val="30"/>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b/>
                      <w:bCs/>
                      <w:color w:val="000000" w:themeColor="text1"/>
                      <w:spacing w:val="0"/>
                      <w:kern w:val="2"/>
                      <w:sz w:val="24"/>
                      <w:szCs w:val="24"/>
                      <w:vertAlign w:val="baseline"/>
                      <w:lang w:val="en-US" w:eastAsia="zh-CN" w:bidi="ar-SA"/>
                    </w:rPr>
                  </w:pPr>
                  <w:r>
                    <w:rPr>
                      <w:rFonts w:hint="eastAsia" w:ascii="Times New Roman" w:hAnsi="Times New Roman" w:eastAsia="宋体" w:cs="Times New Roman"/>
                      <w:color w:val="000000" w:themeColor="text1"/>
                      <w:spacing w:val="0"/>
                      <w:kern w:val="2"/>
                      <w:sz w:val="21"/>
                      <w:szCs w:val="21"/>
                      <w:lang w:val="en-US" w:eastAsia="zh-CN" w:bidi="ar-SA"/>
                    </w:rPr>
                    <w:t>本项目生产工艺还涉及浇筑、固化等</w:t>
                  </w:r>
                </w:p>
              </w:tc>
            </w:tr>
          </w:tbl>
          <w:p w14:paraId="76E5BDA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000000" w:themeColor="text1"/>
                <w:sz w:val="24"/>
                <w:szCs w:val="24"/>
                <w:lang w:val="en-US" w:eastAsia="zh-CN"/>
              </w:rPr>
            </w:pPr>
            <w:r>
              <w:rPr>
                <w:rFonts w:hint="eastAsia"/>
                <w:color w:val="000000" w:themeColor="text1"/>
                <w:sz w:val="24"/>
                <w:szCs w:val="24"/>
                <w:lang w:val="en-US" w:eastAsia="zh-CN"/>
              </w:rPr>
              <w:t>综上，本项目需编制环境影响报告表。</w:t>
            </w:r>
          </w:p>
          <w:p w14:paraId="0A7F6F7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000000" w:themeColor="text1"/>
                <w:sz w:val="24"/>
                <w:szCs w:val="24"/>
                <w:lang w:val="en-US" w:eastAsia="zh-CN"/>
              </w:rPr>
            </w:pPr>
            <w:r>
              <w:rPr>
                <w:rFonts w:hint="default"/>
                <w:color w:val="000000" w:themeColor="text1"/>
                <w:sz w:val="24"/>
                <w:szCs w:val="24"/>
                <w:lang w:val="en-US" w:eastAsia="zh-CN"/>
              </w:rPr>
              <w:t>对照《固定污染源排污许可分类管理名录》</w:t>
            </w:r>
            <w:r>
              <w:rPr>
                <w:rFonts w:hint="eastAsia"/>
                <w:color w:val="000000" w:themeColor="text1"/>
                <w:sz w:val="24"/>
                <w:szCs w:val="24"/>
                <w:lang w:val="en-US" w:eastAsia="zh-CN"/>
              </w:rPr>
              <w:t>（</w:t>
            </w:r>
            <w:r>
              <w:rPr>
                <w:rFonts w:hint="default"/>
                <w:color w:val="000000" w:themeColor="text1"/>
                <w:sz w:val="24"/>
                <w:szCs w:val="24"/>
                <w:lang w:val="en-US" w:eastAsia="zh-CN"/>
              </w:rPr>
              <w:t>2019年版</w:t>
            </w:r>
            <w:r>
              <w:rPr>
                <w:rFonts w:hint="eastAsia"/>
                <w:color w:val="000000" w:themeColor="text1"/>
                <w:sz w:val="24"/>
                <w:szCs w:val="24"/>
                <w:lang w:val="en-US" w:eastAsia="zh-CN"/>
              </w:rPr>
              <w:t>）</w:t>
            </w:r>
            <w:r>
              <w:rPr>
                <w:rFonts w:hint="default"/>
                <w:color w:val="000000" w:themeColor="text1"/>
                <w:sz w:val="24"/>
                <w:szCs w:val="24"/>
                <w:lang w:val="en-US" w:eastAsia="zh-CN"/>
              </w:rPr>
              <w:t>中相关内容，内容如下</w:t>
            </w:r>
            <w:r>
              <w:rPr>
                <w:rFonts w:hint="eastAsia"/>
                <w:color w:val="000000" w:themeColor="text1"/>
                <w:sz w:val="24"/>
                <w:szCs w:val="24"/>
                <w:lang w:val="en-US" w:eastAsia="zh-CN"/>
              </w:rPr>
              <w:t>：</w:t>
            </w:r>
          </w:p>
          <w:p w14:paraId="64D3E14F">
            <w:pPr>
              <w:jc w:val="center"/>
              <w:rPr>
                <w:rFonts w:hint="eastAsia"/>
                <w:b/>
                <w:bCs/>
                <w:color w:val="000000" w:themeColor="text1"/>
                <w:sz w:val="24"/>
                <w:szCs w:val="24"/>
                <w:lang w:val="en-US" w:eastAsia="zh-CN"/>
              </w:rPr>
            </w:pPr>
            <w:r>
              <w:rPr>
                <w:rFonts w:hint="eastAsia"/>
                <w:b/>
                <w:bCs/>
                <w:color w:val="000000" w:themeColor="text1"/>
                <w:sz w:val="24"/>
                <w:szCs w:val="24"/>
                <w:lang w:val="en-US" w:eastAsia="zh-CN"/>
              </w:rPr>
              <w:t>表2-4  固定污染源排污许可分类管理名录对照表</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4"/>
              <w:gridCol w:w="2259"/>
              <w:gridCol w:w="648"/>
              <w:gridCol w:w="1038"/>
              <w:gridCol w:w="2264"/>
              <w:gridCol w:w="761"/>
              <w:gridCol w:w="853"/>
            </w:tblGrid>
            <w:tr w14:paraId="5F432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342" w:type="pct"/>
                  <w:tcBorders>
                    <w:top w:val="single" w:color="auto" w:sz="4" w:space="0"/>
                    <w:left w:val="single" w:color="auto" w:sz="4" w:space="0"/>
                    <w:bottom w:val="single" w:color="auto" w:sz="4" w:space="0"/>
                    <w:right w:val="single" w:color="auto" w:sz="4" w:space="0"/>
                  </w:tcBorders>
                  <w:noWrap w:val="0"/>
                  <w:vAlign w:val="center"/>
                </w:tcPr>
                <w:p w14:paraId="71B9BC24">
                  <w:pPr>
                    <w:jc w:val="center"/>
                    <w:rPr>
                      <w:rFonts w:ascii="Times New Roman" w:hAnsi="Times New Roman" w:cs="Times New Roman"/>
                      <w:b/>
                      <w:bCs/>
                      <w:color w:val="000000" w:themeColor="text1"/>
                    </w:rPr>
                  </w:pPr>
                  <w:r>
                    <w:rPr>
                      <w:rFonts w:ascii="Times New Roman" w:hAnsi="Times New Roman" w:cs="Times New Roman"/>
                      <w:b/>
                      <w:bCs/>
                      <w:color w:val="000000" w:themeColor="text1"/>
                    </w:rPr>
                    <w:t>序号</w:t>
                  </w:r>
                </w:p>
              </w:tc>
              <w:tc>
                <w:tcPr>
                  <w:tcW w:w="1345" w:type="pct"/>
                  <w:tcBorders>
                    <w:top w:val="single" w:color="auto" w:sz="4" w:space="0"/>
                    <w:left w:val="single" w:color="auto" w:sz="4" w:space="0"/>
                    <w:bottom w:val="single" w:color="auto" w:sz="4" w:space="0"/>
                    <w:right w:val="single" w:color="auto" w:sz="4" w:space="0"/>
                  </w:tcBorders>
                  <w:noWrap w:val="0"/>
                  <w:vAlign w:val="center"/>
                </w:tcPr>
                <w:p w14:paraId="23A2B316">
                  <w:pPr>
                    <w:jc w:val="center"/>
                    <w:rPr>
                      <w:rFonts w:ascii="Times New Roman" w:hAnsi="Times New Roman" w:cs="Times New Roman"/>
                      <w:b/>
                      <w:bCs/>
                      <w:color w:val="000000" w:themeColor="text1"/>
                    </w:rPr>
                  </w:pPr>
                  <w:r>
                    <w:rPr>
                      <w:rFonts w:ascii="Times New Roman" w:hAnsi="Times New Roman" w:cs="Times New Roman"/>
                      <w:b/>
                      <w:bCs/>
                      <w:color w:val="000000" w:themeColor="text1"/>
                    </w:rPr>
                    <w:t>行业类别</w:t>
                  </w:r>
                </w:p>
              </w:tc>
              <w:tc>
                <w:tcPr>
                  <w:tcW w:w="386" w:type="pct"/>
                  <w:tcBorders>
                    <w:top w:val="single" w:color="auto" w:sz="4" w:space="0"/>
                    <w:left w:val="single" w:color="auto" w:sz="4" w:space="0"/>
                    <w:bottom w:val="single" w:color="auto" w:sz="4" w:space="0"/>
                    <w:right w:val="single" w:color="auto" w:sz="4" w:space="0"/>
                  </w:tcBorders>
                  <w:noWrap w:val="0"/>
                  <w:vAlign w:val="center"/>
                </w:tcPr>
                <w:p w14:paraId="71D6CC77">
                  <w:pPr>
                    <w:jc w:val="center"/>
                    <w:rPr>
                      <w:rFonts w:ascii="Times New Roman" w:hAnsi="Times New Roman" w:cs="Times New Roman"/>
                      <w:b/>
                      <w:bCs/>
                      <w:color w:val="000000" w:themeColor="text1"/>
                    </w:rPr>
                  </w:pPr>
                  <w:r>
                    <w:rPr>
                      <w:rFonts w:ascii="Times New Roman" w:hAnsi="Times New Roman" w:cs="Times New Roman"/>
                      <w:b/>
                      <w:bCs/>
                      <w:color w:val="000000" w:themeColor="text1"/>
                      <w:kern w:val="0"/>
                      <w:szCs w:val="20"/>
                    </w:rPr>
                    <w:t>本项目行业类别</w:t>
                  </w:r>
                </w:p>
              </w:tc>
              <w:tc>
                <w:tcPr>
                  <w:tcW w:w="618" w:type="pct"/>
                  <w:tcBorders>
                    <w:top w:val="single" w:color="auto" w:sz="4" w:space="0"/>
                    <w:left w:val="single" w:color="auto" w:sz="4" w:space="0"/>
                    <w:bottom w:val="single" w:color="auto" w:sz="4" w:space="0"/>
                    <w:right w:val="single" w:color="auto" w:sz="4" w:space="0"/>
                  </w:tcBorders>
                  <w:noWrap w:val="0"/>
                  <w:vAlign w:val="center"/>
                </w:tcPr>
                <w:p w14:paraId="26F8E1F5">
                  <w:pPr>
                    <w:jc w:val="center"/>
                    <w:rPr>
                      <w:rFonts w:ascii="Times New Roman" w:hAnsi="Times New Roman" w:cs="Times New Roman"/>
                      <w:b/>
                      <w:bCs/>
                      <w:color w:val="000000" w:themeColor="text1"/>
                    </w:rPr>
                  </w:pPr>
                  <w:r>
                    <w:rPr>
                      <w:rFonts w:ascii="Times New Roman" w:hAnsi="Times New Roman" w:cs="Times New Roman"/>
                      <w:b/>
                      <w:bCs/>
                      <w:color w:val="000000" w:themeColor="text1"/>
                    </w:rPr>
                    <w:t>重点管理</w:t>
                  </w:r>
                </w:p>
              </w:tc>
              <w:tc>
                <w:tcPr>
                  <w:tcW w:w="1348" w:type="pct"/>
                  <w:tcBorders>
                    <w:top w:val="single" w:color="auto" w:sz="4" w:space="0"/>
                    <w:left w:val="single" w:color="auto" w:sz="4" w:space="0"/>
                    <w:bottom w:val="single" w:color="auto" w:sz="4" w:space="0"/>
                    <w:right w:val="single" w:color="auto" w:sz="4" w:space="0"/>
                  </w:tcBorders>
                  <w:noWrap w:val="0"/>
                  <w:vAlign w:val="center"/>
                </w:tcPr>
                <w:p w14:paraId="48705B95">
                  <w:pPr>
                    <w:jc w:val="center"/>
                    <w:rPr>
                      <w:rFonts w:ascii="Times New Roman" w:hAnsi="Times New Roman" w:cs="Times New Roman"/>
                      <w:b/>
                      <w:bCs/>
                      <w:color w:val="000000" w:themeColor="text1"/>
                    </w:rPr>
                  </w:pPr>
                  <w:r>
                    <w:rPr>
                      <w:rFonts w:ascii="Times New Roman" w:hAnsi="Times New Roman" w:cs="Times New Roman"/>
                      <w:b/>
                      <w:bCs/>
                      <w:color w:val="000000" w:themeColor="text1"/>
                    </w:rPr>
                    <w:t>简化管理</w:t>
                  </w:r>
                </w:p>
              </w:tc>
              <w:tc>
                <w:tcPr>
                  <w:tcW w:w="453" w:type="pct"/>
                  <w:tcBorders>
                    <w:top w:val="single" w:color="auto" w:sz="4" w:space="0"/>
                    <w:left w:val="single" w:color="auto" w:sz="4" w:space="0"/>
                    <w:bottom w:val="single" w:color="auto" w:sz="4" w:space="0"/>
                    <w:right w:val="single" w:color="auto" w:sz="4" w:space="0"/>
                  </w:tcBorders>
                  <w:noWrap w:val="0"/>
                  <w:vAlign w:val="center"/>
                </w:tcPr>
                <w:p w14:paraId="198C5DF8">
                  <w:pPr>
                    <w:jc w:val="center"/>
                    <w:rPr>
                      <w:rFonts w:ascii="Times New Roman" w:hAnsi="Times New Roman" w:cs="Times New Roman"/>
                      <w:b/>
                      <w:bCs/>
                      <w:color w:val="000000" w:themeColor="text1"/>
                    </w:rPr>
                  </w:pPr>
                  <w:r>
                    <w:rPr>
                      <w:rFonts w:ascii="Times New Roman" w:hAnsi="Times New Roman" w:cs="Times New Roman"/>
                      <w:b/>
                      <w:bCs/>
                      <w:color w:val="000000" w:themeColor="text1"/>
                    </w:rPr>
                    <w:t>登记管理</w:t>
                  </w:r>
                </w:p>
              </w:tc>
              <w:tc>
                <w:tcPr>
                  <w:tcW w:w="503" w:type="pct"/>
                  <w:tcBorders>
                    <w:top w:val="single" w:color="auto" w:sz="4" w:space="0"/>
                    <w:left w:val="single" w:color="auto" w:sz="4" w:space="0"/>
                    <w:bottom w:val="single" w:color="auto" w:sz="4" w:space="0"/>
                    <w:right w:val="single" w:color="auto" w:sz="4" w:space="0"/>
                  </w:tcBorders>
                  <w:noWrap w:val="0"/>
                  <w:vAlign w:val="center"/>
                </w:tcPr>
                <w:p w14:paraId="189BD4A2">
                  <w:pPr>
                    <w:jc w:val="center"/>
                    <w:rPr>
                      <w:rFonts w:ascii="Times New Roman" w:hAnsi="Times New Roman" w:cs="Times New Roman"/>
                      <w:b/>
                      <w:bCs/>
                      <w:color w:val="000000" w:themeColor="text1"/>
                    </w:rPr>
                  </w:pPr>
                  <w:r>
                    <w:rPr>
                      <w:rFonts w:ascii="Times New Roman" w:hAnsi="Times New Roman" w:cs="Times New Roman"/>
                      <w:b/>
                      <w:bCs/>
                      <w:color w:val="000000" w:themeColor="text1"/>
                    </w:rPr>
                    <w:t>本项目类别</w:t>
                  </w:r>
                </w:p>
              </w:tc>
            </w:tr>
            <w:tr w14:paraId="75BE40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5000" w:type="pct"/>
                  <w:gridSpan w:val="7"/>
                  <w:tcBorders>
                    <w:top w:val="single" w:color="auto" w:sz="4" w:space="0"/>
                    <w:left w:val="single" w:color="auto" w:sz="4" w:space="0"/>
                    <w:bottom w:val="single" w:color="auto" w:sz="4" w:space="0"/>
                    <w:right w:val="single" w:color="auto" w:sz="4" w:space="0"/>
                  </w:tcBorders>
                  <w:noWrap w:val="0"/>
                  <w:vAlign w:val="center"/>
                </w:tcPr>
                <w:p w14:paraId="0C0B193C">
                  <w:pPr>
                    <w:jc w:val="left"/>
                    <w:rPr>
                      <w:rFonts w:hint="default" w:ascii="Times New Roman" w:hAnsi="Times New Roman" w:cs="Times New Roman"/>
                      <w:color w:val="000000" w:themeColor="text1"/>
                      <w:lang w:val="en-US"/>
                    </w:rPr>
                  </w:pPr>
                  <w:r>
                    <w:rPr>
                      <w:rFonts w:ascii="Times New Roman" w:hAnsi="Times New Roman" w:cs="Times New Roman"/>
                      <w:b/>
                      <w:bCs/>
                      <w:color w:val="000000" w:themeColor="text1"/>
                    </w:rPr>
                    <w:t>三十</w:t>
                  </w:r>
                  <w:r>
                    <w:rPr>
                      <w:rFonts w:hint="eastAsia" w:ascii="Times New Roman" w:hAnsi="Times New Roman" w:cs="Times New Roman"/>
                      <w:b/>
                      <w:bCs/>
                      <w:color w:val="000000" w:themeColor="text1"/>
                      <w:lang w:val="en-US" w:eastAsia="zh-CN"/>
                    </w:rPr>
                    <w:t>三</w:t>
                  </w:r>
                  <w:r>
                    <w:rPr>
                      <w:rFonts w:ascii="Times New Roman" w:hAnsi="Times New Roman" w:cs="Times New Roman"/>
                      <w:b/>
                      <w:bCs/>
                      <w:color w:val="000000" w:themeColor="text1"/>
                    </w:rPr>
                    <w:t>、</w:t>
                  </w:r>
                  <w:r>
                    <w:rPr>
                      <w:rFonts w:hint="eastAsia" w:ascii="Times New Roman" w:hAnsi="Times New Roman" w:cs="Times New Roman"/>
                      <w:b/>
                      <w:bCs/>
                      <w:color w:val="000000" w:themeColor="text1"/>
                      <w:lang w:val="en-US" w:eastAsia="zh-CN"/>
                    </w:rPr>
                    <w:t>电气机械和器材制造业40</w:t>
                  </w:r>
                </w:p>
              </w:tc>
            </w:tr>
            <w:tr w14:paraId="2F137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342" w:type="pct"/>
                  <w:tcBorders>
                    <w:top w:val="single" w:color="auto" w:sz="4" w:space="0"/>
                    <w:left w:val="single" w:color="auto" w:sz="4" w:space="0"/>
                    <w:bottom w:val="single" w:color="auto" w:sz="4" w:space="0"/>
                    <w:right w:val="single" w:color="auto" w:sz="4" w:space="0"/>
                  </w:tcBorders>
                  <w:noWrap w:val="0"/>
                  <w:vAlign w:val="center"/>
                </w:tcPr>
                <w:p w14:paraId="5AE4CE70">
                  <w:pPr>
                    <w:jc w:val="center"/>
                    <w:rPr>
                      <w:rFonts w:hint="default" w:ascii="Times New Roman" w:hAnsi="Times New Roman" w:eastAsia="宋体" w:cs="Times New Roman"/>
                      <w:color w:val="000000" w:themeColor="text1"/>
                      <w:lang w:val="en-US" w:eastAsia="zh-CN"/>
                    </w:rPr>
                  </w:pPr>
                  <w:r>
                    <w:rPr>
                      <w:rFonts w:hint="eastAsia" w:ascii="Times New Roman" w:hAnsi="Times New Roman" w:cs="Times New Roman"/>
                      <w:color w:val="000000" w:themeColor="text1"/>
                      <w:lang w:val="en-US" w:eastAsia="zh-CN"/>
                    </w:rPr>
                    <w:t>87</w:t>
                  </w:r>
                </w:p>
              </w:tc>
              <w:tc>
                <w:tcPr>
                  <w:tcW w:w="1345" w:type="pct"/>
                  <w:tcBorders>
                    <w:top w:val="single" w:color="auto" w:sz="4" w:space="0"/>
                    <w:left w:val="single" w:color="auto" w:sz="4" w:space="0"/>
                    <w:bottom w:val="single" w:color="auto" w:sz="4" w:space="0"/>
                    <w:right w:val="single" w:color="auto" w:sz="4" w:space="0"/>
                  </w:tcBorders>
                  <w:noWrap w:val="0"/>
                  <w:vAlign w:val="center"/>
                </w:tcPr>
                <w:p w14:paraId="4D9B0777">
                  <w:pPr>
                    <w:jc w:val="center"/>
                    <w:rPr>
                      <w:rFonts w:hint="default" w:ascii="Times New Roman" w:hAnsi="Times New Roman" w:eastAsia="宋体" w:cs="Times New Roman"/>
                      <w:color w:val="000000" w:themeColor="text1"/>
                      <w:lang w:val="en-US" w:eastAsia="zh-CN"/>
                    </w:rPr>
                  </w:pPr>
                  <w:r>
                    <w:rPr>
                      <w:rFonts w:hint="eastAsia" w:ascii="Times New Roman" w:hAnsi="Times New Roman" w:cs="Times New Roman"/>
                      <w:color w:val="000000" w:themeColor="text1"/>
                      <w:lang w:val="en-US" w:eastAsia="zh-CN"/>
                    </w:rPr>
                    <w:t>电机制造381，输配电及控制设备制造382，电线、电缆及电工器材制造383，家用电力器具制造386，照明器具制造387，其他电气机械及器材制造389</w:t>
                  </w:r>
                </w:p>
              </w:tc>
              <w:tc>
                <w:tcPr>
                  <w:tcW w:w="386" w:type="pct"/>
                  <w:tcBorders>
                    <w:top w:val="single" w:color="auto" w:sz="4" w:space="0"/>
                    <w:left w:val="single" w:color="auto" w:sz="4" w:space="0"/>
                    <w:bottom w:val="single" w:color="auto" w:sz="4" w:space="0"/>
                    <w:right w:val="single" w:color="auto" w:sz="4" w:space="0"/>
                  </w:tcBorders>
                  <w:noWrap w:val="0"/>
                  <w:vAlign w:val="center"/>
                </w:tcPr>
                <w:p w14:paraId="0D983D5D">
                  <w:pPr>
                    <w:jc w:val="center"/>
                    <w:rPr>
                      <w:rFonts w:ascii="Times New Roman" w:hAnsi="Times New Roman" w:cs="Times New Roman"/>
                      <w:color w:val="000000" w:themeColor="text1"/>
                      <w:kern w:val="0"/>
                      <w:szCs w:val="20"/>
                    </w:rPr>
                  </w:pPr>
                  <w:r>
                    <w:rPr>
                      <w:rFonts w:ascii="Times New Roman" w:hAnsi="Times New Roman" w:cs="Times New Roman"/>
                      <w:color w:val="000000" w:themeColor="text1"/>
                    </w:rPr>
                    <w:t>输配电及控制设备制造382</w:t>
                  </w:r>
                </w:p>
              </w:tc>
              <w:tc>
                <w:tcPr>
                  <w:tcW w:w="618" w:type="pct"/>
                  <w:tcBorders>
                    <w:top w:val="single" w:color="auto" w:sz="4" w:space="0"/>
                    <w:left w:val="single" w:color="auto" w:sz="4" w:space="0"/>
                    <w:bottom w:val="single" w:color="auto" w:sz="4" w:space="0"/>
                    <w:right w:val="single" w:color="auto" w:sz="4" w:space="0"/>
                  </w:tcBorders>
                  <w:noWrap w:val="0"/>
                  <w:vAlign w:val="center"/>
                </w:tcPr>
                <w:p w14:paraId="23A98D22">
                  <w:pPr>
                    <w:jc w:val="center"/>
                    <w:rPr>
                      <w:rFonts w:ascii="Times New Roman" w:hAnsi="Times New Roman" w:cs="Times New Roman"/>
                      <w:color w:val="000000" w:themeColor="text1"/>
                    </w:rPr>
                  </w:pPr>
                  <w:r>
                    <w:rPr>
                      <w:rFonts w:ascii="Times New Roman" w:hAnsi="Times New Roman" w:cs="Times New Roman"/>
                      <w:color w:val="000000" w:themeColor="text1"/>
                    </w:rPr>
                    <w:t>涉及通用工序重点管理的</w:t>
                  </w:r>
                </w:p>
              </w:tc>
              <w:tc>
                <w:tcPr>
                  <w:tcW w:w="1348" w:type="pct"/>
                  <w:tcBorders>
                    <w:top w:val="single" w:color="auto" w:sz="4" w:space="0"/>
                    <w:left w:val="single" w:color="auto" w:sz="4" w:space="0"/>
                    <w:bottom w:val="single" w:color="auto" w:sz="4" w:space="0"/>
                    <w:right w:val="single" w:color="auto" w:sz="4" w:space="0"/>
                  </w:tcBorders>
                  <w:noWrap w:val="0"/>
                  <w:vAlign w:val="center"/>
                </w:tcPr>
                <w:p w14:paraId="0EC6B5F9">
                  <w:pPr>
                    <w:jc w:val="center"/>
                    <w:rPr>
                      <w:rFonts w:ascii="Times New Roman" w:hAnsi="Times New Roman" w:cs="Times New Roman"/>
                      <w:color w:val="000000" w:themeColor="text1"/>
                    </w:rPr>
                  </w:pPr>
                  <w:r>
                    <w:rPr>
                      <w:rFonts w:ascii="Times New Roman" w:hAnsi="Times New Roman" w:cs="Times New Roman"/>
                      <w:color w:val="000000" w:themeColor="text1"/>
                    </w:rPr>
                    <w:t>涉及通用工序简化管理的</w:t>
                  </w:r>
                </w:p>
              </w:tc>
              <w:tc>
                <w:tcPr>
                  <w:tcW w:w="453" w:type="pct"/>
                  <w:tcBorders>
                    <w:top w:val="single" w:color="auto" w:sz="4" w:space="0"/>
                    <w:left w:val="single" w:color="auto" w:sz="4" w:space="0"/>
                    <w:bottom w:val="single" w:color="auto" w:sz="4" w:space="0"/>
                    <w:right w:val="single" w:color="auto" w:sz="4" w:space="0"/>
                  </w:tcBorders>
                  <w:noWrap w:val="0"/>
                  <w:vAlign w:val="center"/>
                </w:tcPr>
                <w:p w14:paraId="7F917422">
                  <w:pPr>
                    <w:jc w:val="center"/>
                    <w:rPr>
                      <w:rFonts w:hint="eastAsia" w:ascii="Times New Roman" w:hAnsi="Times New Roman" w:cs="Times New Roman"/>
                      <w:b/>
                      <w:bCs/>
                      <w:color w:val="000000" w:themeColor="text1"/>
                    </w:rPr>
                  </w:pPr>
                  <w:r>
                    <w:rPr>
                      <w:rFonts w:ascii="Times New Roman" w:hAnsi="Times New Roman" w:cs="Times New Roman"/>
                      <w:b/>
                      <w:bCs/>
                      <w:color w:val="000000" w:themeColor="text1"/>
                    </w:rPr>
                    <w:t>其他</w:t>
                  </w:r>
                  <w:r>
                    <w:rPr>
                      <w:rFonts w:hint="eastAsia" w:ascii="Times New Roman" w:hAnsi="Times New Roman" w:cs="Times New Roman"/>
                      <w:b/>
                      <w:bCs/>
                      <w:color w:val="000000" w:themeColor="text1"/>
                    </w:rPr>
                    <w:t>*</w:t>
                  </w:r>
                </w:p>
              </w:tc>
              <w:tc>
                <w:tcPr>
                  <w:tcW w:w="503" w:type="pct"/>
                  <w:tcBorders>
                    <w:top w:val="single" w:color="auto" w:sz="4" w:space="0"/>
                    <w:left w:val="single" w:color="auto" w:sz="4" w:space="0"/>
                    <w:bottom w:val="single" w:color="auto" w:sz="4" w:space="0"/>
                    <w:right w:val="single" w:color="auto" w:sz="4" w:space="0"/>
                  </w:tcBorders>
                  <w:noWrap w:val="0"/>
                  <w:vAlign w:val="center"/>
                </w:tcPr>
                <w:p w14:paraId="07C0386A">
                  <w:pPr>
                    <w:jc w:val="center"/>
                    <w:rPr>
                      <w:rFonts w:ascii="Times New Roman" w:hAnsi="Times New Roman" w:cs="Times New Roman"/>
                      <w:color w:val="000000" w:themeColor="text1"/>
                    </w:rPr>
                  </w:pPr>
                  <w:r>
                    <w:rPr>
                      <w:rFonts w:hint="eastAsia" w:ascii="Times New Roman" w:hAnsi="Times New Roman" w:cs="Times New Roman"/>
                      <w:color w:val="000000" w:themeColor="text1"/>
                      <w:lang w:val="en-US" w:eastAsia="zh-CN"/>
                    </w:rPr>
                    <w:t>登记</w:t>
                  </w:r>
                  <w:r>
                    <w:rPr>
                      <w:rFonts w:ascii="Times New Roman" w:hAnsi="Times New Roman" w:cs="Times New Roman"/>
                      <w:color w:val="000000" w:themeColor="text1"/>
                    </w:rPr>
                    <w:t>管理</w:t>
                  </w:r>
                </w:p>
              </w:tc>
            </w:tr>
          </w:tbl>
          <w:p w14:paraId="27D7BC1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000000" w:themeColor="text1"/>
                <w:sz w:val="24"/>
                <w:szCs w:val="24"/>
                <w:lang w:val="en-US" w:eastAsia="zh-CN"/>
              </w:rPr>
            </w:pPr>
            <w:r>
              <w:rPr>
                <w:rFonts w:hint="default"/>
                <w:color w:val="000000" w:themeColor="text1"/>
                <w:sz w:val="24"/>
                <w:szCs w:val="24"/>
                <w:lang w:val="en-US" w:eastAsia="zh-CN"/>
              </w:rPr>
              <w:t>对照上表内容，本项目属于排污许可中</w:t>
            </w:r>
            <w:r>
              <w:rPr>
                <w:rFonts w:hint="eastAsia"/>
                <w:color w:val="000000" w:themeColor="text1"/>
                <w:sz w:val="24"/>
                <w:szCs w:val="24"/>
                <w:lang w:val="en-US" w:eastAsia="zh-CN"/>
              </w:rPr>
              <w:t>“</w:t>
            </w:r>
            <w:r>
              <w:rPr>
                <w:rFonts w:hint="default"/>
                <w:color w:val="000000" w:themeColor="text1"/>
                <w:sz w:val="24"/>
                <w:szCs w:val="24"/>
                <w:lang w:val="en-US" w:eastAsia="zh-CN"/>
              </w:rPr>
              <w:t>登记管理</w:t>
            </w:r>
            <w:r>
              <w:rPr>
                <w:rFonts w:hint="eastAsia"/>
                <w:color w:val="000000" w:themeColor="text1"/>
                <w:sz w:val="24"/>
                <w:szCs w:val="24"/>
                <w:lang w:val="en-US" w:eastAsia="zh-CN"/>
              </w:rPr>
              <w:t>”</w:t>
            </w:r>
            <w:r>
              <w:rPr>
                <w:rFonts w:hint="default"/>
                <w:color w:val="000000" w:themeColor="text1"/>
                <w:sz w:val="24"/>
                <w:szCs w:val="24"/>
                <w:lang w:val="en-US" w:eastAsia="zh-CN"/>
              </w:rPr>
              <w:t>，根据安徽省生态环境厅《关于统筹做好固定污染源排污许可日常监管工作的通知》(皖环发[2021]7号)属于现行《固定污染源排污许可分类管理名录》内重点管理和简化管理的行业建设单位在组织编制建设项目环境影响报告书(表)时，可结合相应行业排污许可证申请与核发技术规范</w:t>
            </w:r>
            <w:r>
              <w:rPr>
                <w:rFonts w:hint="eastAsia"/>
                <w:color w:val="000000" w:themeColor="text1"/>
                <w:sz w:val="24"/>
                <w:szCs w:val="24"/>
                <w:lang w:val="en-US" w:eastAsia="zh-CN"/>
              </w:rPr>
              <w:t>，</w:t>
            </w:r>
            <w:r>
              <w:rPr>
                <w:rFonts w:hint="default"/>
                <w:color w:val="000000" w:themeColor="text1"/>
                <w:sz w:val="24"/>
                <w:szCs w:val="24"/>
                <w:lang w:val="en-US" w:eastAsia="zh-CN"/>
              </w:rPr>
              <w:t>在环评文件中一并明确</w:t>
            </w:r>
            <w:r>
              <w:rPr>
                <w:rFonts w:hint="eastAsia"/>
                <w:color w:val="000000" w:themeColor="text1"/>
                <w:sz w:val="24"/>
                <w:szCs w:val="24"/>
                <w:lang w:val="en-US" w:eastAsia="zh-CN"/>
              </w:rPr>
              <w:t>“</w:t>
            </w:r>
            <w:r>
              <w:rPr>
                <w:rFonts w:hint="default"/>
                <w:color w:val="000000" w:themeColor="text1"/>
                <w:sz w:val="24"/>
                <w:szCs w:val="24"/>
                <w:lang w:val="en-US" w:eastAsia="zh-CN"/>
              </w:rPr>
              <w:t>建设项目环境影响评价与排污许可联动内容</w:t>
            </w:r>
            <w:r>
              <w:rPr>
                <w:rFonts w:hint="eastAsia"/>
                <w:color w:val="000000" w:themeColor="text1"/>
                <w:sz w:val="24"/>
                <w:szCs w:val="24"/>
                <w:lang w:val="en-US" w:eastAsia="zh-CN"/>
              </w:rPr>
              <w:t>”</w:t>
            </w:r>
            <w:r>
              <w:rPr>
                <w:rFonts w:hint="default"/>
                <w:color w:val="000000" w:themeColor="text1"/>
                <w:sz w:val="24"/>
                <w:szCs w:val="24"/>
                <w:lang w:val="en-US" w:eastAsia="zh-CN"/>
              </w:rPr>
              <w:t>和《建设项目排污许可申请与填报信息表》。由于本项目属于现行《固定污染源排污许可分类管理名录》里</w:t>
            </w:r>
            <w:r>
              <w:rPr>
                <w:rFonts w:hint="eastAsia"/>
                <w:color w:val="000000" w:themeColor="text1"/>
                <w:sz w:val="24"/>
                <w:szCs w:val="24"/>
                <w:lang w:val="en-US" w:eastAsia="zh-CN"/>
              </w:rPr>
              <w:t>“登</w:t>
            </w:r>
            <w:r>
              <w:rPr>
                <w:rFonts w:hint="default"/>
                <w:color w:val="000000" w:themeColor="text1"/>
                <w:sz w:val="24"/>
                <w:szCs w:val="24"/>
                <w:lang w:val="en-US" w:eastAsia="zh-CN"/>
              </w:rPr>
              <w:t>记管理</w:t>
            </w:r>
            <w:r>
              <w:rPr>
                <w:rFonts w:hint="eastAsia"/>
                <w:color w:val="000000" w:themeColor="text1"/>
                <w:sz w:val="24"/>
                <w:szCs w:val="24"/>
                <w:lang w:val="en-US" w:eastAsia="zh-CN"/>
              </w:rPr>
              <w:t>”</w:t>
            </w:r>
            <w:r>
              <w:rPr>
                <w:rFonts w:hint="default"/>
                <w:color w:val="000000" w:themeColor="text1"/>
                <w:sz w:val="24"/>
                <w:szCs w:val="24"/>
                <w:lang w:val="en-US" w:eastAsia="zh-CN"/>
              </w:rPr>
              <w:t>，无需填报</w:t>
            </w:r>
            <w:r>
              <w:rPr>
                <w:rFonts w:hint="eastAsia"/>
                <w:color w:val="000000" w:themeColor="text1"/>
                <w:sz w:val="24"/>
                <w:szCs w:val="24"/>
                <w:lang w:val="en-US" w:eastAsia="zh-CN"/>
              </w:rPr>
              <w:t>“</w:t>
            </w:r>
            <w:r>
              <w:rPr>
                <w:rFonts w:hint="default"/>
                <w:color w:val="000000" w:themeColor="text1"/>
                <w:sz w:val="24"/>
                <w:szCs w:val="24"/>
                <w:lang w:val="en-US" w:eastAsia="zh-CN"/>
              </w:rPr>
              <w:t>建设项目环境影响评价与排污许可联动内容</w:t>
            </w:r>
            <w:r>
              <w:rPr>
                <w:rFonts w:hint="eastAsia"/>
                <w:color w:val="000000" w:themeColor="text1"/>
                <w:sz w:val="24"/>
                <w:szCs w:val="24"/>
                <w:lang w:val="en-US" w:eastAsia="zh-CN"/>
              </w:rPr>
              <w:t>”</w:t>
            </w:r>
            <w:r>
              <w:rPr>
                <w:rFonts w:hint="default"/>
                <w:color w:val="000000" w:themeColor="text1"/>
                <w:sz w:val="24"/>
                <w:szCs w:val="24"/>
                <w:lang w:val="en-US" w:eastAsia="zh-CN"/>
              </w:rPr>
              <w:t>和《建设项目排污许可申请与填报信息表》。</w:t>
            </w:r>
          </w:p>
          <w:p w14:paraId="7938A0E6">
            <w:pPr>
              <w:numPr>
                <w:ilvl w:val="0"/>
                <w:numId w:val="2"/>
              </w:numPr>
              <w:spacing w:line="360" w:lineRule="auto"/>
              <w:ind w:left="720" w:leftChars="228" w:hanging="241" w:hangingChars="100"/>
              <w:rPr>
                <w:rFonts w:hint="default" w:ascii="Times New Roman" w:hAnsi="Times New Roman" w:cs="Times New Roman"/>
                <w:b/>
                <w:bCs/>
                <w:color w:val="000000" w:themeColor="text1"/>
                <w:sz w:val="24"/>
                <w:szCs w:val="24"/>
              </w:rPr>
            </w:pPr>
            <w:r>
              <w:rPr>
                <w:rFonts w:hint="default" w:ascii="Times New Roman" w:hAnsi="Times New Roman" w:cs="Times New Roman"/>
                <w:b/>
                <w:bCs/>
                <w:color w:val="000000" w:themeColor="text1"/>
                <w:sz w:val="24"/>
                <w:szCs w:val="24"/>
              </w:rPr>
              <w:t>建设项目组成</w:t>
            </w:r>
          </w:p>
          <w:p w14:paraId="125F775C">
            <w:pPr>
              <w:spacing w:line="360" w:lineRule="auto"/>
              <w:ind w:firstLine="480" w:firstLineChars="200"/>
              <w:rPr>
                <w:rFonts w:hint="eastAsia" w:ascii="Times New Roman" w:hAnsi="Times New Roman" w:eastAsia="宋体" w:cs="Times New Roman"/>
                <w:color w:val="000000" w:themeColor="text1"/>
                <w:sz w:val="24"/>
                <w:szCs w:val="24"/>
                <w:lang w:eastAsia="zh-CN"/>
              </w:rPr>
            </w:pPr>
            <w:r>
              <w:rPr>
                <w:rFonts w:hint="default" w:ascii="Times New Roman" w:hAnsi="Times New Roman" w:cs="Times New Roman"/>
                <w:color w:val="000000" w:themeColor="text1"/>
                <w:sz w:val="24"/>
                <w:szCs w:val="24"/>
              </w:rPr>
              <w:t>项目名称：</w:t>
            </w:r>
            <w:r>
              <w:rPr>
                <w:rFonts w:hint="eastAsia" w:cs="Times New Roman"/>
                <w:color w:val="000000" w:themeColor="text1"/>
                <w:sz w:val="24"/>
                <w:szCs w:val="24"/>
                <w:lang w:eastAsia="zh-CN"/>
              </w:rPr>
              <w:t>三变智能科技技改项目（</w:t>
            </w:r>
            <w:r>
              <w:rPr>
                <w:rFonts w:hint="eastAsia" w:cs="Times New Roman"/>
                <w:color w:val="000000" w:themeColor="text1"/>
                <w:sz w:val="24"/>
                <w:szCs w:val="24"/>
                <w:lang w:val="en-US" w:eastAsia="zh-CN"/>
              </w:rPr>
              <w:t>重新报批</w:t>
            </w:r>
            <w:r>
              <w:rPr>
                <w:rFonts w:hint="eastAsia" w:cs="Times New Roman"/>
                <w:color w:val="000000" w:themeColor="text1"/>
                <w:sz w:val="24"/>
                <w:szCs w:val="24"/>
                <w:lang w:eastAsia="zh-CN"/>
              </w:rPr>
              <w:t>）</w:t>
            </w:r>
          </w:p>
          <w:p w14:paraId="7A09E0A2">
            <w:pPr>
              <w:spacing w:line="360" w:lineRule="auto"/>
              <w:ind w:firstLine="480" w:firstLineChars="20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建设单位：安徽三变智能科技有限公司</w:t>
            </w:r>
          </w:p>
          <w:p w14:paraId="63A287A5">
            <w:pPr>
              <w:autoSpaceDE w:val="0"/>
              <w:autoSpaceDN w:val="0"/>
              <w:adjustRightInd w:val="0"/>
              <w:snapToGrid w:val="0"/>
              <w:spacing w:line="360" w:lineRule="auto"/>
              <w:ind w:firstLine="480" w:firstLineChars="200"/>
              <w:jc w:val="left"/>
              <w:rPr>
                <w:rFonts w:hint="eastAsia" w:ascii="Times New Roman" w:hAnsi="Times New Roman" w:eastAsia="宋体" w:cs="Times New Roman"/>
                <w:color w:val="000000" w:themeColor="text1"/>
                <w:kern w:val="0"/>
                <w:sz w:val="24"/>
                <w:szCs w:val="24"/>
                <w:lang w:eastAsia="zh-CN"/>
              </w:rPr>
            </w:pPr>
            <w:r>
              <w:rPr>
                <w:rFonts w:hint="default" w:ascii="Times New Roman" w:hAnsi="Times New Roman" w:cs="Times New Roman"/>
                <w:color w:val="000000" w:themeColor="text1"/>
                <w:sz w:val="24"/>
                <w:szCs w:val="24"/>
              </w:rPr>
              <w:t>建设地点：</w:t>
            </w:r>
            <w:r>
              <w:rPr>
                <w:rStyle w:val="41"/>
                <w:rFonts w:hint="eastAsia" w:cs="Times New Roman"/>
                <w:color w:val="000000" w:themeColor="text1"/>
                <w:kern w:val="0"/>
                <w:sz w:val="24"/>
                <w:szCs w:val="24"/>
                <w:lang w:eastAsia="zh-CN"/>
              </w:rPr>
              <w:t>安徽省淮北市杜集区经济开发区发展路10号</w:t>
            </w:r>
          </w:p>
          <w:p w14:paraId="7317393C">
            <w:pPr>
              <w:spacing w:line="360" w:lineRule="auto"/>
              <w:ind w:firstLine="480" w:firstLineChars="200"/>
              <w:rPr>
                <w:rFonts w:hint="eastAsia" w:ascii="Times New Roman" w:hAnsi="Times New Roman" w:eastAsia="宋体" w:cs="Times New Roman"/>
                <w:color w:val="000000" w:themeColor="text1"/>
                <w:sz w:val="24"/>
                <w:szCs w:val="24"/>
                <w:lang w:eastAsia="zh-CN"/>
              </w:rPr>
            </w:pPr>
            <w:r>
              <w:rPr>
                <w:rFonts w:hint="default" w:ascii="Times New Roman" w:hAnsi="Times New Roman" w:cs="Times New Roman"/>
                <w:color w:val="000000" w:themeColor="text1"/>
                <w:sz w:val="24"/>
                <w:szCs w:val="24"/>
              </w:rPr>
              <w:t>建设性质：</w:t>
            </w:r>
            <w:r>
              <w:rPr>
                <w:rFonts w:hint="eastAsia" w:cs="Times New Roman"/>
                <w:color w:val="000000" w:themeColor="text1"/>
                <w:sz w:val="24"/>
                <w:szCs w:val="24"/>
                <w:lang w:val="en-US" w:eastAsia="zh-CN"/>
              </w:rPr>
              <w:t>新建（迁建）</w:t>
            </w:r>
          </w:p>
          <w:p w14:paraId="368CC9E1">
            <w:pPr>
              <w:keepNext w:val="0"/>
              <w:keepLines w:val="0"/>
              <w:pageBreakBefore w:val="0"/>
              <w:widowControl w:val="0"/>
              <w:kinsoku/>
              <w:wordWrap/>
              <w:overflowPunct/>
              <w:topLinePunct w:val="0"/>
              <w:autoSpaceDE/>
              <w:autoSpaceDN/>
              <w:bidi w:val="0"/>
              <w:spacing w:line="336" w:lineRule="auto"/>
              <w:ind w:firstLine="480" w:firstLineChars="200"/>
              <w:textAlignment w:val="auto"/>
              <w:rPr>
                <w:rStyle w:val="41"/>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建设规模：项目购置真空浇筑、双层绕机等设备，年产油浸式变压器350台、干式变压器500台、配电控制设备年产150台</w:t>
            </w:r>
            <w:r>
              <w:rPr>
                <w:rStyle w:val="41"/>
                <w:rFonts w:hint="default" w:ascii="Times New Roman" w:hAnsi="Times New Roman" w:cs="Times New Roman"/>
                <w:color w:val="000000" w:themeColor="text1"/>
                <w:sz w:val="24"/>
                <w:szCs w:val="24"/>
              </w:rPr>
              <w:t>。</w:t>
            </w:r>
          </w:p>
          <w:p w14:paraId="4C9DE4A4">
            <w:pPr>
              <w:keepNext w:val="0"/>
              <w:keepLines w:val="0"/>
              <w:pageBreakBefore w:val="0"/>
              <w:widowControl w:val="0"/>
              <w:kinsoku/>
              <w:wordWrap/>
              <w:overflowPunct/>
              <w:topLinePunct w:val="0"/>
              <w:autoSpaceDE/>
              <w:autoSpaceDN/>
              <w:bidi w:val="0"/>
              <w:adjustRightInd w:val="0"/>
              <w:snapToGrid w:val="0"/>
              <w:spacing w:line="336" w:lineRule="auto"/>
              <w:ind w:firstLine="480" w:firstLineChars="200"/>
              <w:textAlignment w:val="auto"/>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本项目内容及规模详见表2-</w:t>
            </w:r>
            <w:r>
              <w:rPr>
                <w:rFonts w:hint="eastAsia" w:cs="Times New Roman"/>
                <w:color w:val="000000" w:themeColor="text1"/>
                <w:sz w:val="24"/>
                <w:szCs w:val="24"/>
                <w:lang w:val="en-US" w:eastAsia="zh-CN"/>
              </w:rPr>
              <w:t>5</w:t>
            </w:r>
            <w:r>
              <w:rPr>
                <w:rFonts w:hint="default" w:ascii="Times New Roman" w:hAnsi="Times New Roman" w:cs="Times New Roman"/>
                <w:color w:val="000000" w:themeColor="text1"/>
                <w:sz w:val="24"/>
                <w:szCs w:val="24"/>
              </w:rPr>
              <w:t>。</w:t>
            </w:r>
          </w:p>
          <w:p w14:paraId="006F092C">
            <w:pPr>
              <w:adjustRightInd w:val="0"/>
              <w:snapToGrid w:val="0"/>
              <w:jc w:val="center"/>
              <w:rPr>
                <w:rFonts w:hint="default" w:ascii="Times New Roman" w:hAnsi="Times New Roman" w:cs="Times New Roman"/>
                <w:b/>
                <w:bCs/>
                <w:color w:val="000000" w:themeColor="text1"/>
                <w:sz w:val="24"/>
                <w:szCs w:val="24"/>
              </w:rPr>
            </w:pPr>
            <w:r>
              <w:rPr>
                <w:rFonts w:hint="default" w:ascii="Times New Roman" w:hAnsi="Times New Roman" w:cs="Times New Roman"/>
                <w:b/>
                <w:bCs/>
                <w:color w:val="000000" w:themeColor="text1"/>
                <w:sz w:val="24"/>
                <w:szCs w:val="24"/>
              </w:rPr>
              <w:t>表2-</w:t>
            </w:r>
            <w:r>
              <w:rPr>
                <w:rFonts w:hint="eastAsia" w:cs="Times New Roman"/>
                <w:b/>
                <w:bCs/>
                <w:color w:val="000000" w:themeColor="text1"/>
                <w:sz w:val="24"/>
                <w:szCs w:val="24"/>
                <w:lang w:val="en-US" w:eastAsia="zh-CN"/>
              </w:rPr>
              <w:t xml:space="preserve">5 </w:t>
            </w:r>
            <w:r>
              <w:rPr>
                <w:rFonts w:hint="default" w:ascii="Times New Roman" w:hAnsi="Times New Roman" w:cs="Times New Roman"/>
                <w:b/>
                <w:bCs/>
                <w:color w:val="000000" w:themeColor="text1"/>
                <w:sz w:val="24"/>
                <w:szCs w:val="24"/>
              </w:rPr>
              <w:t xml:space="preserve"> 项目主要建设内容组成一览表</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7"/>
              <w:gridCol w:w="375"/>
              <w:gridCol w:w="828"/>
              <w:gridCol w:w="5236"/>
              <w:gridCol w:w="1281"/>
            </w:tblGrid>
            <w:tr w14:paraId="1AADA2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75" w:hRule="atLeast"/>
                <w:jc w:val="center"/>
              </w:trPr>
              <w:tc>
                <w:tcPr>
                  <w:tcW w:w="403" w:type="pct"/>
                  <w:shd w:val="clear" w:color="auto" w:fill="auto"/>
                  <w:noWrap/>
                  <w:vAlign w:val="center"/>
                </w:tcPr>
                <w:p w14:paraId="306CE8CC">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
                      <w:bCs w:val="0"/>
                      <w:color w:val="000000" w:themeColor="text1"/>
                      <w:sz w:val="21"/>
                      <w:szCs w:val="21"/>
                    </w:rPr>
                  </w:pPr>
                  <w:r>
                    <w:rPr>
                      <w:rFonts w:hint="default" w:ascii="Times New Roman" w:hAnsi="Times New Roman" w:cs="Times New Roman"/>
                      <w:b/>
                      <w:bCs w:val="0"/>
                      <w:color w:val="000000" w:themeColor="text1"/>
                      <w:sz w:val="21"/>
                      <w:szCs w:val="21"/>
                    </w:rPr>
                    <w:t>工程类别</w:t>
                  </w:r>
                </w:p>
              </w:tc>
              <w:tc>
                <w:tcPr>
                  <w:tcW w:w="716" w:type="pct"/>
                  <w:gridSpan w:val="2"/>
                  <w:shd w:val="clear" w:color="auto" w:fill="auto"/>
                  <w:noWrap/>
                  <w:vAlign w:val="center"/>
                </w:tcPr>
                <w:p w14:paraId="496870C8">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
                      <w:bCs w:val="0"/>
                      <w:color w:val="000000" w:themeColor="text1"/>
                      <w:sz w:val="21"/>
                      <w:szCs w:val="21"/>
                    </w:rPr>
                  </w:pPr>
                  <w:r>
                    <w:rPr>
                      <w:rFonts w:hint="default" w:ascii="Times New Roman" w:hAnsi="Times New Roman" w:cs="Times New Roman"/>
                      <w:b/>
                      <w:bCs w:val="0"/>
                      <w:color w:val="000000" w:themeColor="text1"/>
                      <w:sz w:val="21"/>
                      <w:szCs w:val="21"/>
                    </w:rPr>
                    <w:t>名称</w:t>
                  </w:r>
                </w:p>
              </w:tc>
              <w:tc>
                <w:tcPr>
                  <w:tcW w:w="3116" w:type="pct"/>
                  <w:shd w:val="clear" w:color="auto" w:fill="auto"/>
                  <w:noWrap/>
                  <w:vAlign w:val="center"/>
                </w:tcPr>
                <w:p w14:paraId="7C1F598C">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
                      <w:bCs w:val="0"/>
                      <w:color w:val="000000" w:themeColor="text1"/>
                      <w:sz w:val="21"/>
                      <w:szCs w:val="21"/>
                    </w:rPr>
                  </w:pPr>
                  <w:r>
                    <w:rPr>
                      <w:rFonts w:hint="default" w:ascii="Times New Roman" w:hAnsi="Times New Roman" w:cs="Times New Roman"/>
                      <w:b/>
                      <w:bCs w:val="0"/>
                      <w:color w:val="000000" w:themeColor="text1"/>
                      <w:sz w:val="21"/>
                      <w:szCs w:val="21"/>
                    </w:rPr>
                    <w:t>建设内容及规模</w:t>
                  </w:r>
                </w:p>
              </w:tc>
              <w:tc>
                <w:tcPr>
                  <w:tcW w:w="762" w:type="pct"/>
                  <w:shd w:val="clear" w:color="auto" w:fill="auto"/>
                  <w:noWrap/>
                  <w:vAlign w:val="center"/>
                </w:tcPr>
                <w:p w14:paraId="139ECDBC">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
                      <w:bCs w:val="0"/>
                      <w:color w:val="000000" w:themeColor="text1"/>
                      <w:sz w:val="21"/>
                      <w:szCs w:val="21"/>
                    </w:rPr>
                  </w:pPr>
                  <w:r>
                    <w:rPr>
                      <w:rFonts w:hint="default" w:ascii="Times New Roman" w:hAnsi="Times New Roman" w:cs="Times New Roman"/>
                      <w:b/>
                      <w:bCs w:val="0"/>
                      <w:color w:val="000000" w:themeColor="text1"/>
                      <w:sz w:val="21"/>
                      <w:szCs w:val="21"/>
                    </w:rPr>
                    <w:t>备注</w:t>
                  </w:r>
                </w:p>
              </w:tc>
            </w:tr>
            <w:tr w14:paraId="2334A1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8" w:hRule="atLeast"/>
                <w:jc w:val="center"/>
              </w:trPr>
              <w:tc>
                <w:tcPr>
                  <w:tcW w:w="403" w:type="pct"/>
                  <w:shd w:val="clear" w:color="auto" w:fill="auto"/>
                  <w:noWrap/>
                  <w:vAlign w:val="center"/>
                </w:tcPr>
                <w:p w14:paraId="03813BD3">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color w:val="000000" w:themeColor="text1"/>
                      <w:sz w:val="21"/>
                      <w:szCs w:val="21"/>
                    </w:rPr>
                    <w:t>主体工程</w:t>
                  </w:r>
                </w:p>
              </w:tc>
              <w:tc>
                <w:tcPr>
                  <w:tcW w:w="716" w:type="pct"/>
                  <w:gridSpan w:val="2"/>
                  <w:shd w:val="clear" w:color="auto" w:fill="auto"/>
                  <w:noWrap/>
                  <w:vAlign w:val="center"/>
                </w:tcPr>
                <w:p w14:paraId="30ACB1E7">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生产车间</w:t>
                  </w:r>
                </w:p>
              </w:tc>
              <w:tc>
                <w:tcPr>
                  <w:tcW w:w="3116" w:type="pct"/>
                  <w:shd w:val="clear" w:color="auto" w:fill="auto"/>
                  <w:noWrap/>
                  <w:vAlign w:val="center"/>
                </w:tcPr>
                <w:p w14:paraId="3CC2BBE9">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eastAsia" w:cs="Times New Roman"/>
                      <w:bCs/>
                      <w:color w:val="000000" w:themeColor="text1"/>
                      <w:sz w:val="21"/>
                      <w:szCs w:val="21"/>
                      <w:lang w:val="en-US" w:eastAsia="zh-CN"/>
                    </w:rPr>
                  </w:pPr>
                  <w:r>
                    <w:rPr>
                      <w:rFonts w:hint="eastAsia" w:cs="Times New Roman"/>
                      <w:bCs/>
                      <w:color w:val="000000" w:themeColor="text1"/>
                      <w:sz w:val="21"/>
                      <w:szCs w:val="21"/>
                      <w:lang w:val="en-US" w:eastAsia="zh-CN"/>
                    </w:rPr>
                    <w:t>1栋1层钢结构厂房，建筑面积为3400m</w:t>
                  </w:r>
                  <w:r>
                    <w:rPr>
                      <w:rFonts w:hint="eastAsia" w:cs="Times New Roman"/>
                      <w:bCs/>
                      <w:color w:val="000000" w:themeColor="text1"/>
                      <w:sz w:val="21"/>
                      <w:szCs w:val="21"/>
                      <w:vertAlign w:val="superscript"/>
                      <w:lang w:val="en-US" w:eastAsia="zh-CN"/>
                    </w:rPr>
                    <w:t>2</w:t>
                  </w:r>
                  <w:r>
                    <w:rPr>
                      <w:rFonts w:hint="eastAsia" w:cs="Times New Roman"/>
                      <w:bCs/>
                      <w:color w:val="000000" w:themeColor="text1"/>
                      <w:sz w:val="21"/>
                      <w:szCs w:val="21"/>
                      <w:lang w:val="en-US" w:eastAsia="zh-CN"/>
                    </w:rPr>
                    <w:t>，厂房高度为10m，厂房内设置绕线区、浇筑固化区、注油区、组装区，年产油浸式变压器350台、干式变压器500台、配电控制设备150台</w:t>
                  </w:r>
                </w:p>
              </w:tc>
              <w:tc>
                <w:tcPr>
                  <w:tcW w:w="762" w:type="pct"/>
                  <w:shd w:val="clear" w:color="auto" w:fill="auto"/>
                  <w:noWrap/>
                  <w:vAlign w:val="center"/>
                </w:tcPr>
                <w:p w14:paraId="1B8E6B88">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bCs/>
                      <w:color w:val="000000" w:themeColor="text1"/>
                      <w:sz w:val="21"/>
                      <w:szCs w:val="21"/>
                      <w:lang w:val="en-US" w:eastAsia="zh-CN"/>
                    </w:rPr>
                  </w:pPr>
                  <w:r>
                    <w:rPr>
                      <w:rFonts w:hint="eastAsia" w:cs="Times New Roman"/>
                      <w:bCs/>
                      <w:color w:val="000000" w:themeColor="text1"/>
                      <w:sz w:val="21"/>
                      <w:szCs w:val="21"/>
                      <w:lang w:val="en-US" w:eastAsia="zh-CN"/>
                    </w:rPr>
                    <w:t>厂房租赁</w:t>
                  </w:r>
                </w:p>
              </w:tc>
            </w:tr>
            <w:tr w14:paraId="5B7BD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403" w:type="pct"/>
                  <w:vMerge w:val="restart"/>
                  <w:shd w:val="clear" w:color="auto" w:fill="auto"/>
                  <w:noWrap/>
                  <w:vAlign w:val="center"/>
                </w:tcPr>
                <w:p w14:paraId="44D992EC">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辅助工程</w:t>
                  </w:r>
                </w:p>
              </w:tc>
              <w:tc>
                <w:tcPr>
                  <w:tcW w:w="716" w:type="pct"/>
                  <w:gridSpan w:val="2"/>
                  <w:shd w:val="clear" w:color="auto" w:fill="auto"/>
                  <w:noWrap/>
                  <w:vAlign w:val="center"/>
                </w:tcPr>
                <w:p w14:paraId="55E39BC7">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eastAsia" w:ascii="Times New Roman" w:hAnsi="Times New Roman" w:eastAsia="宋体" w:cs="Times New Roman"/>
                      <w:bCs/>
                      <w:color w:val="000000" w:themeColor="text1"/>
                      <w:sz w:val="21"/>
                      <w:szCs w:val="21"/>
                      <w:lang w:eastAsia="zh-CN"/>
                    </w:rPr>
                  </w:pPr>
                  <w:r>
                    <w:rPr>
                      <w:rFonts w:hint="eastAsia" w:cs="Times New Roman"/>
                      <w:bCs/>
                      <w:color w:val="000000" w:themeColor="text1"/>
                      <w:sz w:val="21"/>
                      <w:szCs w:val="21"/>
                      <w:lang w:val="en-US" w:eastAsia="zh-CN"/>
                    </w:rPr>
                    <w:t>办公楼</w:t>
                  </w:r>
                </w:p>
              </w:tc>
              <w:tc>
                <w:tcPr>
                  <w:tcW w:w="3116" w:type="pct"/>
                  <w:shd w:val="clear" w:color="auto" w:fill="auto"/>
                  <w:noWrap/>
                  <w:vAlign w:val="center"/>
                </w:tcPr>
                <w:p w14:paraId="5D115F2B">
                  <w:pPr>
                    <w:pStyle w:val="121"/>
                    <w:keepNext w:val="0"/>
                    <w:keepLines w:val="0"/>
                    <w:pageBreakBefore w:val="0"/>
                    <w:kinsoku/>
                    <w:wordWrap/>
                    <w:overflowPunct/>
                    <w:topLinePunct w:val="0"/>
                    <w:autoSpaceDE/>
                    <w:autoSpaceDN/>
                    <w:bidi w:val="0"/>
                    <w:adjustRightInd w:val="0"/>
                    <w:snapToGrid w:val="0"/>
                    <w:spacing w:line="240" w:lineRule="auto"/>
                    <w:ind w:right="0"/>
                    <w:textAlignment w:val="auto"/>
                    <w:rPr>
                      <w:rFonts w:hint="eastAsia" w:cs="Times New Roman"/>
                      <w:color w:val="000000" w:themeColor="text1"/>
                      <w:sz w:val="21"/>
                      <w:szCs w:val="21"/>
                      <w:lang w:val="en-US" w:eastAsia="zh-CN"/>
                    </w:rPr>
                  </w:pPr>
                  <w:r>
                    <w:rPr>
                      <w:rFonts w:hint="eastAsia" w:cs="Times New Roman"/>
                      <w:color w:val="000000" w:themeColor="text1"/>
                      <w:sz w:val="21"/>
                      <w:szCs w:val="21"/>
                      <w:lang w:val="en-US" w:eastAsia="zh-CN"/>
                    </w:rPr>
                    <w:t>厂区内设置三层办公楼，企业租用部分办公室用于日常办公</w:t>
                  </w:r>
                </w:p>
              </w:tc>
              <w:tc>
                <w:tcPr>
                  <w:tcW w:w="762" w:type="pct"/>
                  <w:shd w:val="clear" w:color="auto" w:fill="auto"/>
                  <w:noWrap/>
                  <w:vAlign w:val="center"/>
                </w:tcPr>
                <w:p w14:paraId="06FFC0AF">
                  <w:pPr>
                    <w:pStyle w:val="121"/>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eastAsia="宋体" w:cs="Times New Roman"/>
                      <w:color w:val="000000" w:themeColor="text1"/>
                      <w:sz w:val="21"/>
                      <w:szCs w:val="21"/>
                      <w:lang w:val="en-US" w:eastAsia="zh-CN"/>
                    </w:rPr>
                  </w:pPr>
                  <w:r>
                    <w:rPr>
                      <w:rFonts w:hint="eastAsia" w:cs="Times New Roman"/>
                      <w:bCs/>
                      <w:color w:val="000000" w:themeColor="text1"/>
                      <w:sz w:val="21"/>
                      <w:szCs w:val="21"/>
                      <w:lang w:val="en-US" w:eastAsia="zh-CN"/>
                    </w:rPr>
                    <w:t>租赁办公区</w:t>
                  </w:r>
                </w:p>
              </w:tc>
            </w:tr>
            <w:tr w14:paraId="250F1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03" w:type="pct"/>
                  <w:vMerge w:val="continue"/>
                  <w:shd w:val="clear" w:color="auto" w:fill="auto"/>
                  <w:noWrap/>
                  <w:vAlign w:val="center"/>
                </w:tcPr>
                <w:p w14:paraId="02DA6B11">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color w:val="000000" w:themeColor="text1"/>
                      <w:sz w:val="21"/>
                      <w:szCs w:val="21"/>
                    </w:rPr>
                  </w:pPr>
                </w:p>
              </w:tc>
              <w:tc>
                <w:tcPr>
                  <w:tcW w:w="716" w:type="pct"/>
                  <w:gridSpan w:val="2"/>
                  <w:shd w:val="clear" w:color="auto" w:fill="auto"/>
                  <w:noWrap/>
                  <w:vAlign w:val="center"/>
                </w:tcPr>
                <w:p w14:paraId="2B282899">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cs="Times New Roman"/>
                      <w:bCs/>
                      <w:color w:val="000000" w:themeColor="text1"/>
                      <w:sz w:val="21"/>
                      <w:szCs w:val="21"/>
                      <w:lang w:val="en-US" w:eastAsia="zh-CN"/>
                    </w:rPr>
                  </w:pPr>
                  <w:r>
                    <w:rPr>
                      <w:rFonts w:hint="eastAsia" w:cs="Times New Roman"/>
                      <w:bCs/>
                      <w:color w:val="000000" w:themeColor="text1"/>
                      <w:sz w:val="21"/>
                      <w:szCs w:val="21"/>
                      <w:lang w:val="en-US" w:eastAsia="zh-CN"/>
                    </w:rPr>
                    <w:t>实验室</w:t>
                  </w:r>
                </w:p>
              </w:tc>
              <w:tc>
                <w:tcPr>
                  <w:tcW w:w="3116" w:type="pct"/>
                  <w:shd w:val="clear" w:color="auto" w:fill="auto"/>
                  <w:noWrap/>
                  <w:vAlign w:val="center"/>
                </w:tcPr>
                <w:p w14:paraId="230EE562">
                  <w:pPr>
                    <w:pStyle w:val="121"/>
                    <w:keepNext w:val="0"/>
                    <w:keepLines w:val="0"/>
                    <w:pageBreakBefore w:val="0"/>
                    <w:kinsoku/>
                    <w:wordWrap/>
                    <w:overflowPunct/>
                    <w:topLinePunct w:val="0"/>
                    <w:autoSpaceDE/>
                    <w:autoSpaceDN/>
                    <w:bidi w:val="0"/>
                    <w:adjustRightInd w:val="0"/>
                    <w:snapToGrid w:val="0"/>
                    <w:spacing w:line="240" w:lineRule="auto"/>
                    <w:ind w:right="0"/>
                    <w:textAlignment w:val="auto"/>
                    <w:rPr>
                      <w:rFonts w:hint="eastAsia" w:cs="Times New Roman"/>
                      <w:color w:val="000000" w:themeColor="text1"/>
                      <w:sz w:val="21"/>
                      <w:szCs w:val="21"/>
                      <w:lang w:val="en-US" w:eastAsia="zh-CN"/>
                    </w:rPr>
                  </w:pPr>
                  <w:r>
                    <w:rPr>
                      <w:rFonts w:hint="eastAsia" w:cs="Times New Roman"/>
                      <w:color w:val="000000" w:themeColor="text1"/>
                      <w:sz w:val="21"/>
                      <w:szCs w:val="21"/>
                      <w:lang w:val="en-US" w:eastAsia="zh-CN"/>
                    </w:rPr>
                    <w:t>位于生产车间内南侧，面积约60m</w:t>
                  </w:r>
                  <w:r>
                    <w:rPr>
                      <w:rFonts w:hint="eastAsia" w:cs="Times New Roman"/>
                      <w:color w:val="000000" w:themeColor="text1"/>
                      <w:sz w:val="21"/>
                      <w:szCs w:val="21"/>
                      <w:vertAlign w:val="superscript"/>
                      <w:lang w:val="en-US" w:eastAsia="zh-CN"/>
                    </w:rPr>
                    <w:t>2</w:t>
                  </w:r>
                  <w:r>
                    <w:rPr>
                      <w:rFonts w:hint="eastAsia" w:cs="Times New Roman"/>
                      <w:color w:val="000000" w:themeColor="text1"/>
                      <w:sz w:val="21"/>
                      <w:szCs w:val="21"/>
                      <w:lang w:val="en-US" w:eastAsia="zh-CN"/>
                    </w:rPr>
                    <w:t>，布置一套变压器综合测试系统</w:t>
                  </w:r>
                </w:p>
              </w:tc>
              <w:tc>
                <w:tcPr>
                  <w:tcW w:w="762" w:type="pct"/>
                  <w:shd w:val="clear" w:color="auto" w:fill="auto"/>
                  <w:noWrap/>
                  <w:vAlign w:val="center"/>
                </w:tcPr>
                <w:p w14:paraId="2EE137D5">
                  <w:pPr>
                    <w:pStyle w:val="121"/>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cs="Times New Roman"/>
                      <w:bCs/>
                      <w:color w:val="000000" w:themeColor="text1"/>
                      <w:sz w:val="21"/>
                      <w:szCs w:val="21"/>
                      <w:lang w:val="en-US" w:eastAsia="zh-CN"/>
                    </w:rPr>
                  </w:pPr>
                  <w:r>
                    <w:rPr>
                      <w:rFonts w:hint="eastAsia" w:cs="Times New Roman"/>
                      <w:bCs/>
                      <w:color w:val="000000" w:themeColor="text1"/>
                      <w:sz w:val="21"/>
                      <w:szCs w:val="21"/>
                      <w:lang w:val="en-US" w:eastAsia="zh-CN"/>
                    </w:rPr>
                    <w:t>新建</w:t>
                  </w:r>
                </w:p>
              </w:tc>
            </w:tr>
            <w:tr w14:paraId="1513D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03" w:type="pct"/>
                  <w:vMerge w:val="restart"/>
                  <w:shd w:val="clear" w:color="auto" w:fill="auto"/>
                  <w:noWrap/>
                  <w:vAlign w:val="center"/>
                </w:tcPr>
                <w:p w14:paraId="4597C0F8">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储运工程</w:t>
                  </w:r>
                </w:p>
              </w:tc>
              <w:tc>
                <w:tcPr>
                  <w:tcW w:w="716" w:type="pct"/>
                  <w:gridSpan w:val="2"/>
                  <w:shd w:val="clear" w:color="auto" w:fill="auto"/>
                  <w:noWrap/>
                  <w:vAlign w:val="center"/>
                </w:tcPr>
                <w:p w14:paraId="520EC946">
                  <w:pPr>
                    <w:pStyle w:val="121"/>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原材料区</w:t>
                  </w:r>
                </w:p>
              </w:tc>
              <w:tc>
                <w:tcPr>
                  <w:tcW w:w="3116" w:type="pct"/>
                  <w:shd w:val="clear" w:color="auto" w:fill="auto"/>
                  <w:noWrap/>
                  <w:vAlign w:val="center"/>
                </w:tcPr>
                <w:p w14:paraId="75CE1C3A">
                  <w:pPr>
                    <w:pStyle w:val="121"/>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原材料区位于</w:t>
                  </w:r>
                  <w:r>
                    <w:rPr>
                      <w:rFonts w:hint="eastAsia" w:cs="Times New Roman"/>
                      <w:color w:val="000000" w:themeColor="text1"/>
                      <w:sz w:val="21"/>
                      <w:szCs w:val="21"/>
                      <w:lang w:val="en-US" w:eastAsia="zh-CN"/>
                    </w:rPr>
                    <w:t>生产</w:t>
                  </w:r>
                  <w:r>
                    <w:rPr>
                      <w:rFonts w:hint="default" w:ascii="Times New Roman" w:hAnsi="Times New Roman" w:cs="Times New Roman"/>
                      <w:color w:val="000000" w:themeColor="text1"/>
                      <w:sz w:val="21"/>
                      <w:szCs w:val="21"/>
                    </w:rPr>
                    <w:t>车间内</w:t>
                  </w:r>
                  <w:r>
                    <w:rPr>
                      <w:rFonts w:hint="eastAsia" w:cs="Times New Roman"/>
                      <w:color w:val="000000" w:themeColor="text1"/>
                      <w:sz w:val="21"/>
                      <w:szCs w:val="21"/>
                      <w:lang w:val="en-US" w:eastAsia="zh-CN"/>
                    </w:rPr>
                    <w:t>中部区域</w:t>
                  </w:r>
                  <w:r>
                    <w:rPr>
                      <w:rFonts w:hint="default" w:ascii="Times New Roman" w:hAnsi="Times New Roman" w:cs="Times New Roman"/>
                      <w:color w:val="000000" w:themeColor="text1"/>
                      <w:sz w:val="21"/>
                      <w:szCs w:val="21"/>
                    </w:rPr>
                    <w:t>，面积</w:t>
                  </w:r>
                  <w:r>
                    <w:rPr>
                      <w:rFonts w:hint="eastAsia" w:cs="Times New Roman"/>
                      <w:color w:val="000000" w:themeColor="text1"/>
                      <w:sz w:val="21"/>
                      <w:szCs w:val="21"/>
                      <w:lang w:val="en-US" w:eastAsia="zh-CN"/>
                    </w:rPr>
                    <w:t>50</w:t>
                  </w:r>
                  <w:r>
                    <w:rPr>
                      <w:rFonts w:hint="default" w:ascii="Times New Roman" w:hAnsi="Times New Roman" w:cs="Times New Roman"/>
                      <w:color w:val="000000" w:themeColor="text1"/>
                      <w:sz w:val="21"/>
                      <w:szCs w:val="21"/>
                    </w:rPr>
                    <w:t>0m</w:t>
                  </w:r>
                  <w:r>
                    <w:rPr>
                      <w:rFonts w:hint="default" w:ascii="Times New Roman" w:hAnsi="Times New Roman" w:cs="Times New Roman"/>
                      <w:color w:val="000000" w:themeColor="text1"/>
                      <w:sz w:val="21"/>
                      <w:szCs w:val="21"/>
                      <w:vertAlign w:val="superscript"/>
                    </w:rPr>
                    <w:t>2</w:t>
                  </w:r>
                  <w:r>
                    <w:rPr>
                      <w:rFonts w:hint="default" w:ascii="Times New Roman" w:hAnsi="Times New Roman" w:cs="Times New Roman"/>
                      <w:color w:val="000000" w:themeColor="text1"/>
                      <w:sz w:val="21"/>
                      <w:szCs w:val="21"/>
                    </w:rPr>
                    <w:t>，存储</w:t>
                  </w:r>
                  <w:r>
                    <w:rPr>
                      <w:rFonts w:hint="eastAsia" w:cs="Times New Roman"/>
                      <w:color w:val="000000" w:themeColor="text1"/>
                      <w:sz w:val="21"/>
                      <w:szCs w:val="21"/>
                      <w:lang w:val="en-US" w:eastAsia="zh-CN"/>
                    </w:rPr>
                    <w:t>铜箔、铜线、铝线、铝线、绝缘材料、铁芯、焊接材料</w:t>
                  </w:r>
                  <w:r>
                    <w:rPr>
                      <w:rFonts w:hint="default" w:ascii="Times New Roman" w:hAnsi="Times New Roman" w:cs="Times New Roman"/>
                      <w:color w:val="000000" w:themeColor="text1"/>
                      <w:sz w:val="21"/>
                      <w:szCs w:val="21"/>
                    </w:rPr>
                    <w:t>等</w:t>
                  </w:r>
                </w:p>
              </w:tc>
              <w:tc>
                <w:tcPr>
                  <w:tcW w:w="762" w:type="pct"/>
                  <w:shd w:val="clear" w:color="auto" w:fill="auto"/>
                  <w:noWrap/>
                  <w:vAlign w:val="center"/>
                </w:tcPr>
                <w:p w14:paraId="6871842C">
                  <w:pPr>
                    <w:pStyle w:val="121"/>
                    <w:keepNext w:val="0"/>
                    <w:keepLines w:val="0"/>
                    <w:pageBreakBefore w:val="0"/>
                    <w:kinsoku/>
                    <w:wordWrap/>
                    <w:overflowPunct/>
                    <w:topLinePunct w:val="0"/>
                    <w:autoSpaceDE/>
                    <w:autoSpaceDN/>
                    <w:bidi w:val="0"/>
                    <w:adjustRightInd w:val="0"/>
                    <w:snapToGrid w:val="0"/>
                    <w:spacing w:line="240" w:lineRule="auto"/>
                    <w:ind w:right="0"/>
                    <w:textAlignment w:val="auto"/>
                    <w:rPr>
                      <w:rFonts w:hint="eastAsia" w:ascii="Times New Roman" w:hAnsi="Times New Roman" w:eastAsia="宋体" w:cs="Times New Roman"/>
                      <w:color w:val="000000" w:themeColor="text1"/>
                      <w:sz w:val="21"/>
                      <w:szCs w:val="21"/>
                      <w:lang w:eastAsia="zh-CN"/>
                    </w:rPr>
                  </w:pPr>
                  <w:r>
                    <w:rPr>
                      <w:rFonts w:hint="eastAsia" w:cs="Times New Roman"/>
                      <w:bCs/>
                      <w:color w:val="000000" w:themeColor="text1"/>
                      <w:sz w:val="21"/>
                      <w:szCs w:val="21"/>
                      <w:lang w:val="en-US" w:eastAsia="zh-CN"/>
                    </w:rPr>
                    <w:t>新建</w:t>
                  </w:r>
                </w:p>
              </w:tc>
            </w:tr>
            <w:tr w14:paraId="120789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03" w:type="pct"/>
                  <w:vMerge w:val="continue"/>
                  <w:shd w:val="clear" w:color="auto" w:fill="auto"/>
                  <w:noWrap/>
                  <w:vAlign w:val="center"/>
                </w:tcPr>
                <w:p w14:paraId="1D25EA0B">
                  <w:pPr>
                    <w:pStyle w:val="121"/>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color w:val="000000" w:themeColor="text1"/>
                      <w:sz w:val="21"/>
                      <w:szCs w:val="21"/>
                    </w:rPr>
                  </w:pPr>
                </w:p>
              </w:tc>
              <w:tc>
                <w:tcPr>
                  <w:tcW w:w="716" w:type="pct"/>
                  <w:gridSpan w:val="2"/>
                  <w:shd w:val="clear" w:color="auto" w:fill="auto"/>
                  <w:noWrap/>
                  <w:vAlign w:val="center"/>
                </w:tcPr>
                <w:p w14:paraId="0835BD66">
                  <w:pPr>
                    <w:pStyle w:val="121"/>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成品区</w:t>
                  </w:r>
                </w:p>
              </w:tc>
              <w:tc>
                <w:tcPr>
                  <w:tcW w:w="3116" w:type="pct"/>
                  <w:shd w:val="clear" w:color="auto" w:fill="auto"/>
                  <w:noWrap/>
                  <w:vAlign w:val="center"/>
                </w:tcPr>
                <w:p w14:paraId="7BFB78A7">
                  <w:pPr>
                    <w:pStyle w:val="121"/>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成品区位于</w:t>
                  </w:r>
                  <w:r>
                    <w:rPr>
                      <w:rFonts w:hint="eastAsia" w:cs="Times New Roman"/>
                      <w:color w:val="000000" w:themeColor="text1"/>
                      <w:sz w:val="21"/>
                      <w:szCs w:val="21"/>
                      <w:lang w:val="en-US" w:eastAsia="zh-CN"/>
                    </w:rPr>
                    <w:t>成产车间内东侧</w:t>
                  </w:r>
                  <w:r>
                    <w:rPr>
                      <w:rFonts w:hint="default" w:ascii="Times New Roman" w:hAnsi="Times New Roman" w:cs="Times New Roman"/>
                      <w:color w:val="000000" w:themeColor="text1"/>
                      <w:sz w:val="21"/>
                      <w:szCs w:val="21"/>
                    </w:rPr>
                    <w:t>，面积</w:t>
                  </w:r>
                  <w:r>
                    <w:rPr>
                      <w:rFonts w:hint="eastAsia" w:cs="Times New Roman"/>
                      <w:color w:val="000000" w:themeColor="text1"/>
                      <w:sz w:val="21"/>
                      <w:szCs w:val="21"/>
                      <w:lang w:val="en-US" w:eastAsia="zh-CN"/>
                    </w:rPr>
                    <w:t>40</w:t>
                  </w:r>
                  <w:r>
                    <w:rPr>
                      <w:rFonts w:hint="default" w:ascii="Times New Roman" w:hAnsi="Times New Roman" w:cs="Times New Roman"/>
                      <w:color w:val="000000" w:themeColor="text1"/>
                      <w:sz w:val="21"/>
                      <w:szCs w:val="21"/>
                    </w:rPr>
                    <w:t>0m</w:t>
                  </w:r>
                  <w:r>
                    <w:rPr>
                      <w:rFonts w:hint="default" w:ascii="Times New Roman" w:hAnsi="Times New Roman" w:cs="Times New Roman"/>
                      <w:color w:val="000000" w:themeColor="text1"/>
                      <w:sz w:val="21"/>
                      <w:szCs w:val="21"/>
                      <w:vertAlign w:val="superscript"/>
                    </w:rPr>
                    <w:t>2</w:t>
                  </w:r>
                  <w:r>
                    <w:rPr>
                      <w:rFonts w:hint="eastAsia" w:cs="Times New Roman"/>
                      <w:color w:val="000000" w:themeColor="text1"/>
                      <w:sz w:val="21"/>
                      <w:szCs w:val="21"/>
                      <w:vertAlign w:val="baseline"/>
                      <w:lang w:eastAsia="zh-CN"/>
                    </w:rPr>
                    <w:t>，</w:t>
                  </w:r>
                  <w:r>
                    <w:rPr>
                      <w:rFonts w:hint="eastAsia" w:cs="Times New Roman"/>
                      <w:color w:val="000000" w:themeColor="text1"/>
                      <w:sz w:val="21"/>
                      <w:szCs w:val="21"/>
                      <w:vertAlign w:val="baseline"/>
                      <w:lang w:val="en-US" w:eastAsia="zh-CN"/>
                    </w:rPr>
                    <w:t>主要用于存储油浸式变压器、干式变压器和配电控制设备</w:t>
                  </w:r>
                </w:p>
              </w:tc>
              <w:tc>
                <w:tcPr>
                  <w:tcW w:w="762" w:type="pct"/>
                  <w:shd w:val="clear" w:color="auto" w:fill="auto"/>
                  <w:noWrap/>
                  <w:vAlign w:val="center"/>
                </w:tcPr>
                <w:p w14:paraId="7E333A96">
                  <w:pPr>
                    <w:pStyle w:val="121"/>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eastAsia="宋体" w:cs="Times New Roman"/>
                      <w:bCs/>
                      <w:color w:val="000000" w:themeColor="text1"/>
                      <w:sz w:val="21"/>
                      <w:szCs w:val="21"/>
                      <w:lang w:val="en-US" w:eastAsia="zh-CN"/>
                    </w:rPr>
                  </w:pPr>
                  <w:r>
                    <w:rPr>
                      <w:rFonts w:hint="eastAsia" w:cs="Times New Roman"/>
                      <w:bCs/>
                      <w:color w:val="000000" w:themeColor="text1"/>
                      <w:sz w:val="21"/>
                      <w:szCs w:val="21"/>
                      <w:lang w:val="en-US" w:eastAsia="zh-CN"/>
                    </w:rPr>
                    <w:t>新建</w:t>
                  </w:r>
                </w:p>
              </w:tc>
            </w:tr>
            <w:tr w14:paraId="5DDE3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03" w:type="pct"/>
                  <w:vMerge w:val="continue"/>
                  <w:shd w:val="clear" w:color="auto" w:fill="auto"/>
                  <w:noWrap/>
                  <w:vAlign w:val="center"/>
                </w:tcPr>
                <w:p w14:paraId="6B6198C2">
                  <w:pPr>
                    <w:pStyle w:val="121"/>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color w:val="000000" w:themeColor="text1"/>
                      <w:sz w:val="21"/>
                      <w:szCs w:val="21"/>
                    </w:rPr>
                  </w:pPr>
                </w:p>
              </w:tc>
              <w:tc>
                <w:tcPr>
                  <w:tcW w:w="716" w:type="pct"/>
                  <w:gridSpan w:val="2"/>
                  <w:shd w:val="clear" w:color="auto" w:fill="auto"/>
                  <w:noWrap/>
                  <w:vAlign w:val="center"/>
                </w:tcPr>
                <w:p w14:paraId="18FAE69D">
                  <w:pPr>
                    <w:pStyle w:val="121"/>
                    <w:keepNext w:val="0"/>
                    <w:keepLines w:val="0"/>
                    <w:pageBreakBefore w:val="0"/>
                    <w:kinsoku/>
                    <w:wordWrap/>
                    <w:overflowPunct/>
                    <w:topLinePunct w:val="0"/>
                    <w:autoSpaceDE/>
                    <w:autoSpaceDN/>
                    <w:bidi w:val="0"/>
                    <w:adjustRightInd w:val="0"/>
                    <w:snapToGrid w:val="0"/>
                    <w:spacing w:line="240" w:lineRule="auto"/>
                    <w:ind w:right="0"/>
                    <w:textAlignment w:val="auto"/>
                    <w:rPr>
                      <w:rFonts w:hint="eastAsia" w:ascii="Times New Roman" w:hAnsi="Times New Roman" w:eastAsia="宋体" w:cs="Times New Roman"/>
                      <w:bCs/>
                      <w:color w:val="000000" w:themeColor="text1"/>
                      <w:sz w:val="21"/>
                      <w:szCs w:val="21"/>
                      <w:lang w:eastAsia="zh-CN"/>
                    </w:rPr>
                  </w:pPr>
                  <w:r>
                    <w:rPr>
                      <w:rFonts w:hint="eastAsia" w:cs="Times New Roman"/>
                      <w:bCs/>
                      <w:color w:val="000000" w:themeColor="text1"/>
                      <w:sz w:val="21"/>
                      <w:szCs w:val="21"/>
                      <w:lang w:val="en-US" w:eastAsia="zh-CN"/>
                    </w:rPr>
                    <w:t>油罐区</w:t>
                  </w:r>
                </w:p>
              </w:tc>
              <w:tc>
                <w:tcPr>
                  <w:tcW w:w="3116" w:type="pct"/>
                  <w:shd w:val="clear" w:color="auto" w:fill="auto"/>
                  <w:noWrap/>
                  <w:vAlign w:val="center"/>
                </w:tcPr>
                <w:p w14:paraId="752B95F8">
                  <w:pPr>
                    <w:pStyle w:val="121"/>
                    <w:keepNext w:val="0"/>
                    <w:keepLines w:val="0"/>
                    <w:pageBreakBefore w:val="0"/>
                    <w:kinsoku/>
                    <w:wordWrap/>
                    <w:overflowPunct/>
                    <w:topLinePunct w:val="0"/>
                    <w:autoSpaceDE/>
                    <w:autoSpaceDN/>
                    <w:bidi w:val="0"/>
                    <w:adjustRightInd w:val="0"/>
                    <w:snapToGrid w:val="0"/>
                    <w:spacing w:line="240" w:lineRule="auto"/>
                    <w:ind w:right="0"/>
                    <w:textAlignment w:val="auto"/>
                    <w:rPr>
                      <w:rFonts w:hint="eastAsia" w:cs="Times New Roman"/>
                      <w:color w:val="000000" w:themeColor="text1"/>
                      <w:sz w:val="21"/>
                      <w:szCs w:val="21"/>
                      <w:lang w:val="en-US" w:eastAsia="zh-CN"/>
                    </w:rPr>
                  </w:pPr>
                  <w:r>
                    <w:rPr>
                      <w:rFonts w:hint="eastAsia" w:cs="Times New Roman"/>
                      <w:color w:val="000000" w:themeColor="text1"/>
                      <w:sz w:val="21"/>
                      <w:szCs w:val="21"/>
                      <w:lang w:val="en-US" w:eastAsia="zh-CN"/>
                    </w:rPr>
                    <w:t>在生产车间内北侧设置1个变压器油储罐，为不锈钢储罐，储罐容积为4m</w:t>
                  </w:r>
                  <w:r>
                    <w:rPr>
                      <w:rFonts w:hint="eastAsia" w:cs="Times New Roman"/>
                      <w:color w:val="000000" w:themeColor="text1"/>
                      <w:sz w:val="21"/>
                      <w:szCs w:val="21"/>
                      <w:vertAlign w:val="superscript"/>
                      <w:lang w:val="en-US" w:eastAsia="zh-CN"/>
                    </w:rPr>
                    <w:t>3</w:t>
                  </w:r>
                  <w:r>
                    <w:rPr>
                      <w:rFonts w:hint="eastAsia" w:cs="Times New Roman"/>
                      <w:color w:val="000000" w:themeColor="text1"/>
                      <w:sz w:val="21"/>
                      <w:szCs w:val="21"/>
                      <w:lang w:val="en-US" w:eastAsia="zh-CN"/>
                    </w:rPr>
                    <w:t>，最大贮存变压器油3t，储罐为地上储罐，储罐区设置围堰，围堰尺寸为2.5*3*0.6m</w:t>
                  </w:r>
                </w:p>
              </w:tc>
              <w:tc>
                <w:tcPr>
                  <w:tcW w:w="762" w:type="pct"/>
                  <w:shd w:val="clear" w:color="auto" w:fill="auto"/>
                  <w:noWrap/>
                  <w:vAlign w:val="center"/>
                </w:tcPr>
                <w:p w14:paraId="65D246B3">
                  <w:pPr>
                    <w:pStyle w:val="121"/>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新建</w:t>
                  </w:r>
                </w:p>
              </w:tc>
            </w:tr>
            <w:tr w14:paraId="47CF45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03" w:type="pct"/>
                  <w:vMerge w:val="continue"/>
                  <w:shd w:val="clear" w:color="auto" w:fill="auto"/>
                  <w:noWrap/>
                  <w:vAlign w:val="center"/>
                </w:tcPr>
                <w:p w14:paraId="3D2E0982">
                  <w:pPr>
                    <w:pStyle w:val="121"/>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color w:val="000000" w:themeColor="text1"/>
                      <w:sz w:val="21"/>
                      <w:szCs w:val="21"/>
                    </w:rPr>
                  </w:pPr>
                </w:p>
              </w:tc>
              <w:tc>
                <w:tcPr>
                  <w:tcW w:w="716" w:type="pct"/>
                  <w:gridSpan w:val="2"/>
                  <w:shd w:val="clear" w:color="auto" w:fill="auto"/>
                  <w:noWrap/>
                  <w:vAlign w:val="center"/>
                </w:tcPr>
                <w:p w14:paraId="0EEE0C6C">
                  <w:pPr>
                    <w:pStyle w:val="121"/>
                    <w:keepNext w:val="0"/>
                    <w:keepLines w:val="0"/>
                    <w:pageBreakBefore w:val="0"/>
                    <w:kinsoku/>
                    <w:wordWrap/>
                    <w:overflowPunct/>
                    <w:topLinePunct w:val="0"/>
                    <w:autoSpaceDE/>
                    <w:autoSpaceDN/>
                    <w:bidi w:val="0"/>
                    <w:adjustRightInd w:val="0"/>
                    <w:snapToGrid w:val="0"/>
                    <w:spacing w:line="240" w:lineRule="auto"/>
                    <w:ind w:right="0"/>
                    <w:textAlignment w:val="auto"/>
                    <w:rPr>
                      <w:rFonts w:hint="eastAsia" w:ascii="Times New Roman" w:hAnsi="Times New Roman" w:eastAsia="宋体" w:cs="Times New Roman"/>
                      <w:bCs/>
                      <w:color w:val="000000" w:themeColor="text1"/>
                      <w:sz w:val="21"/>
                      <w:szCs w:val="21"/>
                      <w:lang w:eastAsia="zh-CN"/>
                    </w:rPr>
                  </w:pPr>
                  <w:r>
                    <w:rPr>
                      <w:rFonts w:hint="eastAsia" w:cs="Times New Roman"/>
                      <w:bCs/>
                      <w:color w:val="000000" w:themeColor="text1"/>
                      <w:sz w:val="21"/>
                      <w:szCs w:val="21"/>
                      <w:lang w:val="en-US" w:eastAsia="zh-CN"/>
                    </w:rPr>
                    <w:t>化学品库</w:t>
                  </w:r>
                </w:p>
              </w:tc>
              <w:tc>
                <w:tcPr>
                  <w:tcW w:w="3116" w:type="pct"/>
                  <w:shd w:val="clear" w:color="auto" w:fill="auto"/>
                  <w:noWrap/>
                  <w:vAlign w:val="center"/>
                </w:tcPr>
                <w:p w14:paraId="3AD5EF13">
                  <w:pPr>
                    <w:pStyle w:val="121"/>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在生产车间</w:t>
                  </w:r>
                  <w:r>
                    <w:rPr>
                      <w:rFonts w:hint="eastAsia" w:cs="Times New Roman"/>
                      <w:color w:val="000000" w:themeColor="text1"/>
                      <w:sz w:val="21"/>
                      <w:szCs w:val="21"/>
                      <w:lang w:val="en-US" w:eastAsia="zh-CN"/>
                    </w:rPr>
                    <w:t>内东</w:t>
                  </w:r>
                  <w:r>
                    <w:rPr>
                      <w:rFonts w:hint="default" w:ascii="Times New Roman" w:hAnsi="Times New Roman" w:cs="Times New Roman"/>
                      <w:color w:val="000000" w:themeColor="text1"/>
                      <w:sz w:val="21"/>
                      <w:szCs w:val="21"/>
                    </w:rPr>
                    <w:t>侧设置</w:t>
                  </w:r>
                  <w:r>
                    <w:rPr>
                      <w:rFonts w:hint="eastAsia" w:cs="Times New Roman"/>
                      <w:color w:val="000000" w:themeColor="text1"/>
                      <w:sz w:val="21"/>
                      <w:szCs w:val="21"/>
                      <w:lang w:val="en-US" w:eastAsia="zh-CN"/>
                    </w:rPr>
                    <w:t>化学品</w:t>
                  </w:r>
                  <w:r>
                    <w:rPr>
                      <w:rFonts w:hint="default" w:ascii="Times New Roman" w:hAnsi="Times New Roman" w:cs="Times New Roman"/>
                      <w:color w:val="000000" w:themeColor="text1"/>
                      <w:sz w:val="21"/>
                      <w:szCs w:val="21"/>
                    </w:rPr>
                    <w:t>库，</w:t>
                  </w:r>
                  <w:r>
                    <w:rPr>
                      <w:rFonts w:hint="eastAsia" w:cs="Times New Roman"/>
                      <w:color w:val="000000" w:themeColor="text1"/>
                      <w:sz w:val="21"/>
                      <w:szCs w:val="21"/>
                      <w:lang w:val="en-US" w:eastAsia="zh-CN"/>
                    </w:rPr>
                    <w:t>主要储存环氧树脂A料、B料、脱模剂，环氧树脂A料和B料最大储存量分别为1.5t，脱模剂最大储存量为0.001t</w:t>
                  </w:r>
                </w:p>
              </w:tc>
              <w:tc>
                <w:tcPr>
                  <w:tcW w:w="762" w:type="pct"/>
                  <w:shd w:val="clear" w:color="auto" w:fill="auto"/>
                  <w:noWrap/>
                  <w:vAlign w:val="center"/>
                </w:tcPr>
                <w:p w14:paraId="200E7897">
                  <w:pPr>
                    <w:pStyle w:val="121"/>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新建</w:t>
                  </w:r>
                </w:p>
              </w:tc>
            </w:tr>
            <w:tr w14:paraId="394B95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03" w:type="pct"/>
                  <w:vMerge w:val="restart"/>
                  <w:shd w:val="clear" w:color="auto" w:fill="auto"/>
                  <w:noWrap/>
                  <w:vAlign w:val="center"/>
                </w:tcPr>
                <w:p w14:paraId="33239948">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color w:val="000000" w:themeColor="text1"/>
                      <w:sz w:val="21"/>
                      <w:szCs w:val="21"/>
                    </w:rPr>
                    <w:t>公用工程</w:t>
                  </w:r>
                </w:p>
              </w:tc>
              <w:tc>
                <w:tcPr>
                  <w:tcW w:w="716" w:type="pct"/>
                  <w:gridSpan w:val="2"/>
                  <w:shd w:val="clear" w:color="auto" w:fill="auto"/>
                  <w:noWrap/>
                  <w:vAlign w:val="center"/>
                </w:tcPr>
                <w:p w14:paraId="2118947E">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给水系统</w:t>
                  </w:r>
                </w:p>
              </w:tc>
              <w:tc>
                <w:tcPr>
                  <w:tcW w:w="3116" w:type="pct"/>
                  <w:shd w:val="clear" w:color="auto" w:fill="auto"/>
                  <w:noWrap/>
                  <w:vAlign w:val="center"/>
                </w:tcPr>
                <w:p w14:paraId="138874A4">
                  <w:pPr>
                    <w:pStyle w:val="121"/>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本项目用水主要为员工生活用水</w:t>
                  </w:r>
                  <w:r>
                    <w:rPr>
                      <w:rFonts w:hint="eastAsia" w:cs="Times New Roman"/>
                      <w:bCs/>
                      <w:color w:val="000000" w:themeColor="text1"/>
                      <w:sz w:val="21"/>
                      <w:szCs w:val="21"/>
                      <w:lang w:eastAsia="zh-CN"/>
                    </w:rPr>
                    <w:t>，</w:t>
                  </w:r>
                  <w:r>
                    <w:rPr>
                      <w:rFonts w:hint="default" w:ascii="Times New Roman" w:hAnsi="Times New Roman" w:cs="Times New Roman"/>
                      <w:bCs/>
                      <w:color w:val="000000" w:themeColor="text1"/>
                      <w:sz w:val="21"/>
                      <w:szCs w:val="21"/>
                    </w:rPr>
                    <w:t>年用水</w:t>
                  </w:r>
                  <w:r>
                    <w:rPr>
                      <w:rFonts w:hint="eastAsia" w:cs="Times New Roman"/>
                      <w:bCs/>
                      <w:color w:val="000000" w:themeColor="text1"/>
                      <w:sz w:val="21"/>
                      <w:szCs w:val="21"/>
                      <w:lang w:val="en-US" w:eastAsia="zh-CN"/>
                    </w:rPr>
                    <w:t>约360m</w:t>
                  </w:r>
                  <w:r>
                    <w:rPr>
                      <w:rFonts w:hint="eastAsia" w:cs="Times New Roman"/>
                      <w:bCs/>
                      <w:color w:val="000000" w:themeColor="text1"/>
                      <w:sz w:val="21"/>
                      <w:szCs w:val="21"/>
                      <w:vertAlign w:val="superscript"/>
                      <w:lang w:val="en-US" w:eastAsia="zh-CN"/>
                    </w:rPr>
                    <w:t>3</w:t>
                  </w:r>
                  <w:r>
                    <w:rPr>
                      <w:rFonts w:hint="default" w:ascii="Times New Roman" w:hAnsi="Times New Roman" w:cs="Times New Roman"/>
                      <w:bCs/>
                      <w:color w:val="000000" w:themeColor="text1"/>
                      <w:sz w:val="21"/>
                      <w:szCs w:val="21"/>
                    </w:rPr>
                    <w:t>，由园区供水管网提供</w:t>
                  </w:r>
                </w:p>
              </w:tc>
              <w:tc>
                <w:tcPr>
                  <w:tcW w:w="762" w:type="pct"/>
                  <w:shd w:val="clear" w:color="auto" w:fill="auto"/>
                  <w:noWrap/>
                  <w:vAlign w:val="center"/>
                </w:tcPr>
                <w:p w14:paraId="5EE32D03">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eastAsia" w:ascii="Times New Roman" w:hAnsi="Times New Roman" w:eastAsia="宋体" w:cs="Times New Roman"/>
                      <w:bCs/>
                      <w:color w:val="000000" w:themeColor="text1"/>
                      <w:sz w:val="21"/>
                      <w:szCs w:val="21"/>
                      <w:lang w:eastAsia="zh-CN"/>
                    </w:rPr>
                  </w:pPr>
                  <w:r>
                    <w:rPr>
                      <w:rFonts w:hint="default" w:ascii="Times New Roman" w:hAnsi="Times New Roman" w:cs="Times New Roman"/>
                      <w:bCs/>
                      <w:color w:val="000000" w:themeColor="text1"/>
                      <w:sz w:val="21"/>
                      <w:szCs w:val="21"/>
                    </w:rPr>
                    <w:t>新建</w:t>
                  </w:r>
                </w:p>
              </w:tc>
            </w:tr>
            <w:tr w14:paraId="69D3E0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03" w:type="pct"/>
                  <w:vMerge w:val="continue"/>
                  <w:shd w:val="clear" w:color="auto" w:fill="auto"/>
                  <w:noWrap/>
                  <w:vAlign w:val="center"/>
                </w:tcPr>
                <w:p w14:paraId="77C28FAF">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color w:val="000000" w:themeColor="text1"/>
                      <w:sz w:val="21"/>
                      <w:szCs w:val="21"/>
                    </w:rPr>
                  </w:pPr>
                </w:p>
              </w:tc>
              <w:tc>
                <w:tcPr>
                  <w:tcW w:w="716" w:type="pct"/>
                  <w:gridSpan w:val="2"/>
                  <w:shd w:val="clear" w:color="auto" w:fill="auto"/>
                  <w:noWrap/>
                  <w:vAlign w:val="center"/>
                </w:tcPr>
                <w:p w14:paraId="1A0950EC">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排水系统</w:t>
                  </w:r>
                </w:p>
              </w:tc>
              <w:tc>
                <w:tcPr>
                  <w:tcW w:w="3116" w:type="pct"/>
                  <w:shd w:val="clear" w:color="auto" w:fill="auto"/>
                  <w:noWrap/>
                  <w:vAlign w:val="center"/>
                </w:tcPr>
                <w:p w14:paraId="724EDE0E">
                  <w:pPr>
                    <w:pStyle w:val="121"/>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eastAsia="宋体" w:cs="Times New Roman"/>
                      <w:color w:val="000000" w:themeColor="text1"/>
                      <w:kern w:val="2"/>
                      <w:sz w:val="21"/>
                      <w:szCs w:val="21"/>
                      <w:lang w:val="en-US" w:eastAsia="zh-CN" w:bidi="ar-SA"/>
                    </w:rPr>
                  </w:pPr>
                  <w:r>
                    <w:rPr>
                      <w:rFonts w:hint="default" w:ascii="Times New Roman" w:hAnsi="Times New Roman" w:eastAsia="宋体" w:cs="Times New Roman"/>
                      <w:color w:val="000000" w:themeColor="text1"/>
                      <w:kern w:val="2"/>
                      <w:sz w:val="21"/>
                      <w:szCs w:val="21"/>
                      <w:lang w:val="en-US" w:eastAsia="zh-CN" w:bidi="ar-SA"/>
                    </w:rPr>
                    <w:t>厂区排水采取“雨</w:t>
                  </w:r>
                  <w:r>
                    <w:rPr>
                      <w:rFonts w:hint="default" w:ascii="Times New Roman" w:hAnsi="Times New Roman" w:eastAsia="宋体" w:cs="Times New Roman"/>
                      <w:color w:val="000000" w:themeColor="text1"/>
                      <w:kern w:val="2"/>
                      <w:sz w:val="21"/>
                      <w:szCs w:val="21"/>
                      <w:highlight w:val="none"/>
                      <w:lang w:val="en-US" w:eastAsia="zh-CN" w:bidi="ar-SA"/>
                    </w:rPr>
                    <w:t>污分流”体制。</w:t>
                  </w:r>
                  <w:r>
                    <w:rPr>
                      <w:rFonts w:hint="default" w:ascii="Times New Roman" w:hAnsi="Times New Roman" w:eastAsia="宋体" w:cs="Times New Roman"/>
                      <w:color w:val="000000" w:themeColor="text1"/>
                      <w:sz w:val="21"/>
                      <w:szCs w:val="21"/>
                    </w:rPr>
                    <w:t>雨水经厂区雨水管网收集后排入</w:t>
                  </w:r>
                  <w:r>
                    <w:rPr>
                      <w:rFonts w:hint="default" w:ascii="Times New Roman" w:hAnsi="Times New Roman" w:eastAsia="宋体" w:cs="Times New Roman"/>
                      <w:color w:val="000000" w:themeColor="text1"/>
                      <w:sz w:val="21"/>
                      <w:szCs w:val="21"/>
                      <w:lang w:eastAsia="zh-CN"/>
                    </w:rPr>
                    <w:t>市政雨水管网；</w:t>
                  </w:r>
                  <w:r>
                    <w:rPr>
                      <w:rFonts w:hint="default" w:ascii="Times New Roman" w:hAnsi="Times New Roman" w:eastAsia="宋体" w:cs="Times New Roman"/>
                      <w:color w:val="000000" w:themeColor="text1"/>
                      <w:sz w:val="21"/>
                      <w:szCs w:val="21"/>
                    </w:rPr>
                    <w:t>生活污水</w:t>
                  </w:r>
                  <w:r>
                    <w:rPr>
                      <w:rFonts w:hint="default" w:ascii="Times New Roman" w:hAnsi="Times New Roman" w:eastAsia="宋体" w:cs="Times New Roman"/>
                      <w:color w:val="000000" w:themeColor="text1"/>
                      <w:sz w:val="21"/>
                      <w:szCs w:val="21"/>
                      <w:lang w:eastAsia="zh-CN"/>
                    </w:rPr>
                    <w:t>经化粪池预处理后</w:t>
                  </w:r>
                  <w:r>
                    <w:rPr>
                      <w:rFonts w:hint="default" w:ascii="Times New Roman" w:hAnsi="Times New Roman" w:eastAsia="宋体" w:cs="Times New Roman"/>
                      <w:color w:val="000000" w:themeColor="text1"/>
                      <w:sz w:val="21"/>
                      <w:szCs w:val="21"/>
                      <w:lang w:val="en-US" w:eastAsia="zh-CN"/>
                    </w:rPr>
                    <w:t>通过市政污水管网</w:t>
                  </w:r>
                  <w:r>
                    <w:rPr>
                      <w:rFonts w:hint="default" w:ascii="Times New Roman" w:hAnsi="Times New Roman" w:eastAsia="宋体" w:cs="Times New Roman"/>
                      <w:color w:val="000000" w:themeColor="text1"/>
                      <w:sz w:val="21"/>
                      <w:szCs w:val="21"/>
                    </w:rPr>
                    <w:t>排入</w:t>
                  </w:r>
                  <w:r>
                    <w:rPr>
                      <w:rFonts w:hint="default" w:ascii="Times New Roman" w:hAnsi="Times New Roman" w:eastAsia="宋体" w:cs="Times New Roman"/>
                      <w:color w:val="000000" w:themeColor="text1"/>
                      <w:sz w:val="21"/>
                      <w:szCs w:val="21"/>
                      <w:lang w:val="en-US" w:eastAsia="zh-CN"/>
                    </w:rPr>
                    <w:t>龙湖污水处理厂，处理达标后的尾水排入龙河</w:t>
                  </w:r>
                </w:p>
              </w:tc>
              <w:tc>
                <w:tcPr>
                  <w:tcW w:w="762" w:type="pct"/>
                  <w:shd w:val="clear" w:color="auto" w:fill="auto"/>
                  <w:noWrap/>
                  <w:vAlign w:val="center"/>
                </w:tcPr>
                <w:p w14:paraId="239DC3AD">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color w:val="000000" w:themeColor="text1"/>
                      <w:sz w:val="21"/>
                      <w:szCs w:val="21"/>
                    </w:rPr>
                  </w:pPr>
                  <w:r>
                    <w:rPr>
                      <w:rFonts w:hint="default" w:ascii="Times New Roman" w:hAnsi="Times New Roman" w:cs="Times New Roman"/>
                      <w:bCs/>
                      <w:color w:val="000000" w:themeColor="text1"/>
                      <w:sz w:val="21"/>
                      <w:szCs w:val="21"/>
                    </w:rPr>
                    <w:t>新建</w:t>
                  </w:r>
                </w:p>
              </w:tc>
            </w:tr>
            <w:tr w14:paraId="493828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03" w:type="pct"/>
                  <w:vMerge w:val="continue"/>
                  <w:shd w:val="clear" w:color="auto" w:fill="auto"/>
                  <w:noWrap/>
                  <w:vAlign w:val="center"/>
                </w:tcPr>
                <w:p w14:paraId="74D3D3B2">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p>
              </w:tc>
              <w:tc>
                <w:tcPr>
                  <w:tcW w:w="716" w:type="pct"/>
                  <w:gridSpan w:val="2"/>
                  <w:shd w:val="clear" w:color="auto" w:fill="auto"/>
                  <w:noWrap/>
                  <w:vAlign w:val="center"/>
                </w:tcPr>
                <w:p w14:paraId="6AD306A6">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供电系统</w:t>
                  </w:r>
                </w:p>
              </w:tc>
              <w:tc>
                <w:tcPr>
                  <w:tcW w:w="3116" w:type="pct"/>
                  <w:shd w:val="clear" w:color="auto" w:fill="auto"/>
                  <w:noWrap/>
                  <w:vAlign w:val="center"/>
                </w:tcPr>
                <w:p w14:paraId="0076517E">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由市政供电系统供应，年用电约</w:t>
                  </w:r>
                  <w:r>
                    <w:rPr>
                      <w:rFonts w:hint="eastAsia" w:cs="Times New Roman"/>
                      <w:bCs/>
                      <w:color w:val="000000" w:themeColor="text1"/>
                      <w:sz w:val="21"/>
                      <w:szCs w:val="21"/>
                      <w:lang w:val="en-US" w:eastAsia="zh-CN"/>
                    </w:rPr>
                    <w:t>14.5</w:t>
                  </w:r>
                  <w:r>
                    <w:rPr>
                      <w:rFonts w:hint="default" w:ascii="Times New Roman" w:hAnsi="Times New Roman" w:cs="Times New Roman"/>
                      <w:bCs/>
                      <w:color w:val="000000" w:themeColor="text1"/>
                      <w:sz w:val="21"/>
                      <w:szCs w:val="21"/>
                    </w:rPr>
                    <w:t>万</w:t>
                  </w:r>
                  <w:r>
                    <w:rPr>
                      <w:rFonts w:hint="default" w:ascii="Times New Roman" w:hAnsi="Times New Roman" w:cs="Times New Roman"/>
                      <w:color w:val="000000" w:themeColor="text1"/>
                      <w:sz w:val="21"/>
                      <w:szCs w:val="21"/>
                    </w:rPr>
                    <w:t>KWh</w:t>
                  </w:r>
                </w:p>
              </w:tc>
              <w:tc>
                <w:tcPr>
                  <w:tcW w:w="762" w:type="pct"/>
                  <w:shd w:val="clear" w:color="auto" w:fill="auto"/>
                  <w:noWrap/>
                  <w:vAlign w:val="center"/>
                </w:tcPr>
                <w:p w14:paraId="155DD2B3">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新建</w:t>
                  </w:r>
                </w:p>
              </w:tc>
            </w:tr>
            <w:tr w14:paraId="3530D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03" w:type="pct"/>
                  <w:vMerge w:val="restart"/>
                  <w:shd w:val="clear" w:color="auto" w:fill="auto"/>
                  <w:noWrap/>
                  <w:vAlign w:val="center"/>
                </w:tcPr>
                <w:p w14:paraId="4FC0A358">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环保工程</w:t>
                  </w:r>
                </w:p>
              </w:tc>
              <w:tc>
                <w:tcPr>
                  <w:tcW w:w="223" w:type="pct"/>
                  <w:vMerge w:val="restart"/>
                  <w:shd w:val="clear" w:color="auto" w:fill="auto"/>
                  <w:noWrap/>
                  <w:vAlign w:val="center"/>
                </w:tcPr>
                <w:p w14:paraId="0F384FAF">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废气</w:t>
                  </w:r>
                </w:p>
              </w:tc>
              <w:tc>
                <w:tcPr>
                  <w:tcW w:w="493" w:type="pct"/>
                  <w:shd w:val="clear" w:color="auto" w:fill="auto"/>
                  <w:noWrap/>
                  <w:vAlign w:val="center"/>
                </w:tcPr>
                <w:p w14:paraId="1A239738">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eastAsia" w:ascii="Times New Roman" w:hAnsi="Times New Roman" w:eastAsia="宋体" w:cs="Times New Roman"/>
                      <w:bCs/>
                      <w:color w:val="000000" w:themeColor="text1"/>
                      <w:sz w:val="21"/>
                      <w:szCs w:val="21"/>
                      <w:lang w:eastAsia="zh-CN"/>
                    </w:rPr>
                  </w:pPr>
                  <w:r>
                    <w:rPr>
                      <w:rFonts w:hint="eastAsia" w:cs="Times New Roman"/>
                      <w:bCs/>
                      <w:color w:val="000000" w:themeColor="text1"/>
                      <w:sz w:val="21"/>
                      <w:szCs w:val="21"/>
                      <w:lang w:val="en-US" w:eastAsia="zh-CN"/>
                    </w:rPr>
                    <w:t>焊接</w:t>
                  </w:r>
                </w:p>
              </w:tc>
              <w:tc>
                <w:tcPr>
                  <w:tcW w:w="3116" w:type="pct"/>
                  <w:shd w:val="clear" w:color="auto" w:fill="auto"/>
                  <w:noWrap/>
                  <w:vAlign w:val="center"/>
                </w:tcPr>
                <w:p w14:paraId="1FC78A9F">
                  <w:pPr>
                    <w:pStyle w:val="121"/>
                    <w:keepNext w:val="0"/>
                    <w:keepLines w:val="0"/>
                    <w:pageBreakBefore w:val="0"/>
                    <w:kinsoku/>
                    <w:wordWrap/>
                    <w:overflowPunct/>
                    <w:topLinePunct w:val="0"/>
                    <w:autoSpaceDE/>
                    <w:autoSpaceDN/>
                    <w:bidi w:val="0"/>
                    <w:adjustRightInd w:val="0"/>
                    <w:snapToGrid w:val="0"/>
                    <w:spacing w:line="240" w:lineRule="auto"/>
                    <w:ind w:right="0" w:rightChars="0"/>
                    <w:textAlignment w:val="auto"/>
                    <w:rPr>
                      <w:rFonts w:hint="eastAsia" w:cs="Times New Roman"/>
                      <w:bCs/>
                      <w:color w:val="000000" w:themeColor="text1"/>
                      <w:kern w:val="0"/>
                      <w:sz w:val="21"/>
                      <w:szCs w:val="21"/>
                      <w:lang w:val="en-US" w:eastAsia="zh-CN"/>
                    </w:rPr>
                  </w:pPr>
                  <w:r>
                    <w:rPr>
                      <w:rFonts w:hint="eastAsia" w:cs="Times New Roman"/>
                      <w:bCs/>
                      <w:color w:val="000000" w:themeColor="text1"/>
                      <w:kern w:val="0"/>
                      <w:sz w:val="21"/>
                      <w:szCs w:val="21"/>
                      <w:lang w:val="en-US" w:eastAsia="zh-CN"/>
                    </w:rPr>
                    <w:t>线圈绕制过程产生的焊接烟尘经移动式焊烟净化器处理后无组织排放</w:t>
                  </w:r>
                </w:p>
              </w:tc>
              <w:tc>
                <w:tcPr>
                  <w:tcW w:w="762" w:type="pct"/>
                  <w:shd w:val="clear" w:color="auto" w:fill="auto"/>
                  <w:noWrap/>
                  <w:vAlign w:val="center"/>
                </w:tcPr>
                <w:p w14:paraId="38A944CD">
                  <w:pPr>
                    <w:pStyle w:val="121"/>
                    <w:keepNext w:val="0"/>
                    <w:keepLines w:val="0"/>
                    <w:pageBreakBefore w:val="0"/>
                    <w:kinsoku/>
                    <w:wordWrap/>
                    <w:overflowPunct/>
                    <w:topLinePunct w:val="0"/>
                    <w:autoSpaceDE/>
                    <w:autoSpaceDN/>
                    <w:bidi w:val="0"/>
                    <w:adjustRightInd w:val="0"/>
                    <w:snapToGrid w:val="0"/>
                    <w:spacing w:line="240" w:lineRule="auto"/>
                    <w:ind w:right="0" w:rightChars="0"/>
                    <w:textAlignment w:val="auto"/>
                    <w:rPr>
                      <w:rFonts w:hint="default" w:ascii="Times New Roman" w:hAnsi="Times New Roman" w:eastAsia="宋体" w:cs="Times New Roman"/>
                      <w:bCs/>
                      <w:color w:val="000000" w:themeColor="text1"/>
                      <w:kern w:val="0"/>
                      <w:sz w:val="21"/>
                      <w:szCs w:val="21"/>
                      <w:lang w:val="en-US" w:eastAsia="zh-CN"/>
                    </w:rPr>
                  </w:pPr>
                  <w:r>
                    <w:rPr>
                      <w:rFonts w:hint="eastAsia" w:cs="Times New Roman"/>
                      <w:bCs/>
                      <w:color w:val="000000" w:themeColor="text1"/>
                      <w:kern w:val="0"/>
                      <w:sz w:val="21"/>
                      <w:szCs w:val="21"/>
                      <w:lang w:val="en-US" w:eastAsia="zh-CN"/>
                    </w:rPr>
                    <w:t>新建</w:t>
                  </w:r>
                </w:p>
              </w:tc>
            </w:tr>
            <w:tr w14:paraId="23AF60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03" w:type="pct"/>
                  <w:vMerge w:val="continue"/>
                  <w:shd w:val="clear" w:color="auto" w:fill="auto"/>
                  <w:noWrap/>
                  <w:vAlign w:val="center"/>
                </w:tcPr>
                <w:p w14:paraId="27F0ADFE">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p>
              </w:tc>
              <w:tc>
                <w:tcPr>
                  <w:tcW w:w="223" w:type="pct"/>
                  <w:vMerge w:val="continue"/>
                  <w:shd w:val="clear" w:color="auto" w:fill="auto"/>
                  <w:noWrap/>
                  <w:vAlign w:val="center"/>
                </w:tcPr>
                <w:p w14:paraId="1700E595">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p>
              </w:tc>
              <w:tc>
                <w:tcPr>
                  <w:tcW w:w="493" w:type="pct"/>
                  <w:shd w:val="clear" w:color="auto" w:fill="auto"/>
                  <w:noWrap/>
                  <w:vAlign w:val="center"/>
                </w:tcPr>
                <w:p w14:paraId="51CDAA3B">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eastAsia" w:ascii="Times New Roman" w:hAnsi="Times New Roman" w:eastAsia="宋体" w:cs="Times New Roman"/>
                      <w:bCs/>
                      <w:color w:val="000000" w:themeColor="text1"/>
                      <w:sz w:val="21"/>
                      <w:szCs w:val="21"/>
                      <w:lang w:eastAsia="zh-CN"/>
                    </w:rPr>
                  </w:pPr>
                  <w:r>
                    <w:rPr>
                      <w:rFonts w:hint="eastAsia" w:cs="Times New Roman"/>
                      <w:bCs/>
                      <w:color w:val="000000" w:themeColor="text1"/>
                      <w:sz w:val="21"/>
                      <w:szCs w:val="21"/>
                      <w:lang w:val="en-US" w:eastAsia="zh-CN"/>
                    </w:rPr>
                    <w:t>浇筑固化</w:t>
                  </w:r>
                </w:p>
              </w:tc>
              <w:tc>
                <w:tcPr>
                  <w:tcW w:w="3116" w:type="pct"/>
                  <w:shd w:val="clear" w:color="auto" w:fill="auto"/>
                  <w:noWrap/>
                  <w:vAlign w:val="center"/>
                </w:tcPr>
                <w:p w14:paraId="65EA8ACB">
                  <w:pPr>
                    <w:pStyle w:val="121"/>
                    <w:keepNext w:val="0"/>
                    <w:keepLines w:val="0"/>
                    <w:pageBreakBefore w:val="0"/>
                    <w:kinsoku/>
                    <w:wordWrap/>
                    <w:overflowPunct/>
                    <w:topLinePunct w:val="0"/>
                    <w:autoSpaceDE/>
                    <w:autoSpaceDN/>
                    <w:bidi w:val="0"/>
                    <w:adjustRightInd w:val="0"/>
                    <w:snapToGrid w:val="0"/>
                    <w:spacing w:line="240" w:lineRule="auto"/>
                    <w:ind w:right="0"/>
                    <w:textAlignment w:val="auto"/>
                    <w:rPr>
                      <w:rFonts w:hint="eastAsia" w:cs="Times New Roman"/>
                      <w:bCs/>
                      <w:color w:val="000000" w:themeColor="text1"/>
                      <w:kern w:val="0"/>
                      <w:sz w:val="21"/>
                      <w:szCs w:val="21"/>
                      <w:lang w:val="en-US" w:eastAsia="zh-CN"/>
                    </w:rPr>
                  </w:pPr>
                  <w:r>
                    <w:rPr>
                      <w:rFonts w:hint="eastAsia" w:cs="Times New Roman"/>
                      <w:color w:val="000000" w:themeColor="text1"/>
                      <w:sz w:val="21"/>
                      <w:szCs w:val="22"/>
                      <w:lang w:val="en-US" w:eastAsia="zh-CN"/>
                    </w:rPr>
                    <w:t>浇筑废气经集气罩收集，固化废气经密封管道收集后经干式过滤棉+二级活性炭处理后经15m高排气筒DA001排放</w:t>
                  </w:r>
                </w:p>
              </w:tc>
              <w:tc>
                <w:tcPr>
                  <w:tcW w:w="762" w:type="pct"/>
                  <w:shd w:val="clear" w:color="auto" w:fill="auto"/>
                  <w:noWrap/>
                  <w:vAlign w:val="center"/>
                </w:tcPr>
                <w:p w14:paraId="3BE8E93D">
                  <w:pPr>
                    <w:pStyle w:val="121"/>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bCs/>
                      <w:color w:val="000000" w:themeColor="text1"/>
                      <w:kern w:val="0"/>
                      <w:sz w:val="21"/>
                      <w:szCs w:val="21"/>
                    </w:rPr>
                  </w:pPr>
                  <w:r>
                    <w:rPr>
                      <w:rFonts w:hint="default" w:ascii="Times New Roman" w:hAnsi="Times New Roman" w:cs="Times New Roman"/>
                      <w:bCs/>
                      <w:color w:val="000000" w:themeColor="text1"/>
                      <w:kern w:val="0"/>
                      <w:sz w:val="21"/>
                      <w:szCs w:val="21"/>
                    </w:rPr>
                    <w:t>新建</w:t>
                  </w:r>
                </w:p>
              </w:tc>
            </w:tr>
            <w:tr w14:paraId="7FED73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03" w:type="pct"/>
                  <w:vMerge w:val="continue"/>
                  <w:shd w:val="clear" w:color="auto" w:fill="auto"/>
                  <w:noWrap/>
                  <w:vAlign w:val="center"/>
                </w:tcPr>
                <w:p w14:paraId="097B65F8">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p>
              </w:tc>
              <w:tc>
                <w:tcPr>
                  <w:tcW w:w="223" w:type="pct"/>
                  <w:vMerge w:val="continue"/>
                  <w:shd w:val="clear" w:color="auto" w:fill="auto"/>
                  <w:noWrap/>
                  <w:vAlign w:val="center"/>
                </w:tcPr>
                <w:p w14:paraId="503CA8AA">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p>
              </w:tc>
              <w:tc>
                <w:tcPr>
                  <w:tcW w:w="493" w:type="pct"/>
                  <w:shd w:val="clear" w:color="auto" w:fill="auto"/>
                  <w:noWrap/>
                  <w:vAlign w:val="center"/>
                </w:tcPr>
                <w:p w14:paraId="6E62F546">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eastAsia" w:ascii="Times New Roman" w:hAnsi="Times New Roman" w:eastAsia="宋体" w:cs="Times New Roman"/>
                      <w:bCs/>
                      <w:color w:val="000000" w:themeColor="text1"/>
                      <w:sz w:val="21"/>
                      <w:szCs w:val="21"/>
                      <w:lang w:eastAsia="zh-CN"/>
                    </w:rPr>
                  </w:pPr>
                  <w:r>
                    <w:rPr>
                      <w:rFonts w:hint="eastAsia" w:cs="Times New Roman"/>
                      <w:bCs/>
                      <w:color w:val="000000" w:themeColor="text1"/>
                      <w:sz w:val="21"/>
                      <w:szCs w:val="21"/>
                      <w:lang w:val="en-US" w:eastAsia="zh-CN"/>
                    </w:rPr>
                    <w:t>油罐</w:t>
                  </w:r>
                </w:p>
              </w:tc>
              <w:tc>
                <w:tcPr>
                  <w:tcW w:w="3116" w:type="pct"/>
                  <w:shd w:val="clear" w:color="auto" w:fill="auto"/>
                  <w:noWrap/>
                  <w:vAlign w:val="center"/>
                </w:tcPr>
                <w:p w14:paraId="35DAFB49">
                  <w:pPr>
                    <w:pStyle w:val="121"/>
                    <w:keepNext w:val="0"/>
                    <w:keepLines w:val="0"/>
                    <w:pageBreakBefore w:val="0"/>
                    <w:kinsoku/>
                    <w:wordWrap/>
                    <w:overflowPunct/>
                    <w:topLinePunct w:val="0"/>
                    <w:autoSpaceDE/>
                    <w:autoSpaceDN/>
                    <w:bidi w:val="0"/>
                    <w:adjustRightInd w:val="0"/>
                    <w:snapToGrid w:val="0"/>
                    <w:spacing w:line="240" w:lineRule="auto"/>
                    <w:ind w:right="0"/>
                    <w:textAlignment w:val="auto"/>
                    <w:rPr>
                      <w:rFonts w:hint="eastAsia" w:cs="Times New Roman"/>
                      <w:bCs/>
                      <w:color w:val="000000" w:themeColor="text1"/>
                      <w:kern w:val="0"/>
                      <w:sz w:val="21"/>
                      <w:szCs w:val="21"/>
                      <w:lang w:val="en-US" w:eastAsia="zh-CN"/>
                    </w:rPr>
                  </w:pPr>
                  <w:r>
                    <w:rPr>
                      <w:rFonts w:hint="eastAsia" w:cs="Times New Roman"/>
                      <w:bCs/>
                      <w:color w:val="000000" w:themeColor="text1"/>
                      <w:kern w:val="0"/>
                      <w:sz w:val="21"/>
                      <w:szCs w:val="21"/>
                      <w:lang w:val="en-US" w:eastAsia="zh-CN"/>
                    </w:rPr>
                    <w:t>变压器油储罐产生的呼吸废气经集气罩收集后，采用干式过滤棉+二级活性炭吸附处理，处理后的废气经15m高排气筒DA001排放</w:t>
                  </w:r>
                </w:p>
              </w:tc>
              <w:tc>
                <w:tcPr>
                  <w:tcW w:w="762" w:type="pct"/>
                  <w:shd w:val="clear" w:color="auto" w:fill="auto"/>
                  <w:noWrap/>
                  <w:vAlign w:val="center"/>
                </w:tcPr>
                <w:p w14:paraId="35FDE7E8">
                  <w:pPr>
                    <w:pStyle w:val="121"/>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bCs/>
                      <w:color w:val="000000" w:themeColor="text1"/>
                      <w:kern w:val="0"/>
                      <w:sz w:val="21"/>
                      <w:szCs w:val="21"/>
                    </w:rPr>
                  </w:pPr>
                  <w:r>
                    <w:rPr>
                      <w:rFonts w:hint="default" w:ascii="Times New Roman" w:hAnsi="Times New Roman" w:cs="Times New Roman"/>
                      <w:bCs/>
                      <w:color w:val="000000" w:themeColor="text1"/>
                      <w:kern w:val="0"/>
                      <w:sz w:val="21"/>
                      <w:szCs w:val="21"/>
                    </w:rPr>
                    <w:t>新建</w:t>
                  </w:r>
                </w:p>
              </w:tc>
            </w:tr>
            <w:tr w14:paraId="52D651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03" w:type="pct"/>
                  <w:vMerge w:val="continue"/>
                  <w:shd w:val="clear" w:color="auto" w:fill="auto"/>
                  <w:noWrap/>
                  <w:vAlign w:val="center"/>
                </w:tcPr>
                <w:p w14:paraId="0EBC0426">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p>
              </w:tc>
              <w:tc>
                <w:tcPr>
                  <w:tcW w:w="716" w:type="pct"/>
                  <w:gridSpan w:val="2"/>
                  <w:shd w:val="clear" w:color="auto" w:fill="auto"/>
                  <w:noWrap/>
                  <w:vAlign w:val="center"/>
                </w:tcPr>
                <w:p w14:paraId="49F26C27">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废水</w:t>
                  </w:r>
                </w:p>
              </w:tc>
              <w:tc>
                <w:tcPr>
                  <w:tcW w:w="3116" w:type="pct"/>
                  <w:shd w:val="clear" w:color="auto" w:fill="auto"/>
                  <w:noWrap/>
                  <w:vAlign w:val="center"/>
                </w:tcPr>
                <w:p w14:paraId="09353FD1">
                  <w:pPr>
                    <w:pStyle w:val="121"/>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生活污水</w:t>
                  </w:r>
                  <w:r>
                    <w:rPr>
                      <w:rFonts w:hint="default" w:ascii="Times New Roman" w:hAnsi="Times New Roman" w:eastAsia="宋体" w:cs="Times New Roman"/>
                      <w:color w:val="000000" w:themeColor="text1"/>
                      <w:sz w:val="21"/>
                      <w:szCs w:val="21"/>
                      <w:lang w:eastAsia="zh-CN"/>
                    </w:rPr>
                    <w:t>经化粪池预处理后</w:t>
                  </w:r>
                  <w:r>
                    <w:rPr>
                      <w:rFonts w:hint="default" w:ascii="Times New Roman" w:hAnsi="Times New Roman" w:eastAsia="宋体" w:cs="Times New Roman"/>
                      <w:color w:val="000000" w:themeColor="text1"/>
                      <w:sz w:val="21"/>
                      <w:szCs w:val="21"/>
                      <w:lang w:val="en-US" w:eastAsia="zh-CN"/>
                    </w:rPr>
                    <w:t>通过市政污水管网</w:t>
                  </w:r>
                  <w:r>
                    <w:rPr>
                      <w:rFonts w:hint="default" w:ascii="Times New Roman" w:hAnsi="Times New Roman" w:eastAsia="宋体" w:cs="Times New Roman"/>
                      <w:color w:val="000000" w:themeColor="text1"/>
                      <w:sz w:val="21"/>
                      <w:szCs w:val="21"/>
                    </w:rPr>
                    <w:t>排入</w:t>
                  </w:r>
                  <w:r>
                    <w:rPr>
                      <w:rFonts w:hint="default" w:ascii="Times New Roman" w:hAnsi="Times New Roman" w:eastAsia="宋体" w:cs="Times New Roman"/>
                      <w:color w:val="000000" w:themeColor="text1"/>
                      <w:sz w:val="21"/>
                      <w:szCs w:val="21"/>
                      <w:lang w:val="en-US" w:eastAsia="zh-CN"/>
                    </w:rPr>
                    <w:t>龙湖污水处理厂，处理达标后的尾水排入龙河</w:t>
                  </w:r>
                </w:p>
              </w:tc>
              <w:tc>
                <w:tcPr>
                  <w:tcW w:w="762" w:type="pct"/>
                  <w:shd w:val="clear" w:color="auto" w:fill="auto"/>
                  <w:noWrap/>
                  <w:vAlign w:val="center"/>
                </w:tcPr>
                <w:p w14:paraId="0C9F6D19">
                  <w:pPr>
                    <w:pStyle w:val="121"/>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eastAsia="宋体" w:cs="Times New Roman"/>
                      <w:bCs/>
                      <w:color w:val="000000" w:themeColor="text1"/>
                      <w:sz w:val="21"/>
                      <w:szCs w:val="21"/>
                      <w:lang w:val="en-US" w:eastAsia="zh-CN"/>
                    </w:rPr>
                  </w:pPr>
                  <w:r>
                    <w:rPr>
                      <w:rFonts w:hint="default" w:ascii="Times New Roman" w:hAnsi="Times New Roman" w:cs="Times New Roman"/>
                      <w:bCs/>
                      <w:color w:val="000000" w:themeColor="text1"/>
                      <w:sz w:val="21"/>
                      <w:szCs w:val="21"/>
                    </w:rPr>
                    <w:t>新建</w:t>
                  </w:r>
                </w:p>
              </w:tc>
            </w:tr>
            <w:tr w14:paraId="23B7F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03" w:type="pct"/>
                  <w:vMerge w:val="continue"/>
                  <w:shd w:val="clear" w:color="auto" w:fill="auto"/>
                  <w:noWrap/>
                  <w:vAlign w:val="center"/>
                </w:tcPr>
                <w:p w14:paraId="6FAAC2FF">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p>
              </w:tc>
              <w:tc>
                <w:tcPr>
                  <w:tcW w:w="223" w:type="pct"/>
                  <w:vMerge w:val="restart"/>
                  <w:shd w:val="clear" w:color="auto" w:fill="auto"/>
                  <w:noWrap/>
                  <w:vAlign w:val="center"/>
                </w:tcPr>
                <w:p w14:paraId="408ECFC1">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固废</w:t>
                  </w:r>
                </w:p>
              </w:tc>
              <w:tc>
                <w:tcPr>
                  <w:tcW w:w="493" w:type="pct"/>
                  <w:shd w:val="clear" w:color="auto" w:fill="auto"/>
                  <w:noWrap/>
                  <w:vAlign w:val="center"/>
                </w:tcPr>
                <w:p w14:paraId="66D203EE">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一般工业固废</w:t>
                  </w:r>
                </w:p>
              </w:tc>
              <w:tc>
                <w:tcPr>
                  <w:tcW w:w="3116" w:type="pct"/>
                  <w:shd w:val="clear" w:color="auto" w:fill="auto"/>
                  <w:noWrap/>
                  <w:vAlign w:val="center"/>
                </w:tcPr>
                <w:p w14:paraId="520C1B59">
                  <w:pPr>
                    <w:pStyle w:val="121"/>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在生产车间内北侧设置一般固废区，面积约为</w:t>
                  </w:r>
                  <w:r>
                    <w:rPr>
                      <w:rFonts w:hint="eastAsia" w:cs="Times New Roman"/>
                      <w:color w:val="000000" w:themeColor="text1"/>
                      <w:sz w:val="21"/>
                      <w:szCs w:val="21"/>
                      <w:lang w:val="en-US" w:eastAsia="zh-CN"/>
                    </w:rPr>
                    <w:t>2</w:t>
                  </w:r>
                  <w:r>
                    <w:rPr>
                      <w:rFonts w:hint="default" w:ascii="Times New Roman" w:hAnsi="Times New Roman" w:cs="Times New Roman"/>
                      <w:color w:val="000000" w:themeColor="text1"/>
                      <w:sz w:val="21"/>
                      <w:szCs w:val="21"/>
                    </w:rPr>
                    <w:t>0m</w:t>
                  </w:r>
                  <w:r>
                    <w:rPr>
                      <w:rFonts w:hint="default" w:ascii="Times New Roman" w:hAnsi="Times New Roman" w:cs="Times New Roman"/>
                      <w:color w:val="000000" w:themeColor="text1"/>
                      <w:sz w:val="21"/>
                      <w:szCs w:val="21"/>
                      <w:vertAlign w:val="superscript"/>
                    </w:rPr>
                    <w:t>2</w:t>
                  </w:r>
                  <w:r>
                    <w:rPr>
                      <w:rFonts w:hint="default" w:ascii="Times New Roman" w:hAnsi="Times New Roman" w:cs="Times New Roman"/>
                      <w:color w:val="000000" w:themeColor="text1"/>
                      <w:sz w:val="21"/>
                      <w:szCs w:val="21"/>
                    </w:rPr>
                    <w:t>，</w:t>
                  </w:r>
                  <w:r>
                    <w:rPr>
                      <w:rFonts w:hint="eastAsia" w:cs="Times New Roman"/>
                      <w:color w:val="000000" w:themeColor="text1"/>
                      <w:sz w:val="21"/>
                      <w:szCs w:val="21"/>
                      <w:lang w:val="en-US" w:eastAsia="zh-CN"/>
                    </w:rPr>
                    <w:t>项目产生的废铜（铝）线、废铜（铝）箔、废绝缘材料、废边角料、</w:t>
                  </w:r>
                  <w:r>
                    <w:rPr>
                      <w:rFonts w:hint="eastAsia" w:cs="Times New Roman"/>
                      <w:color w:val="000000" w:themeColor="text1"/>
                      <w:kern w:val="0"/>
                      <w:sz w:val="21"/>
                      <w:szCs w:val="21"/>
                      <w:lang w:val="en-US" w:eastAsia="zh-CN"/>
                    </w:rPr>
                    <w:t>废包装材料（不含化学品包装桶）</w:t>
                  </w:r>
                  <w:r>
                    <w:rPr>
                      <w:rFonts w:hint="default" w:ascii="Times New Roman" w:hAnsi="Times New Roman" w:cs="Times New Roman"/>
                      <w:color w:val="000000" w:themeColor="text1"/>
                      <w:sz w:val="21"/>
                      <w:szCs w:val="21"/>
                    </w:rPr>
                    <w:t>等收集后暂存一般固废区定期外售。</w:t>
                  </w:r>
                </w:p>
              </w:tc>
              <w:tc>
                <w:tcPr>
                  <w:tcW w:w="762" w:type="pct"/>
                  <w:shd w:val="clear" w:color="auto" w:fill="auto"/>
                  <w:noWrap/>
                  <w:vAlign w:val="center"/>
                </w:tcPr>
                <w:p w14:paraId="14DED8F5">
                  <w:pPr>
                    <w:pStyle w:val="121"/>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eastAsia="宋体" w:cs="Times New Roman"/>
                      <w:color w:val="000000" w:themeColor="text1"/>
                      <w:sz w:val="21"/>
                      <w:szCs w:val="21"/>
                      <w:lang w:val="en-US" w:eastAsia="zh-CN"/>
                    </w:rPr>
                  </w:pPr>
                  <w:r>
                    <w:rPr>
                      <w:rFonts w:hint="default" w:ascii="Times New Roman" w:hAnsi="Times New Roman" w:cs="Times New Roman"/>
                      <w:bCs/>
                      <w:color w:val="000000" w:themeColor="text1"/>
                      <w:sz w:val="21"/>
                      <w:szCs w:val="21"/>
                    </w:rPr>
                    <w:t>新建</w:t>
                  </w:r>
                </w:p>
              </w:tc>
            </w:tr>
            <w:tr w14:paraId="063E47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03" w:type="pct"/>
                  <w:vMerge w:val="continue"/>
                  <w:shd w:val="clear" w:color="auto" w:fill="auto"/>
                  <w:noWrap/>
                  <w:vAlign w:val="center"/>
                </w:tcPr>
                <w:p w14:paraId="65A989E0">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p>
              </w:tc>
              <w:tc>
                <w:tcPr>
                  <w:tcW w:w="223" w:type="pct"/>
                  <w:vMerge w:val="continue"/>
                  <w:shd w:val="clear" w:color="auto" w:fill="auto"/>
                  <w:noWrap/>
                  <w:vAlign w:val="center"/>
                </w:tcPr>
                <w:p w14:paraId="7B64A059">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p>
              </w:tc>
              <w:tc>
                <w:tcPr>
                  <w:tcW w:w="493" w:type="pct"/>
                  <w:shd w:val="clear" w:color="auto" w:fill="auto"/>
                  <w:noWrap/>
                  <w:vAlign w:val="center"/>
                </w:tcPr>
                <w:p w14:paraId="3F506D88">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危险废物</w:t>
                  </w:r>
                </w:p>
              </w:tc>
              <w:tc>
                <w:tcPr>
                  <w:tcW w:w="3116" w:type="pct"/>
                  <w:shd w:val="clear" w:color="auto" w:fill="auto"/>
                  <w:noWrap/>
                  <w:vAlign w:val="center"/>
                </w:tcPr>
                <w:p w14:paraId="67D6022B">
                  <w:pPr>
                    <w:pStyle w:val="121"/>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在生产车间</w:t>
                  </w:r>
                  <w:r>
                    <w:rPr>
                      <w:rFonts w:hint="eastAsia" w:ascii="Times New Roman" w:hAnsi="Times New Roman" w:cs="Times New Roman"/>
                      <w:color w:val="000000" w:themeColor="text1"/>
                      <w:sz w:val="21"/>
                      <w:szCs w:val="21"/>
                      <w:lang w:val="en-US" w:eastAsia="zh-CN"/>
                    </w:rPr>
                    <w:t>外西侧</w:t>
                  </w:r>
                  <w:r>
                    <w:rPr>
                      <w:rFonts w:hint="eastAsia" w:cs="Times New Roman"/>
                      <w:color w:val="000000" w:themeColor="text1"/>
                      <w:sz w:val="21"/>
                      <w:szCs w:val="21"/>
                      <w:lang w:val="en-US" w:eastAsia="zh-CN"/>
                    </w:rPr>
                    <w:t>设置危废暂存间，面积约为2</w:t>
                  </w:r>
                  <w:r>
                    <w:rPr>
                      <w:rFonts w:hint="default" w:ascii="Times New Roman" w:hAnsi="Times New Roman" w:cs="Times New Roman"/>
                      <w:color w:val="000000" w:themeColor="text1"/>
                      <w:sz w:val="21"/>
                      <w:szCs w:val="21"/>
                      <w:lang w:eastAsia="zh-CN"/>
                    </w:rPr>
                    <w:t>0m</w:t>
                  </w:r>
                  <w:r>
                    <w:rPr>
                      <w:rFonts w:hint="default" w:ascii="Times New Roman" w:hAnsi="Times New Roman" w:cs="Times New Roman"/>
                      <w:color w:val="000000" w:themeColor="text1"/>
                      <w:sz w:val="21"/>
                      <w:szCs w:val="21"/>
                      <w:vertAlign w:val="superscript"/>
                    </w:rPr>
                    <w:t>2</w:t>
                  </w:r>
                  <w:r>
                    <w:rPr>
                      <w:rFonts w:hint="default" w:ascii="Times New Roman" w:hAnsi="Times New Roman" w:cs="Times New Roman"/>
                      <w:color w:val="000000" w:themeColor="text1"/>
                      <w:sz w:val="21"/>
                      <w:szCs w:val="21"/>
                    </w:rPr>
                    <w:t>，项目产生的</w:t>
                  </w:r>
                  <w:r>
                    <w:rPr>
                      <w:rFonts w:hint="eastAsia" w:cs="Times New Roman"/>
                      <w:color w:val="000000" w:themeColor="text1"/>
                      <w:sz w:val="21"/>
                      <w:szCs w:val="21"/>
                      <w:lang w:val="en-US" w:eastAsia="zh-CN"/>
                    </w:rPr>
                    <w:t>废滤芯、油渣、固化后的废环氧树脂料、</w:t>
                  </w:r>
                  <w:r>
                    <w:rPr>
                      <w:rFonts w:hint="default" w:ascii="Times New Roman" w:hAnsi="Times New Roman" w:cs="Times New Roman"/>
                      <w:color w:val="000000" w:themeColor="text1"/>
                      <w:sz w:val="21"/>
                      <w:szCs w:val="21"/>
                    </w:rPr>
                    <w:t>废活性炭、</w:t>
                  </w:r>
                  <w:r>
                    <w:rPr>
                      <w:rFonts w:hint="eastAsia" w:cs="Times New Roman"/>
                      <w:color w:val="000000" w:themeColor="text1"/>
                      <w:sz w:val="21"/>
                      <w:szCs w:val="21"/>
                      <w:lang w:val="en-US" w:eastAsia="zh-CN"/>
                    </w:rPr>
                    <w:t>废过滤棉、</w:t>
                  </w:r>
                  <w:r>
                    <w:rPr>
                      <w:rFonts w:hint="default" w:ascii="Times New Roman" w:hAnsi="Times New Roman" w:cs="Times New Roman"/>
                      <w:color w:val="000000" w:themeColor="text1"/>
                      <w:sz w:val="21"/>
                      <w:szCs w:val="21"/>
                    </w:rPr>
                    <w:t>废</w:t>
                  </w:r>
                  <w:r>
                    <w:rPr>
                      <w:rFonts w:hint="eastAsia" w:cs="Times New Roman"/>
                      <w:color w:val="000000" w:themeColor="text1"/>
                      <w:sz w:val="21"/>
                      <w:szCs w:val="21"/>
                      <w:lang w:val="en-US" w:eastAsia="zh-CN"/>
                    </w:rPr>
                    <w:t>环氧树脂桶</w:t>
                  </w:r>
                  <w:r>
                    <w:rPr>
                      <w:rFonts w:hint="default" w:ascii="Times New Roman" w:hAnsi="Times New Roman" w:cs="Times New Roman"/>
                      <w:color w:val="000000" w:themeColor="text1"/>
                      <w:sz w:val="21"/>
                      <w:szCs w:val="21"/>
                    </w:rPr>
                    <w:t>等暂存危废间，委托有资质单位进行处置</w:t>
                  </w:r>
                </w:p>
              </w:tc>
              <w:tc>
                <w:tcPr>
                  <w:tcW w:w="762" w:type="pct"/>
                  <w:shd w:val="clear" w:color="auto" w:fill="auto"/>
                  <w:noWrap/>
                  <w:vAlign w:val="center"/>
                </w:tcPr>
                <w:p w14:paraId="531BA7ED">
                  <w:pPr>
                    <w:pStyle w:val="121"/>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新建</w:t>
                  </w:r>
                </w:p>
              </w:tc>
            </w:tr>
            <w:tr w14:paraId="06DACC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03" w:type="pct"/>
                  <w:vMerge w:val="continue"/>
                  <w:shd w:val="clear" w:color="auto" w:fill="auto"/>
                  <w:noWrap/>
                  <w:vAlign w:val="center"/>
                </w:tcPr>
                <w:p w14:paraId="20916B98">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p>
              </w:tc>
              <w:tc>
                <w:tcPr>
                  <w:tcW w:w="223" w:type="pct"/>
                  <w:vMerge w:val="continue"/>
                  <w:shd w:val="clear" w:color="auto" w:fill="auto"/>
                  <w:noWrap/>
                  <w:vAlign w:val="center"/>
                </w:tcPr>
                <w:p w14:paraId="6E7B44D3">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p>
              </w:tc>
              <w:tc>
                <w:tcPr>
                  <w:tcW w:w="493" w:type="pct"/>
                  <w:shd w:val="clear" w:color="auto" w:fill="auto"/>
                  <w:noWrap/>
                  <w:vAlign w:val="center"/>
                </w:tcPr>
                <w:p w14:paraId="3BAD9379">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生活垃圾</w:t>
                  </w:r>
                </w:p>
              </w:tc>
              <w:tc>
                <w:tcPr>
                  <w:tcW w:w="3116" w:type="pct"/>
                  <w:shd w:val="clear" w:color="auto" w:fill="auto"/>
                  <w:noWrap/>
                  <w:vAlign w:val="center"/>
                </w:tcPr>
                <w:p w14:paraId="6367285C">
                  <w:pPr>
                    <w:pStyle w:val="121"/>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生活垃圾委托环卫部门清运</w:t>
                  </w:r>
                </w:p>
              </w:tc>
              <w:tc>
                <w:tcPr>
                  <w:tcW w:w="762" w:type="pct"/>
                  <w:shd w:val="clear" w:color="auto" w:fill="auto"/>
                  <w:noWrap/>
                  <w:vAlign w:val="center"/>
                </w:tcPr>
                <w:p w14:paraId="73C6DACD">
                  <w:pPr>
                    <w:pStyle w:val="121"/>
                    <w:keepNext w:val="0"/>
                    <w:keepLines w:val="0"/>
                    <w:pageBreakBefore w:val="0"/>
                    <w:kinsoku/>
                    <w:wordWrap/>
                    <w:overflowPunct/>
                    <w:topLinePunct w:val="0"/>
                    <w:autoSpaceDE/>
                    <w:autoSpaceDN/>
                    <w:bidi w:val="0"/>
                    <w:adjustRightInd w:val="0"/>
                    <w:snapToGrid w:val="0"/>
                    <w:spacing w:line="240" w:lineRule="auto"/>
                    <w:ind w:right="0"/>
                    <w:textAlignment w:val="auto"/>
                    <w:rPr>
                      <w:rFonts w:hint="eastAsia" w:ascii="Times New Roman" w:hAnsi="Times New Roman" w:eastAsia="宋体" w:cs="Times New Roman"/>
                      <w:color w:val="000000" w:themeColor="text1"/>
                      <w:sz w:val="21"/>
                      <w:szCs w:val="21"/>
                      <w:lang w:eastAsia="zh-CN"/>
                    </w:rPr>
                  </w:pPr>
                  <w:r>
                    <w:rPr>
                      <w:rFonts w:hint="default" w:ascii="Times New Roman" w:hAnsi="Times New Roman" w:cs="Times New Roman"/>
                      <w:bCs/>
                      <w:color w:val="000000" w:themeColor="text1"/>
                      <w:sz w:val="21"/>
                      <w:szCs w:val="21"/>
                    </w:rPr>
                    <w:t>新建</w:t>
                  </w:r>
                </w:p>
              </w:tc>
            </w:tr>
            <w:tr w14:paraId="0A104D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03" w:type="pct"/>
                  <w:vMerge w:val="continue"/>
                  <w:shd w:val="clear" w:color="auto" w:fill="auto"/>
                  <w:noWrap/>
                  <w:vAlign w:val="center"/>
                </w:tcPr>
                <w:p w14:paraId="415C20FA">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p>
              </w:tc>
              <w:tc>
                <w:tcPr>
                  <w:tcW w:w="716" w:type="pct"/>
                  <w:gridSpan w:val="2"/>
                  <w:shd w:val="clear" w:color="auto" w:fill="auto"/>
                  <w:noWrap/>
                  <w:vAlign w:val="center"/>
                </w:tcPr>
                <w:p w14:paraId="238734E3">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噪声</w:t>
                  </w:r>
                </w:p>
              </w:tc>
              <w:tc>
                <w:tcPr>
                  <w:tcW w:w="3116" w:type="pct"/>
                  <w:shd w:val="clear" w:color="auto" w:fill="auto"/>
                  <w:noWrap/>
                  <w:vAlign w:val="center"/>
                </w:tcPr>
                <w:p w14:paraId="2BC5E16C">
                  <w:pPr>
                    <w:pStyle w:val="121"/>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选用低噪设备，</w:t>
                  </w:r>
                  <w:r>
                    <w:rPr>
                      <w:rFonts w:hint="eastAsia" w:cs="Times New Roman"/>
                      <w:color w:val="000000" w:themeColor="text1"/>
                      <w:sz w:val="21"/>
                      <w:szCs w:val="21"/>
                      <w:lang w:val="en-US" w:eastAsia="zh-CN"/>
                    </w:rPr>
                    <w:t>风机</w:t>
                  </w:r>
                  <w:r>
                    <w:rPr>
                      <w:rFonts w:hint="default" w:ascii="Times New Roman" w:hAnsi="Times New Roman" w:cs="Times New Roman"/>
                      <w:color w:val="000000" w:themeColor="text1"/>
                      <w:sz w:val="21"/>
                      <w:szCs w:val="21"/>
                    </w:rPr>
                    <w:t>采用安装消声器、隔声、减振等措施</w:t>
                  </w:r>
                </w:p>
              </w:tc>
              <w:tc>
                <w:tcPr>
                  <w:tcW w:w="762" w:type="pct"/>
                  <w:shd w:val="clear" w:color="auto" w:fill="auto"/>
                  <w:noWrap/>
                  <w:vAlign w:val="center"/>
                </w:tcPr>
                <w:p w14:paraId="3FFA20B5">
                  <w:pPr>
                    <w:pStyle w:val="121"/>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color w:val="000000" w:themeColor="text1"/>
                      <w:sz w:val="21"/>
                      <w:szCs w:val="21"/>
                    </w:rPr>
                  </w:pPr>
                  <w:r>
                    <w:rPr>
                      <w:rFonts w:hint="eastAsia" w:cs="Times New Roman"/>
                      <w:bCs/>
                      <w:color w:val="000000" w:themeColor="text1"/>
                      <w:sz w:val="21"/>
                      <w:szCs w:val="21"/>
                      <w:lang w:val="en-US" w:eastAsia="zh-CN"/>
                    </w:rPr>
                    <w:t>新建</w:t>
                  </w:r>
                </w:p>
              </w:tc>
            </w:tr>
            <w:tr w14:paraId="073665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03" w:type="pct"/>
                  <w:vMerge w:val="continue"/>
                  <w:shd w:val="clear" w:color="auto" w:fill="auto"/>
                  <w:noWrap/>
                  <w:vAlign w:val="center"/>
                </w:tcPr>
                <w:p w14:paraId="6006B6DD">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p>
              </w:tc>
              <w:tc>
                <w:tcPr>
                  <w:tcW w:w="223" w:type="pct"/>
                  <w:vMerge w:val="restart"/>
                  <w:shd w:val="clear" w:color="auto" w:fill="auto"/>
                  <w:noWrap/>
                  <w:vAlign w:val="center"/>
                </w:tcPr>
                <w:p w14:paraId="5491D75D">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土壤及地下水</w:t>
                  </w:r>
                </w:p>
              </w:tc>
              <w:tc>
                <w:tcPr>
                  <w:tcW w:w="493" w:type="pct"/>
                  <w:shd w:val="clear" w:color="auto" w:fill="auto"/>
                  <w:noWrap/>
                  <w:vAlign w:val="center"/>
                </w:tcPr>
                <w:p w14:paraId="5321F77C">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一般防渗</w:t>
                  </w:r>
                </w:p>
              </w:tc>
              <w:tc>
                <w:tcPr>
                  <w:tcW w:w="3116" w:type="pct"/>
                  <w:shd w:val="clear" w:color="auto" w:fill="auto"/>
                  <w:noWrap/>
                  <w:vAlign w:val="center"/>
                </w:tcPr>
                <w:p w14:paraId="36D7018A">
                  <w:pPr>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生产区域等效黏土防渗层Mb≧1.5m，K≦1*10</w:t>
                  </w:r>
                  <w:r>
                    <w:rPr>
                      <w:rFonts w:hint="default" w:ascii="Times New Roman" w:hAnsi="Times New Roman" w:cs="Times New Roman"/>
                      <w:color w:val="000000" w:themeColor="text1"/>
                      <w:sz w:val="21"/>
                      <w:szCs w:val="21"/>
                      <w:vertAlign w:val="superscript"/>
                    </w:rPr>
                    <w:t>-7</w:t>
                  </w:r>
                  <w:r>
                    <w:rPr>
                      <w:rFonts w:hint="default" w:ascii="Times New Roman" w:hAnsi="Times New Roman" w:cs="Times New Roman"/>
                      <w:color w:val="000000" w:themeColor="text1"/>
                      <w:sz w:val="21"/>
                      <w:szCs w:val="21"/>
                    </w:rPr>
                    <w:t>cm/s</w:t>
                  </w:r>
                </w:p>
              </w:tc>
              <w:tc>
                <w:tcPr>
                  <w:tcW w:w="762" w:type="pct"/>
                  <w:shd w:val="clear" w:color="auto" w:fill="auto"/>
                  <w:noWrap/>
                  <w:vAlign w:val="center"/>
                </w:tcPr>
                <w:p w14:paraId="2A06739C">
                  <w:pPr>
                    <w:pStyle w:val="121"/>
                    <w:keepNext w:val="0"/>
                    <w:keepLines w:val="0"/>
                    <w:pageBreakBefore w:val="0"/>
                    <w:kinsoku/>
                    <w:wordWrap/>
                    <w:overflowPunct/>
                    <w:topLinePunct w:val="0"/>
                    <w:autoSpaceDE/>
                    <w:autoSpaceDN/>
                    <w:bidi w:val="0"/>
                    <w:adjustRightInd w:val="0"/>
                    <w:snapToGrid w:val="0"/>
                    <w:spacing w:line="240" w:lineRule="auto"/>
                    <w:ind w:right="0"/>
                    <w:textAlignment w:val="auto"/>
                    <w:rPr>
                      <w:rFonts w:hint="eastAsia" w:ascii="Times New Roman" w:hAnsi="Times New Roman" w:eastAsia="宋体" w:cs="Times New Roman"/>
                      <w:color w:val="000000" w:themeColor="text1"/>
                      <w:sz w:val="21"/>
                      <w:szCs w:val="21"/>
                      <w:lang w:eastAsia="zh-CN"/>
                    </w:rPr>
                  </w:pPr>
                  <w:r>
                    <w:rPr>
                      <w:rFonts w:hint="default" w:ascii="Times New Roman" w:hAnsi="Times New Roman" w:cs="Times New Roman"/>
                      <w:bCs/>
                      <w:color w:val="000000" w:themeColor="text1"/>
                      <w:sz w:val="21"/>
                      <w:szCs w:val="21"/>
                    </w:rPr>
                    <w:t>新建</w:t>
                  </w:r>
                </w:p>
              </w:tc>
            </w:tr>
            <w:tr w14:paraId="387E17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03" w:type="pct"/>
                  <w:vMerge w:val="continue"/>
                  <w:shd w:val="clear" w:color="auto" w:fill="auto"/>
                  <w:noWrap/>
                  <w:vAlign w:val="center"/>
                </w:tcPr>
                <w:p w14:paraId="437690F0">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p>
              </w:tc>
              <w:tc>
                <w:tcPr>
                  <w:tcW w:w="223" w:type="pct"/>
                  <w:vMerge w:val="continue"/>
                  <w:shd w:val="clear" w:color="auto" w:fill="auto"/>
                  <w:noWrap/>
                  <w:vAlign w:val="center"/>
                </w:tcPr>
                <w:p w14:paraId="35D72E1E">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p>
              </w:tc>
              <w:tc>
                <w:tcPr>
                  <w:tcW w:w="493" w:type="pct"/>
                  <w:shd w:val="clear" w:color="auto" w:fill="auto"/>
                  <w:noWrap/>
                  <w:vAlign w:val="center"/>
                </w:tcPr>
                <w:p w14:paraId="2F6A3FCB">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重点防渗</w:t>
                  </w:r>
                </w:p>
              </w:tc>
              <w:tc>
                <w:tcPr>
                  <w:tcW w:w="3116" w:type="pct"/>
                  <w:shd w:val="clear" w:color="auto" w:fill="auto"/>
                  <w:noWrap/>
                  <w:vAlign w:val="center"/>
                </w:tcPr>
                <w:p w14:paraId="3379A432">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eastAsia" w:cs="Times New Roman"/>
                      <w:color w:val="000000" w:themeColor="text1"/>
                      <w:sz w:val="21"/>
                      <w:szCs w:val="21"/>
                      <w:lang w:val="en-US" w:eastAsia="zh-CN"/>
                    </w:rPr>
                  </w:pPr>
                  <w:r>
                    <w:rPr>
                      <w:rFonts w:hint="eastAsia" w:cs="Times New Roman"/>
                      <w:color w:val="000000" w:themeColor="text1"/>
                      <w:sz w:val="21"/>
                      <w:szCs w:val="21"/>
                      <w:lang w:val="en-US" w:eastAsia="zh-CN"/>
                    </w:rPr>
                    <w:t>变压器油储罐（含围堰）区、注油区、危废暂存间、化学品库、浇筑固化区</w:t>
                  </w:r>
                  <w:r>
                    <w:rPr>
                      <w:rFonts w:hint="default" w:ascii="Times New Roman" w:hAnsi="Times New Roman" w:cs="Times New Roman"/>
                      <w:color w:val="000000" w:themeColor="text1"/>
                      <w:sz w:val="21"/>
                      <w:szCs w:val="21"/>
                    </w:rPr>
                    <w:t>等区域等效黏土防渗层Mb≧6m，K≦1×10</w:t>
                  </w:r>
                  <w:r>
                    <w:rPr>
                      <w:rFonts w:hint="default" w:ascii="Times New Roman" w:hAnsi="Times New Roman" w:cs="Times New Roman"/>
                      <w:color w:val="000000" w:themeColor="text1"/>
                      <w:sz w:val="21"/>
                      <w:szCs w:val="21"/>
                      <w:vertAlign w:val="superscript"/>
                    </w:rPr>
                    <w:t>-7</w:t>
                  </w:r>
                  <w:r>
                    <w:rPr>
                      <w:rFonts w:hint="default" w:ascii="Times New Roman" w:hAnsi="Times New Roman" w:cs="Times New Roman"/>
                      <w:color w:val="000000" w:themeColor="text1"/>
                      <w:sz w:val="21"/>
                      <w:szCs w:val="21"/>
                    </w:rPr>
                    <w:t>cm/s。</w:t>
                  </w:r>
                </w:p>
              </w:tc>
              <w:tc>
                <w:tcPr>
                  <w:tcW w:w="762" w:type="pct"/>
                  <w:shd w:val="clear" w:color="auto" w:fill="auto"/>
                  <w:noWrap/>
                  <w:vAlign w:val="center"/>
                </w:tcPr>
                <w:p w14:paraId="020CCEC4">
                  <w:pPr>
                    <w:pStyle w:val="121"/>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新建</w:t>
                  </w:r>
                </w:p>
              </w:tc>
            </w:tr>
            <w:tr w14:paraId="1BB5F3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03" w:type="pct"/>
                  <w:vMerge w:val="continue"/>
                  <w:shd w:val="clear" w:color="auto" w:fill="auto"/>
                  <w:noWrap/>
                  <w:vAlign w:val="center"/>
                </w:tcPr>
                <w:p w14:paraId="28F952DA">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p>
              </w:tc>
              <w:tc>
                <w:tcPr>
                  <w:tcW w:w="716" w:type="pct"/>
                  <w:gridSpan w:val="2"/>
                  <w:shd w:val="clear" w:color="auto" w:fill="auto"/>
                  <w:noWrap/>
                  <w:vAlign w:val="center"/>
                </w:tcPr>
                <w:p w14:paraId="5FE30485">
                  <w:pPr>
                    <w:keepNext w:val="0"/>
                    <w:keepLines w:val="0"/>
                    <w:pageBreakBefore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Cs/>
                      <w:color w:val="000000" w:themeColor="text1"/>
                      <w:sz w:val="21"/>
                      <w:szCs w:val="21"/>
                    </w:rPr>
                  </w:pPr>
                  <w:r>
                    <w:rPr>
                      <w:rFonts w:hint="default" w:ascii="Times New Roman" w:hAnsi="Times New Roman" w:cs="Times New Roman"/>
                      <w:color w:val="000000" w:themeColor="text1"/>
                      <w:sz w:val="21"/>
                      <w:szCs w:val="21"/>
                    </w:rPr>
                    <w:t>环境风险</w:t>
                  </w:r>
                </w:p>
              </w:tc>
              <w:tc>
                <w:tcPr>
                  <w:tcW w:w="3116" w:type="pct"/>
                  <w:shd w:val="clear" w:color="auto" w:fill="auto"/>
                  <w:noWrap/>
                  <w:vAlign w:val="center"/>
                </w:tcPr>
                <w:p w14:paraId="320F3550">
                  <w:pPr>
                    <w:pStyle w:val="85"/>
                    <w:keepNext w:val="0"/>
                    <w:keepLines w:val="0"/>
                    <w:pageBreakBefore w:val="0"/>
                    <w:widowControl/>
                    <w:kinsoku/>
                    <w:wordWrap/>
                    <w:overflowPunct/>
                    <w:topLinePunct w:val="0"/>
                    <w:autoSpaceDE/>
                    <w:autoSpaceDN/>
                    <w:bidi w:val="0"/>
                    <w:adjustRightInd w:val="0"/>
                    <w:snapToGrid w:val="0"/>
                    <w:spacing w:before="0" w:after="0" w:line="240" w:lineRule="auto"/>
                    <w:ind w:right="0"/>
                    <w:jc w:val="left"/>
                    <w:textAlignment w:val="auto"/>
                    <w:rPr>
                      <w:rFonts w:hint="default" w:ascii="Times New Roman" w:hAnsi="Times New Roman" w:cs="Times New Roman"/>
                      <w:color w:val="000000" w:themeColor="text1"/>
                      <w:sz w:val="21"/>
                      <w:szCs w:val="21"/>
                      <w:lang w:val="en-US" w:eastAsia="zh-CN"/>
                    </w:rPr>
                  </w:pPr>
                  <w:r>
                    <w:rPr>
                      <w:rFonts w:hint="default" w:ascii="Times New Roman" w:hAnsi="Times New Roman" w:cs="Times New Roman"/>
                      <w:color w:val="000000" w:themeColor="text1"/>
                      <w:sz w:val="21"/>
                      <w:szCs w:val="21"/>
                      <w:lang w:val="en-US" w:eastAsia="zh-CN"/>
                    </w:rPr>
                    <w:t>加强培训，落实责任到人，配备应急物资，</w:t>
                  </w:r>
                  <w:r>
                    <w:rPr>
                      <w:rFonts w:hint="eastAsia" w:cs="Times New Roman"/>
                      <w:color w:val="000000" w:themeColor="text1"/>
                      <w:sz w:val="21"/>
                      <w:szCs w:val="21"/>
                      <w:lang w:val="en-US" w:eastAsia="zh-CN"/>
                    </w:rPr>
                    <w:t>变压器油储罐区设置围堰，围堰尺寸为2.5*3*0.6m，设置60m</w:t>
                  </w:r>
                  <w:r>
                    <w:rPr>
                      <w:rFonts w:hint="eastAsia" w:cs="Times New Roman"/>
                      <w:color w:val="000000" w:themeColor="text1"/>
                      <w:sz w:val="21"/>
                      <w:szCs w:val="21"/>
                      <w:vertAlign w:val="superscript"/>
                      <w:lang w:val="en-US" w:eastAsia="zh-CN"/>
                    </w:rPr>
                    <w:t>3</w:t>
                  </w:r>
                  <w:r>
                    <w:rPr>
                      <w:rFonts w:hint="eastAsia" w:cs="Times New Roman"/>
                      <w:color w:val="000000" w:themeColor="text1"/>
                      <w:sz w:val="21"/>
                      <w:szCs w:val="21"/>
                      <w:lang w:val="en-US" w:eastAsia="zh-CN"/>
                    </w:rPr>
                    <w:t>的事故应急池</w:t>
                  </w:r>
                </w:p>
              </w:tc>
              <w:tc>
                <w:tcPr>
                  <w:tcW w:w="762" w:type="pct"/>
                  <w:shd w:val="clear" w:color="auto" w:fill="auto"/>
                  <w:noWrap/>
                  <w:vAlign w:val="center"/>
                </w:tcPr>
                <w:p w14:paraId="49ACC2C4">
                  <w:pPr>
                    <w:pStyle w:val="121"/>
                    <w:keepNext w:val="0"/>
                    <w:keepLines w:val="0"/>
                    <w:pageBreakBefore w:val="0"/>
                    <w:kinsoku/>
                    <w:wordWrap/>
                    <w:overflowPunct/>
                    <w:topLinePunct w:val="0"/>
                    <w:autoSpaceDE/>
                    <w:autoSpaceDN/>
                    <w:bidi w:val="0"/>
                    <w:adjustRightInd w:val="0"/>
                    <w:snapToGrid w:val="0"/>
                    <w:spacing w:line="240" w:lineRule="auto"/>
                    <w:ind w:right="0"/>
                    <w:textAlignment w:val="auto"/>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新建</w:t>
                  </w:r>
                </w:p>
              </w:tc>
            </w:tr>
          </w:tbl>
          <w:p w14:paraId="2263DE2E">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000000" w:themeColor="text1"/>
                <w:sz w:val="24"/>
                <w:szCs w:val="24"/>
                <w:lang w:val="en-US" w:eastAsia="zh-CN"/>
              </w:rPr>
            </w:pPr>
            <w:r>
              <w:rPr>
                <w:rFonts w:hint="default" w:ascii="Times New Roman" w:hAnsi="Times New Roman" w:cs="Times New Roman"/>
                <w:b/>
                <w:bCs/>
                <w:color w:val="000000" w:themeColor="text1"/>
                <w:sz w:val="24"/>
                <w:szCs w:val="24"/>
              </w:rPr>
              <w:t>三、</w:t>
            </w:r>
            <w:r>
              <w:rPr>
                <w:rFonts w:hint="eastAsia" w:cs="Times New Roman"/>
                <w:b/>
                <w:bCs/>
                <w:color w:val="000000" w:themeColor="text1"/>
                <w:sz w:val="24"/>
                <w:szCs w:val="24"/>
                <w:lang w:val="en-US" w:eastAsia="zh-CN"/>
              </w:rPr>
              <w:t>产品方案</w:t>
            </w:r>
          </w:p>
          <w:p w14:paraId="5DCA816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Style w:val="41"/>
                <w:rFonts w:hint="default" w:ascii="Times New Roman" w:hAnsi="Times New Roman" w:cs="Times New Roman"/>
                <w:color w:val="000000" w:themeColor="text1"/>
                <w:sz w:val="24"/>
                <w:szCs w:val="24"/>
              </w:rPr>
            </w:pPr>
            <w:r>
              <w:rPr>
                <w:rFonts w:hint="eastAsia" w:cs="Times New Roman"/>
                <w:b w:val="0"/>
                <w:bCs w:val="0"/>
                <w:color w:val="000000" w:themeColor="text1"/>
                <w:sz w:val="24"/>
                <w:szCs w:val="24"/>
                <w:lang w:val="en-US" w:eastAsia="zh-CN"/>
              </w:rPr>
              <w:t>本次厂址变更后，项目产能不变，</w:t>
            </w:r>
            <w:r>
              <w:rPr>
                <w:rFonts w:hint="default" w:ascii="Times New Roman" w:hAnsi="Times New Roman" w:cs="Times New Roman"/>
                <w:color w:val="000000" w:themeColor="text1"/>
                <w:sz w:val="24"/>
                <w:szCs w:val="24"/>
              </w:rPr>
              <w:t>年产油浸式变压器350台、干式变压器500台、配电控制设备年产150台</w:t>
            </w:r>
            <w:r>
              <w:rPr>
                <w:rStyle w:val="41"/>
                <w:rFonts w:hint="default" w:ascii="Times New Roman" w:hAnsi="Times New Roman" w:cs="Times New Roman"/>
                <w:color w:val="000000" w:themeColor="text1"/>
                <w:sz w:val="24"/>
                <w:szCs w:val="24"/>
              </w:rPr>
              <w:t>。</w:t>
            </w:r>
          </w:p>
          <w:p w14:paraId="47AAA36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000000" w:themeColor="text1"/>
                <w:sz w:val="24"/>
                <w:szCs w:val="24"/>
                <w:lang w:val="en-US" w:eastAsia="zh-CN"/>
              </w:rPr>
            </w:pPr>
            <w:r>
              <w:rPr>
                <w:rFonts w:hint="eastAsia" w:cs="Times New Roman"/>
                <w:b/>
                <w:bCs/>
                <w:color w:val="000000" w:themeColor="text1"/>
                <w:sz w:val="24"/>
                <w:szCs w:val="24"/>
                <w:lang w:val="en-US" w:eastAsia="zh-CN"/>
              </w:rPr>
              <w:t>表2-6  项目产品方案及产能一览表</w:t>
            </w:r>
          </w:p>
          <w:tbl>
            <w:tblPr>
              <w:tblStyle w:val="3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4"/>
              <w:gridCol w:w="1010"/>
              <w:gridCol w:w="907"/>
              <w:gridCol w:w="1980"/>
              <w:gridCol w:w="1980"/>
              <w:gridCol w:w="1981"/>
            </w:tblGrid>
            <w:tr w14:paraId="058CD1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8" w:type="pct"/>
                  <w:tcBorders>
                    <w:top w:val="single" w:color="auto" w:sz="4" w:space="0"/>
                    <w:left w:val="single" w:color="auto" w:sz="4" w:space="0"/>
                    <w:bottom w:val="single" w:color="auto" w:sz="4" w:space="0"/>
                    <w:right w:val="single" w:color="auto" w:sz="4" w:space="0"/>
                  </w:tcBorders>
                  <w:vAlign w:val="center"/>
                </w:tcPr>
                <w:p w14:paraId="19CDD291">
                  <w:pPr>
                    <w:widowControl/>
                    <w:adjustRightInd w:val="0"/>
                    <w:snapToGrid w:val="0"/>
                    <w:spacing w:line="240" w:lineRule="auto"/>
                    <w:jc w:val="center"/>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序号</w:t>
                  </w:r>
                </w:p>
              </w:tc>
              <w:tc>
                <w:tcPr>
                  <w:tcW w:w="601" w:type="pct"/>
                  <w:tcBorders>
                    <w:top w:val="single" w:color="auto" w:sz="4" w:space="0"/>
                    <w:left w:val="single" w:color="auto" w:sz="4" w:space="0"/>
                    <w:bottom w:val="single" w:color="auto" w:sz="4" w:space="0"/>
                    <w:right w:val="single" w:color="auto" w:sz="4" w:space="0"/>
                  </w:tcBorders>
                  <w:vAlign w:val="center"/>
                </w:tcPr>
                <w:p w14:paraId="4BF0D0A4">
                  <w:pPr>
                    <w:widowControl/>
                    <w:adjustRightInd w:val="0"/>
                    <w:snapToGrid w:val="0"/>
                    <w:spacing w:line="240" w:lineRule="auto"/>
                    <w:jc w:val="center"/>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产品名称</w:t>
                  </w:r>
                </w:p>
              </w:tc>
              <w:tc>
                <w:tcPr>
                  <w:tcW w:w="540" w:type="pct"/>
                  <w:tcBorders>
                    <w:top w:val="single" w:color="auto" w:sz="4" w:space="0"/>
                    <w:left w:val="single" w:color="auto" w:sz="4" w:space="0"/>
                    <w:bottom w:val="single" w:color="auto" w:sz="4" w:space="0"/>
                    <w:right w:val="single" w:color="auto" w:sz="4" w:space="0"/>
                  </w:tcBorders>
                  <w:vAlign w:val="center"/>
                </w:tcPr>
                <w:p w14:paraId="6E84FBFF">
                  <w:pPr>
                    <w:widowControl/>
                    <w:adjustRightInd w:val="0"/>
                    <w:snapToGrid w:val="0"/>
                    <w:spacing w:line="240" w:lineRule="auto"/>
                    <w:jc w:val="center"/>
                    <w:textAlignment w:val="center"/>
                    <w:rPr>
                      <w:rFonts w:hint="eastAsia" w:ascii="Times New Roman" w:hAnsi="Times New Roman" w:cs="Times New Roman"/>
                      <w:color w:val="000000" w:themeColor="text1"/>
                      <w:sz w:val="21"/>
                      <w:szCs w:val="21"/>
                      <w:lang w:eastAsia="zh-CN"/>
                    </w:rPr>
                  </w:pPr>
                  <w:r>
                    <w:rPr>
                      <w:rFonts w:hint="eastAsia" w:ascii="Times New Roman" w:hAnsi="Times New Roman" w:cs="Times New Roman"/>
                      <w:color w:val="000000" w:themeColor="text1"/>
                      <w:sz w:val="21"/>
                      <w:szCs w:val="21"/>
                      <w:lang w:val="en-US" w:eastAsia="zh-CN"/>
                    </w:rPr>
                    <w:t>年产量（台）</w:t>
                  </w:r>
                </w:p>
              </w:tc>
              <w:tc>
                <w:tcPr>
                  <w:tcW w:w="1179" w:type="pct"/>
                  <w:tcBorders>
                    <w:top w:val="single" w:color="auto" w:sz="4" w:space="0"/>
                    <w:left w:val="single" w:color="auto" w:sz="4" w:space="0"/>
                    <w:bottom w:val="single" w:color="auto" w:sz="4" w:space="0"/>
                    <w:right w:val="single" w:color="auto" w:sz="4" w:space="0"/>
                  </w:tcBorders>
                  <w:vAlign w:val="center"/>
                </w:tcPr>
                <w:p w14:paraId="0204E9CF">
                  <w:pPr>
                    <w:widowControl/>
                    <w:adjustRightInd w:val="0"/>
                    <w:snapToGrid w:val="0"/>
                    <w:spacing w:line="240" w:lineRule="auto"/>
                    <w:jc w:val="center"/>
                    <w:textAlignment w:val="center"/>
                    <w:rPr>
                      <w:rFonts w:hint="default" w:ascii="Times New Roman" w:hAnsi="Times New Roman" w:cs="Times New Roman"/>
                      <w:color w:val="000000" w:themeColor="text1"/>
                      <w:sz w:val="21"/>
                      <w:szCs w:val="21"/>
                      <w:lang w:val="en-US" w:eastAsia="zh-CN"/>
                    </w:rPr>
                  </w:pPr>
                  <w:r>
                    <w:rPr>
                      <w:rFonts w:hint="eastAsia" w:cs="Times New Roman"/>
                      <w:color w:val="000000" w:themeColor="text1"/>
                      <w:sz w:val="21"/>
                      <w:szCs w:val="21"/>
                      <w:lang w:val="en-US" w:eastAsia="zh-CN"/>
                    </w:rPr>
                    <w:t>规格型号</w:t>
                  </w:r>
                </w:p>
              </w:tc>
              <w:tc>
                <w:tcPr>
                  <w:tcW w:w="1179" w:type="pct"/>
                  <w:tcBorders>
                    <w:top w:val="single" w:color="auto" w:sz="4" w:space="0"/>
                    <w:left w:val="single" w:color="auto" w:sz="4" w:space="0"/>
                    <w:bottom w:val="single" w:color="auto" w:sz="4" w:space="0"/>
                    <w:right w:val="single" w:color="auto" w:sz="4" w:space="0"/>
                  </w:tcBorders>
                  <w:vAlign w:val="center"/>
                </w:tcPr>
                <w:p w14:paraId="2185088D">
                  <w:pPr>
                    <w:widowControl/>
                    <w:adjustRightInd w:val="0"/>
                    <w:snapToGrid w:val="0"/>
                    <w:spacing w:line="240" w:lineRule="auto"/>
                    <w:jc w:val="center"/>
                    <w:textAlignment w:val="center"/>
                    <w:rPr>
                      <w:rFonts w:hint="eastAsia" w:ascii="Times New Roman" w:hAnsi="Times New Roman" w:cs="Times New Roman"/>
                      <w:color w:val="000000" w:themeColor="text1"/>
                      <w:sz w:val="21"/>
                      <w:szCs w:val="21"/>
                      <w:lang w:eastAsia="zh-CN"/>
                    </w:rPr>
                  </w:pPr>
                  <w:r>
                    <w:rPr>
                      <w:rFonts w:hint="eastAsia" w:ascii="Times New Roman" w:hAnsi="Times New Roman" w:cs="Times New Roman"/>
                      <w:color w:val="000000" w:themeColor="text1"/>
                      <w:sz w:val="21"/>
                      <w:szCs w:val="21"/>
                      <w:lang w:val="en-US" w:eastAsia="zh-CN"/>
                    </w:rPr>
                    <w:t>用途</w:t>
                  </w:r>
                </w:p>
              </w:tc>
              <w:tc>
                <w:tcPr>
                  <w:tcW w:w="1179" w:type="pct"/>
                  <w:tcBorders>
                    <w:top w:val="single" w:color="auto" w:sz="4" w:space="0"/>
                    <w:left w:val="single" w:color="auto" w:sz="4" w:space="0"/>
                    <w:bottom w:val="single" w:color="auto" w:sz="4" w:space="0"/>
                    <w:right w:val="single" w:color="auto" w:sz="4" w:space="0"/>
                  </w:tcBorders>
                  <w:vAlign w:val="center"/>
                </w:tcPr>
                <w:p w14:paraId="5BC0FDDB">
                  <w:pPr>
                    <w:widowControl/>
                    <w:adjustRightInd w:val="0"/>
                    <w:snapToGrid w:val="0"/>
                    <w:spacing w:line="240" w:lineRule="auto"/>
                    <w:jc w:val="center"/>
                    <w:textAlignment w:val="center"/>
                    <w:rPr>
                      <w:rFonts w:hint="default" w:ascii="Times New Roman" w:hAnsi="Times New Roman" w:cs="Times New Roman"/>
                      <w:color w:val="000000" w:themeColor="text1"/>
                      <w:sz w:val="21"/>
                      <w:szCs w:val="21"/>
                      <w:lang w:val="en-US" w:eastAsia="zh-CN"/>
                    </w:rPr>
                  </w:pPr>
                  <w:r>
                    <w:rPr>
                      <w:rFonts w:hint="eastAsia" w:cs="Times New Roman"/>
                      <w:color w:val="000000" w:themeColor="text1"/>
                      <w:sz w:val="21"/>
                      <w:szCs w:val="21"/>
                      <w:lang w:val="en-US" w:eastAsia="zh-CN"/>
                    </w:rPr>
                    <w:t>执行标准</w:t>
                  </w:r>
                </w:p>
              </w:tc>
            </w:tr>
            <w:tr w14:paraId="1E4D87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8" w:type="pct"/>
                  <w:tcBorders>
                    <w:top w:val="single" w:color="auto" w:sz="4" w:space="0"/>
                    <w:left w:val="single" w:color="auto" w:sz="4" w:space="0"/>
                    <w:bottom w:val="single" w:color="auto" w:sz="4" w:space="0"/>
                    <w:right w:val="single" w:color="auto" w:sz="4" w:space="0"/>
                  </w:tcBorders>
                  <w:vAlign w:val="center"/>
                </w:tcPr>
                <w:p w14:paraId="7AB58342">
                  <w:pPr>
                    <w:widowControl/>
                    <w:adjustRightInd w:val="0"/>
                    <w:snapToGrid w:val="0"/>
                    <w:spacing w:line="240" w:lineRule="auto"/>
                    <w:jc w:val="center"/>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1</w:t>
                  </w:r>
                </w:p>
              </w:tc>
              <w:tc>
                <w:tcPr>
                  <w:tcW w:w="601" w:type="pct"/>
                  <w:tcBorders>
                    <w:top w:val="single" w:color="auto" w:sz="4" w:space="0"/>
                    <w:left w:val="single" w:color="auto" w:sz="4" w:space="0"/>
                    <w:bottom w:val="single" w:color="auto" w:sz="4" w:space="0"/>
                    <w:right w:val="single" w:color="auto" w:sz="4" w:space="0"/>
                  </w:tcBorders>
                  <w:vAlign w:val="center"/>
                </w:tcPr>
                <w:p w14:paraId="20A86137">
                  <w:pPr>
                    <w:widowControl/>
                    <w:adjustRightInd w:val="0"/>
                    <w:snapToGrid w:val="0"/>
                    <w:spacing w:line="240" w:lineRule="auto"/>
                    <w:jc w:val="center"/>
                    <w:textAlignment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油浸式变压器</w:t>
                  </w:r>
                </w:p>
              </w:tc>
              <w:tc>
                <w:tcPr>
                  <w:tcW w:w="540" w:type="pct"/>
                  <w:tcBorders>
                    <w:top w:val="single" w:color="auto" w:sz="4" w:space="0"/>
                    <w:left w:val="single" w:color="auto" w:sz="4" w:space="0"/>
                    <w:bottom w:val="single" w:color="auto" w:sz="4" w:space="0"/>
                    <w:right w:val="single" w:color="auto" w:sz="4" w:space="0"/>
                  </w:tcBorders>
                  <w:vAlign w:val="center"/>
                </w:tcPr>
                <w:p w14:paraId="51126B1A">
                  <w:pPr>
                    <w:widowControl/>
                    <w:adjustRightInd w:val="0"/>
                    <w:snapToGrid w:val="0"/>
                    <w:spacing w:line="240" w:lineRule="auto"/>
                    <w:jc w:val="center"/>
                    <w:textAlignment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350</w:t>
                  </w:r>
                </w:p>
              </w:tc>
              <w:tc>
                <w:tcPr>
                  <w:tcW w:w="1179" w:type="pct"/>
                  <w:tcBorders>
                    <w:top w:val="single" w:color="auto" w:sz="4" w:space="0"/>
                    <w:left w:val="single" w:color="auto" w:sz="4" w:space="0"/>
                    <w:right w:val="single" w:color="auto" w:sz="4" w:space="0"/>
                  </w:tcBorders>
                  <w:vAlign w:val="center"/>
                </w:tcPr>
                <w:p w14:paraId="4F48B5D2">
                  <w:pPr>
                    <w:widowControl/>
                    <w:adjustRightInd w:val="0"/>
                    <w:snapToGrid w:val="0"/>
                    <w:spacing w:line="240" w:lineRule="auto"/>
                    <w:jc w:val="center"/>
                    <w:textAlignment w:val="center"/>
                    <w:rPr>
                      <w:rFonts w:hint="default" w:cs="Times New Roman"/>
                      <w:color w:val="000000" w:themeColor="text1"/>
                      <w:sz w:val="21"/>
                      <w:szCs w:val="21"/>
                      <w:lang w:val="en-US" w:eastAsia="zh-CN"/>
                    </w:rPr>
                  </w:pPr>
                  <w:r>
                    <w:rPr>
                      <w:rFonts w:hint="eastAsia" w:cs="Times New Roman"/>
                      <w:color w:val="000000" w:themeColor="text1"/>
                      <w:sz w:val="21"/>
                      <w:szCs w:val="21"/>
                      <w:lang w:val="en-US" w:eastAsia="zh-CN"/>
                    </w:rPr>
                    <w:t>S11、S13、S20系列，10KV</w:t>
                  </w:r>
                </w:p>
              </w:tc>
              <w:tc>
                <w:tcPr>
                  <w:tcW w:w="1179" w:type="pct"/>
                  <w:tcBorders>
                    <w:top w:val="single" w:color="auto" w:sz="4" w:space="0"/>
                    <w:left w:val="single" w:color="auto" w:sz="4" w:space="0"/>
                    <w:right w:val="single" w:color="auto" w:sz="4" w:space="0"/>
                  </w:tcBorders>
                  <w:vAlign w:val="center"/>
                </w:tcPr>
                <w:p w14:paraId="5F895580">
                  <w:pPr>
                    <w:widowControl/>
                    <w:adjustRightInd w:val="0"/>
                    <w:snapToGrid w:val="0"/>
                    <w:spacing w:line="240" w:lineRule="auto"/>
                    <w:jc w:val="center"/>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用于工矿企业与民用建筑供配电系统中</w:t>
                  </w:r>
                </w:p>
              </w:tc>
              <w:tc>
                <w:tcPr>
                  <w:tcW w:w="1179" w:type="pct"/>
                  <w:tcBorders>
                    <w:top w:val="single" w:color="auto" w:sz="4" w:space="0"/>
                    <w:left w:val="single" w:color="auto" w:sz="4" w:space="0"/>
                    <w:right w:val="single" w:color="auto" w:sz="4" w:space="0"/>
                  </w:tcBorders>
                  <w:vAlign w:val="center"/>
                </w:tcPr>
                <w:p w14:paraId="0A512376">
                  <w:pPr>
                    <w:widowControl/>
                    <w:adjustRightInd w:val="0"/>
                    <w:snapToGrid w:val="0"/>
                    <w:spacing w:line="240" w:lineRule="auto"/>
                    <w:jc w:val="center"/>
                    <w:textAlignment w:val="center"/>
                    <w:rPr>
                      <w:rFonts w:hint="eastAsia" w:ascii="Times New Roman" w:hAnsi="Times New Roman" w:eastAsia="宋体" w:cs="Times New Roman"/>
                      <w:color w:val="000000" w:themeColor="text1"/>
                      <w:sz w:val="21"/>
                      <w:szCs w:val="21"/>
                      <w:lang w:eastAsia="zh-CN"/>
                    </w:rPr>
                  </w:pPr>
                  <w:r>
                    <w:rPr>
                      <w:rFonts w:hint="eastAsia" w:cs="Times New Roman"/>
                      <w:color w:val="000000" w:themeColor="text1"/>
                      <w:sz w:val="21"/>
                      <w:szCs w:val="21"/>
                      <w:lang w:eastAsia="zh-CN"/>
                    </w:rPr>
                    <w:t>《</w:t>
                  </w:r>
                  <w:r>
                    <w:rPr>
                      <w:rFonts w:hint="eastAsia" w:cs="Times New Roman"/>
                      <w:color w:val="000000" w:themeColor="text1"/>
                      <w:sz w:val="21"/>
                      <w:szCs w:val="21"/>
                      <w:lang w:val="en-US" w:eastAsia="zh-CN"/>
                    </w:rPr>
                    <w:t>油浸式电力变压器技术参数和要求</w:t>
                  </w:r>
                  <w:r>
                    <w:rPr>
                      <w:rFonts w:hint="eastAsia" w:cs="Times New Roman"/>
                      <w:color w:val="000000" w:themeColor="text1"/>
                      <w:sz w:val="21"/>
                      <w:szCs w:val="21"/>
                      <w:lang w:eastAsia="zh-CN"/>
                    </w:rPr>
                    <w:t>》（</w:t>
                  </w:r>
                  <w:r>
                    <w:rPr>
                      <w:rFonts w:hint="eastAsia" w:cs="Times New Roman"/>
                      <w:color w:val="000000" w:themeColor="text1"/>
                      <w:sz w:val="21"/>
                      <w:szCs w:val="21"/>
                      <w:lang w:val="en-US" w:eastAsia="zh-CN"/>
                    </w:rPr>
                    <w:t>GB/T6451-2023</w:t>
                  </w:r>
                  <w:r>
                    <w:rPr>
                      <w:rFonts w:hint="eastAsia" w:cs="Times New Roman"/>
                      <w:color w:val="000000" w:themeColor="text1"/>
                      <w:sz w:val="21"/>
                      <w:szCs w:val="21"/>
                      <w:lang w:eastAsia="zh-CN"/>
                    </w:rPr>
                    <w:t>）</w:t>
                  </w:r>
                </w:p>
              </w:tc>
            </w:tr>
            <w:tr w14:paraId="32D433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8" w:type="pct"/>
                  <w:tcBorders>
                    <w:top w:val="single" w:color="auto" w:sz="4" w:space="0"/>
                    <w:left w:val="single" w:color="auto" w:sz="4" w:space="0"/>
                    <w:bottom w:val="single" w:color="auto" w:sz="4" w:space="0"/>
                    <w:right w:val="single" w:color="auto" w:sz="4" w:space="0"/>
                  </w:tcBorders>
                  <w:vAlign w:val="center"/>
                </w:tcPr>
                <w:p w14:paraId="0D09DAD2">
                  <w:pPr>
                    <w:widowControl/>
                    <w:adjustRightInd w:val="0"/>
                    <w:snapToGrid w:val="0"/>
                    <w:spacing w:line="240" w:lineRule="auto"/>
                    <w:jc w:val="center"/>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2</w:t>
                  </w:r>
                </w:p>
              </w:tc>
              <w:tc>
                <w:tcPr>
                  <w:tcW w:w="601" w:type="pct"/>
                  <w:tcBorders>
                    <w:top w:val="single" w:color="auto" w:sz="4" w:space="0"/>
                    <w:left w:val="single" w:color="auto" w:sz="4" w:space="0"/>
                    <w:bottom w:val="single" w:color="auto" w:sz="4" w:space="0"/>
                    <w:right w:val="single" w:color="auto" w:sz="4" w:space="0"/>
                  </w:tcBorders>
                  <w:vAlign w:val="center"/>
                </w:tcPr>
                <w:p w14:paraId="06D55C03">
                  <w:pPr>
                    <w:widowControl/>
                    <w:adjustRightInd w:val="0"/>
                    <w:snapToGrid w:val="0"/>
                    <w:spacing w:line="240" w:lineRule="auto"/>
                    <w:jc w:val="center"/>
                    <w:textAlignment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干式变压器</w:t>
                  </w:r>
                </w:p>
              </w:tc>
              <w:tc>
                <w:tcPr>
                  <w:tcW w:w="540" w:type="pct"/>
                  <w:tcBorders>
                    <w:top w:val="single" w:color="auto" w:sz="4" w:space="0"/>
                    <w:left w:val="single" w:color="auto" w:sz="4" w:space="0"/>
                    <w:bottom w:val="single" w:color="auto" w:sz="4" w:space="0"/>
                    <w:right w:val="single" w:color="auto" w:sz="4" w:space="0"/>
                  </w:tcBorders>
                  <w:vAlign w:val="center"/>
                </w:tcPr>
                <w:p w14:paraId="57AAAD52">
                  <w:pPr>
                    <w:widowControl/>
                    <w:adjustRightInd w:val="0"/>
                    <w:snapToGrid w:val="0"/>
                    <w:spacing w:line="240" w:lineRule="auto"/>
                    <w:jc w:val="center"/>
                    <w:textAlignment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500</w:t>
                  </w:r>
                </w:p>
              </w:tc>
              <w:tc>
                <w:tcPr>
                  <w:tcW w:w="1179" w:type="pct"/>
                  <w:tcBorders>
                    <w:left w:val="single" w:color="auto" w:sz="4" w:space="0"/>
                    <w:right w:val="single" w:color="auto" w:sz="4" w:space="0"/>
                  </w:tcBorders>
                  <w:vAlign w:val="center"/>
                </w:tcPr>
                <w:p w14:paraId="66D72220">
                  <w:pPr>
                    <w:widowControl/>
                    <w:adjustRightInd w:val="0"/>
                    <w:snapToGrid w:val="0"/>
                    <w:spacing w:line="240" w:lineRule="auto"/>
                    <w:jc w:val="center"/>
                    <w:textAlignment w:val="center"/>
                    <w:rPr>
                      <w:rFonts w:hint="default" w:cs="Times New Roman"/>
                      <w:color w:val="000000" w:themeColor="text1"/>
                      <w:sz w:val="21"/>
                      <w:szCs w:val="21"/>
                      <w:lang w:val="en-US" w:eastAsia="zh-CN"/>
                    </w:rPr>
                  </w:pPr>
                  <w:r>
                    <w:rPr>
                      <w:rFonts w:hint="eastAsia" w:cs="Times New Roman"/>
                      <w:color w:val="000000" w:themeColor="text1"/>
                      <w:sz w:val="21"/>
                      <w:szCs w:val="21"/>
                      <w:lang w:val="en-US" w:eastAsia="zh-CN"/>
                    </w:rPr>
                    <w:t>SCB10、SCB11、SCB13、SCB14、SCBH17系列，10KV</w:t>
                  </w:r>
                </w:p>
              </w:tc>
              <w:tc>
                <w:tcPr>
                  <w:tcW w:w="1179" w:type="pct"/>
                  <w:tcBorders>
                    <w:left w:val="single" w:color="auto" w:sz="4" w:space="0"/>
                    <w:right w:val="single" w:color="auto" w:sz="4" w:space="0"/>
                  </w:tcBorders>
                  <w:vAlign w:val="center"/>
                </w:tcPr>
                <w:p w14:paraId="605E5072">
                  <w:pPr>
                    <w:widowControl/>
                    <w:adjustRightInd w:val="0"/>
                    <w:snapToGrid w:val="0"/>
                    <w:spacing w:line="240" w:lineRule="auto"/>
                    <w:jc w:val="center"/>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用于局部照明、高层建筑、机场，码头</w:t>
                  </w:r>
                </w:p>
                <w:p w14:paraId="3620FB5D">
                  <w:pPr>
                    <w:widowControl/>
                    <w:adjustRightInd w:val="0"/>
                    <w:snapToGrid w:val="0"/>
                    <w:spacing w:line="240" w:lineRule="auto"/>
                    <w:jc w:val="center"/>
                    <w:textAlignment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CNC 机械设备等场所</w:t>
                  </w:r>
                </w:p>
              </w:tc>
              <w:tc>
                <w:tcPr>
                  <w:tcW w:w="1179" w:type="pct"/>
                  <w:tcBorders>
                    <w:left w:val="single" w:color="auto" w:sz="4" w:space="0"/>
                    <w:right w:val="single" w:color="auto" w:sz="4" w:space="0"/>
                  </w:tcBorders>
                  <w:vAlign w:val="center"/>
                </w:tcPr>
                <w:p w14:paraId="7D1301D1">
                  <w:pPr>
                    <w:widowControl/>
                    <w:adjustRightInd w:val="0"/>
                    <w:snapToGrid w:val="0"/>
                    <w:spacing w:line="240" w:lineRule="auto"/>
                    <w:jc w:val="center"/>
                    <w:textAlignment w:val="center"/>
                    <w:rPr>
                      <w:rFonts w:hint="eastAsia" w:ascii="Times New Roman" w:hAnsi="Times New Roman" w:eastAsia="宋体" w:cs="Times New Roman"/>
                      <w:color w:val="000000" w:themeColor="text1"/>
                      <w:sz w:val="21"/>
                      <w:szCs w:val="21"/>
                      <w:lang w:eastAsia="zh-CN"/>
                    </w:rPr>
                  </w:pPr>
                  <w:r>
                    <w:rPr>
                      <w:rFonts w:hint="eastAsia" w:cs="Times New Roman"/>
                      <w:color w:val="000000" w:themeColor="text1"/>
                      <w:sz w:val="21"/>
                      <w:szCs w:val="21"/>
                      <w:lang w:eastAsia="zh-CN"/>
                    </w:rPr>
                    <w:t>《电力变压器 第11部分：干式变压器》（</w:t>
                  </w:r>
                  <w:r>
                    <w:rPr>
                      <w:rFonts w:hint="eastAsia" w:cs="Times New Roman"/>
                      <w:color w:val="000000" w:themeColor="text1"/>
                      <w:sz w:val="21"/>
                      <w:szCs w:val="21"/>
                      <w:lang w:val="en-US" w:eastAsia="zh-CN"/>
                    </w:rPr>
                    <w:t>GB/T1094.11-2022</w:t>
                  </w:r>
                  <w:r>
                    <w:rPr>
                      <w:rFonts w:hint="eastAsia" w:cs="Times New Roman"/>
                      <w:color w:val="000000" w:themeColor="text1"/>
                      <w:sz w:val="21"/>
                      <w:szCs w:val="21"/>
                      <w:lang w:eastAsia="zh-CN"/>
                    </w:rPr>
                    <w:t>）</w:t>
                  </w:r>
                </w:p>
              </w:tc>
            </w:tr>
            <w:tr w14:paraId="2E8156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8" w:type="pct"/>
                  <w:tcBorders>
                    <w:top w:val="single" w:color="auto" w:sz="4" w:space="0"/>
                    <w:left w:val="single" w:color="auto" w:sz="4" w:space="0"/>
                    <w:bottom w:val="single" w:color="auto" w:sz="4" w:space="0"/>
                    <w:right w:val="single" w:color="auto" w:sz="4" w:space="0"/>
                  </w:tcBorders>
                  <w:vAlign w:val="center"/>
                </w:tcPr>
                <w:p w14:paraId="14F0F023">
                  <w:pPr>
                    <w:widowControl/>
                    <w:adjustRightInd w:val="0"/>
                    <w:snapToGrid w:val="0"/>
                    <w:spacing w:line="240" w:lineRule="auto"/>
                    <w:jc w:val="center"/>
                    <w:textAlignment w:val="center"/>
                    <w:rPr>
                      <w:rFonts w:hint="eastAsia"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3</w:t>
                  </w:r>
                </w:p>
              </w:tc>
              <w:tc>
                <w:tcPr>
                  <w:tcW w:w="601" w:type="pct"/>
                  <w:tcBorders>
                    <w:top w:val="single" w:color="auto" w:sz="4" w:space="0"/>
                    <w:left w:val="single" w:color="auto" w:sz="4" w:space="0"/>
                    <w:bottom w:val="single" w:color="auto" w:sz="4" w:space="0"/>
                    <w:right w:val="single" w:color="auto" w:sz="4" w:space="0"/>
                  </w:tcBorders>
                  <w:vAlign w:val="center"/>
                </w:tcPr>
                <w:p w14:paraId="308BE209">
                  <w:pPr>
                    <w:widowControl/>
                    <w:adjustRightInd w:val="0"/>
                    <w:snapToGrid w:val="0"/>
                    <w:spacing w:line="240" w:lineRule="auto"/>
                    <w:jc w:val="center"/>
                    <w:textAlignment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配电控制设备</w:t>
                  </w:r>
                </w:p>
              </w:tc>
              <w:tc>
                <w:tcPr>
                  <w:tcW w:w="540" w:type="pct"/>
                  <w:tcBorders>
                    <w:top w:val="single" w:color="auto" w:sz="4" w:space="0"/>
                    <w:left w:val="single" w:color="auto" w:sz="4" w:space="0"/>
                    <w:bottom w:val="single" w:color="auto" w:sz="4" w:space="0"/>
                    <w:right w:val="single" w:color="auto" w:sz="4" w:space="0"/>
                  </w:tcBorders>
                  <w:vAlign w:val="center"/>
                </w:tcPr>
                <w:p w14:paraId="4BC32AC6">
                  <w:pPr>
                    <w:widowControl/>
                    <w:adjustRightInd w:val="0"/>
                    <w:snapToGrid w:val="0"/>
                    <w:spacing w:line="240" w:lineRule="auto"/>
                    <w:jc w:val="center"/>
                    <w:textAlignment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150</w:t>
                  </w:r>
                </w:p>
              </w:tc>
              <w:tc>
                <w:tcPr>
                  <w:tcW w:w="1179" w:type="pct"/>
                  <w:tcBorders>
                    <w:left w:val="single" w:color="auto" w:sz="4" w:space="0"/>
                    <w:bottom w:val="single" w:color="auto" w:sz="4" w:space="0"/>
                    <w:right w:val="single" w:color="auto" w:sz="4" w:space="0"/>
                  </w:tcBorders>
                  <w:vAlign w:val="center"/>
                </w:tcPr>
                <w:p w14:paraId="2E134F19">
                  <w:pPr>
                    <w:widowControl/>
                    <w:adjustRightInd w:val="0"/>
                    <w:snapToGrid w:val="0"/>
                    <w:spacing w:line="240" w:lineRule="auto"/>
                    <w:jc w:val="center"/>
                    <w:textAlignment w:val="center"/>
                    <w:rPr>
                      <w:rFonts w:hint="default" w:cs="Times New Roman"/>
                      <w:color w:val="000000" w:themeColor="text1"/>
                      <w:sz w:val="21"/>
                      <w:szCs w:val="21"/>
                      <w:lang w:val="en-US" w:eastAsia="zh-CN"/>
                    </w:rPr>
                  </w:pPr>
                  <w:r>
                    <w:rPr>
                      <w:rFonts w:hint="eastAsia" w:cs="Times New Roman"/>
                      <w:color w:val="000000" w:themeColor="text1"/>
                      <w:sz w:val="21"/>
                      <w:szCs w:val="21"/>
                      <w:lang w:val="en-US" w:eastAsia="zh-CN"/>
                    </w:rPr>
                    <w:t>/</w:t>
                  </w:r>
                </w:p>
              </w:tc>
              <w:tc>
                <w:tcPr>
                  <w:tcW w:w="1179" w:type="pct"/>
                  <w:tcBorders>
                    <w:left w:val="single" w:color="auto" w:sz="4" w:space="0"/>
                    <w:bottom w:val="single" w:color="auto" w:sz="4" w:space="0"/>
                    <w:right w:val="single" w:color="auto" w:sz="4" w:space="0"/>
                  </w:tcBorders>
                  <w:vAlign w:val="center"/>
                </w:tcPr>
                <w:p w14:paraId="13AA5B58">
                  <w:pPr>
                    <w:widowControl/>
                    <w:adjustRightInd w:val="0"/>
                    <w:snapToGrid w:val="0"/>
                    <w:spacing w:line="240" w:lineRule="auto"/>
                    <w:jc w:val="center"/>
                    <w:textAlignment w:val="center"/>
                    <w:rPr>
                      <w:rFonts w:hint="eastAsia" w:ascii="Times New Roman" w:hAnsi="Times New Roman" w:eastAsia="宋体" w:cs="Times New Roman"/>
                      <w:color w:val="000000" w:themeColor="text1"/>
                      <w:sz w:val="21"/>
                      <w:szCs w:val="21"/>
                      <w:lang w:eastAsia="zh-CN"/>
                    </w:rPr>
                  </w:pPr>
                  <w:r>
                    <w:rPr>
                      <w:rFonts w:hint="eastAsia" w:cs="Times New Roman"/>
                      <w:color w:val="000000" w:themeColor="text1"/>
                      <w:sz w:val="21"/>
                      <w:szCs w:val="21"/>
                      <w:lang w:val="en-US" w:eastAsia="zh-CN"/>
                    </w:rPr>
                    <w:t>/</w:t>
                  </w:r>
                </w:p>
              </w:tc>
              <w:tc>
                <w:tcPr>
                  <w:tcW w:w="1179" w:type="pct"/>
                  <w:tcBorders>
                    <w:left w:val="single" w:color="auto" w:sz="4" w:space="0"/>
                    <w:bottom w:val="single" w:color="auto" w:sz="4" w:space="0"/>
                    <w:right w:val="single" w:color="auto" w:sz="4" w:space="0"/>
                  </w:tcBorders>
                  <w:vAlign w:val="center"/>
                </w:tcPr>
                <w:p w14:paraId="5C9E46A5">
                  <w:pPr>
                    <w:widowControl/>
                    <w:adjustRightInd w:val="0"/>
                    <w:snapToGrid w:val="0"/>
                    <w:spacing w:line="240" w:lineRule="auto"/>
                    <w:jc w:val="center"/>
                    <w:textAlignment w:val="center"/>
                    <w:rPr>
                      <w:rFonts w:hint="default" w:cs="Times New Roman"/>
                      <w:color w:val="000000" w:themeColor="text1"/>
                      <w:sz w:val="21"/>
                      <w:szCs w:val="21"/>
                      <w:lang w:val="en-US" w:eastAsia="zh-CN"/>
                    </w:rPr>
                  </w:pPr>
                  <w:r>
                    <w:rPr>
                      <w:rFonts w:hint="eastAsia" w:cs="Times New Roman"/>
                      <w:color w:val="000000" w:themeColor="text1"/>
                      <w:sz w:val="21"/>
                      <w:szCs w:val="21"/>
                      <w:lang w:val="en-US" w:eastAsia="zh-CN"/>
                    </w:rPr>
                    <w:t>/</w:t>
                  </w:r>
                </w:p>
              </w:tc>
            </w:tr>
          </w:tbl>
          <w:p w14:paraId="366C35F7">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eastAsia="宋体" w:cs="Times New Roman"/>
                <w:color w:val="000000" w:themeColor="text1"/>
                <w:sz w:val="21"/>
                <w:szCs w:val="21"/>
                <w:lang w:val="en-US" w:eastAsia="zh-CN"/>
              </w:rPr>
            </w:pPr>
            <w:r>
              <w:rPr>
                <w:rFonts w:hint="default" w:ascii="Times New Roman" w:hAnsi="Times New Roman" w:eastAsia="宋体" w:cs="Times New Roman"/>
                <w:color w:val="000000" w:themeColor="text1"/>
                <w:sz w:val="21"/>
                <w:szCs w:val="21"/>
                <w:lang w:val="en-US" w:eastAsia="zh-CN"/>
              </w:rPr>
              <w:t>注：《产业结构调整指导目录（2024年本）》中限制类变压器产品为“220 千伏及以下电力变压器（非晶合金、卷铁芯等节能配电变压器除外）”、“弧焊变压器”；落后产品为“SL7-30/10～SL7-1600/10、S7-30/10～S7-1600/10 配电变压器”。</w:t>
            </w:r>
            <w:r>
              <w:rPr>
                <w:rFonts w:hint="eastAsia" w:cs="Times New Roman"/>
                <w:color w:val="000000" w:themeColor="text1"/>
                <w:sz w:val="21"/>
                <w:szCs w:val="21"/>
                <w:lang w:val="en-US" w:eastAsia="zh-CN"/>
              </w:rPr>
              <w:t>本项目产品均为卷铁芯节能配电变压器，不属于限值或落后产品。</w:t>
            </w:r>
          </w:p>
          <w:p w14:paraId="1706A2E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cs="Times New Roman"/>
                <w:b w:val="0"/>
                <w:bCs w:val="0"/>
                <w:color w:val="000000" w:themeColor="text1"/>
                <w:sz w:val="24"/>
                <w:szCs w:val="24"/>
                <w:lang w:val="en-US" w:eastAsia="zh-CN"/>
              </w:rPr>
            </w:pPr>
            <w:r>
              <w:rPr>
                <w:rFonts w:hint="default" w:cs="Times New Roman"/>
                <w:b w:val="0"/>
                <w:bCs w:val="0"/>
                <w:color w:val="000000" w:themeColor="text1"/>
                <w:sz w:val="24"/>
                <w:szCs w:val="24"/>
                <w:lang w:val="en-US" w:eastAsia="zh-CN"/>
              </w:rPr>
              <w:t>项目拟生产的各类型变压器的产品示意图如下：</w:t>
            </w:r>
          </w:p>
          <w:tbl>
            <w:tblPr>
              <w:tblStyle w:val="35"/>
              <w:tblW w:w="85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59"/>
              <w:gridCol w:w="4260"/>
            </w:tblGrid>
            <w:tr w14:paraId="0B7FB2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59" w:type="dxa"/>
                </w:tcPr>
                <w:p w14:paraId="57927026">
                  <w:pPr>
                    <w:rPr>
                      <w:rFonts w:hint="default"/>
                      <w:color w:val="000000" w:themeColor="text1"/>
                      <w:lang w:val="en-US" w:eastAsia="zh-CN"/>
                    </w:rPr>
                  </w:pPr>
                  <w:r>
                    <w:rPr>
                      <w:color w:val="000000" w:themeColor="text1"/>
                    </w:rPr>
                    <w:pict>
                      <v:shape id="_x0000_i1025" o:spt="75" type="#_x0000_t75" style="height:170.3pt;width:202pt;" filled="f" stroked="f" coordsize="21600,21600">
                        <v:path/>
                        <v:fill on="f" focussize="0,0"/>
                        <v:stroke on="f"/>
                        <v:imagedata r:id="rId7" o:title=""/>
                        <o:lock v:ext="edit" aspectratio="t"/>
                        <w10:wrap type="none"/>
                        <w10:anchorlock/>
                      </v:shape>
                    </w:pict>
                  </w:r>
                </w:p>
              </w:tc>
              <w:tc>
                <w:tcPr>
                  <w:tcW w:w="4260" w:type="dxa"/>
                </w:tcPr>
                <w:p w14:paraId="364CE5E1">
                  <w:pPr>
                    <w:rPr>
                      <w:rFonts w:hint="default"/>
                      <w:color w:val="000000" w:themeColor="text1"/>
                      <w:lang w:val="en-US" w:eastAsia="zh-CN"/>
                    </w:rPr>
                  </w:pPr>
                  <w:r>
                    <w:rPr>
                      <w:color w:val="000000" w:themeColor="text1"/>
                    </w:rPr>
                    <w:pict>
                      <v:shape id="_x0000_i1026" o:spt="75" type="#_x0000_t75" style="height:200.15pt;width:202.05pt;" filled="f" stroked="f" coordsize="21600,21600">
                        <v:path/>
                        <v:fill on="f" focussize="0,0"/>
                        <v:stroke on="f"/>
                        <v:imagedata r:id="rId8" o:title=""/>
                        <o:lock v:ext="edit" aspectratio="t"/>
                        <w10:wrap type="none"/>
                        <w10:anchorlock/>
                      </v:shape>
                    </w:pict>
                  </w:r>
                </w:p>
              </w:tc>
            </w:tr>
            <w:tr w14:paraId="782644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59" w:type="dxa"/>
                </w:tcPr>
                <w:p w14:paraId="32ADC876">
                  <w:pPr>
                    <w:jc w:val="center"/>
                    <w:rPr>
                      <w:rFonts w:hint="default"/>
                      <w:color w:val="000000" w:themeColor="text1"/>
                      <w:lang w:val="en-US" w:eastAsia="zh-CN"/>
                    </w:rPr>
                  </w:pPr>
                  <w:r>
                    <w:rPr>
                      <w:rFonts w:hint="eastAsia"/>
                      <w:color w:val="000000" w:themeColor="text1"/>
                      <w:lang w:val="en-US" w:eastAsia="zh-CN"/>
                    </w:rPr>
                    <w:t>油浸式变压器</w:t>
                  </w:r>
                </w:p>
              </w:tc>
              <w:tc>
                <w:tcPr>
                  <w:tcW w:w="4260" w:type="dxa"/>
                </w:tcPr>
                <w:p w14:paraId="6EA90D57">
                  <w:pPr>
                    <w:jc w:val="center"/>
                    <w:rPr>
                      <w:rFonts w:hint="default"/>
                      <w:color w:val="000000" w:themeColor="text1"/>
                      <w:lang w:val="en-US" w:eastAsia="zh-CN"/>
                    </w:rPr>
                  </w:pPr>
                  <w:r>
                    <w:rPr>
                      <w:rFonts w:hint="eastAsia"/>
                      <w:color w:val="000000" w:themeColor="text1"/>
                      <w:lang w:val="en-US" w:eastAsia="zh-CN"/>
                    </w:rPr>
                    <w:t>干式变压器</w:t>
                  </w:r>
                </w:p>
              </w:tc>
            </w:tr>
          </w:tbl>
          <w:p w14:paraId="0FA5EAE6">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bCs/>
                <w:color w:val="000000" w:themeColor="text1"/>
                <w:sz w:val="24"/>
                <w:szCs w:val="24"/>
              </w:rPr>
            </w:pPr>
            <w:r>
              <w:rPr>
                <w:rFonts w:hint="eastAsia" w:cs="Times New Roman"/>
                <w:b/>
                <w:bCs/>
                <w:color w:val="000000" w:themeColor="text1"/>
                <w:sz w:val="24"/>
                <w:szCs w:val="24"/>
                <w:lang w:val="en-US" w:eastAsia="zh-CN"/>
              </w:rPr>
              <w:t>四、</w:t>
            </w:r>
            <w:r>
              <w:rPr>
                <w:rFonts w:hint="default" w:ascii="Times New Roman" w:hAnsi="Times New Roman" w:cs="Times New Roman"/>
                <w:b/>
                <w:bCs/>
                <w:color w:val="000000" w:themeColor="text1"/>
                <w:sz w:val="24"/>
                <w:szCs w:val="24"/>
              </w:rPr>
              <w:t>主要生产设备</w:t>
            </w:r>
          </w:p>
          <w:p w14:paraId="6BBE8692">
            <w:pPr>
              <w:jc w:val="center"/>
              <w:rPr>
                <w:rFonts w:hint="default"/>
                <w:color w:val="000000" w:themeColor="text1"/>
              </w:rPr>
            </w:pPr>
            <w:r>
              <w:rPr>
                <w:rFonts w:hint="default" w:ascii="Times New Roman" w:hAnsi="Times New Roman" w:cs="Times New Roman"/>
                <w:b/>
                <w:bCs/>
                <w:color w:val="000000" w:themeColor="text1"/>
                <w:sz w:val="24"/>
                <w:szCs w:val="24"/>
              </w:rPr>
              <w:t>表2-</w:t>
            </w:r>
            <w:r>
              <w:rPr>
                <w:rFonts w:hint="eastAsia" w:cs="Times New Roman"/>
                <w:b/>
                <w:bCs/>
                <w:color w:val="000000" w:themeColor="text1"/>
                <w:sz w:val="24"/>
                <w:szCs w:val="24"/>
                <w:lang w:val="en-US" w:eastAsia="zh-CN"/>
              </w:rPr>
              <w:t xml:space="preserve">7 </w:t>
            </w:r>
            <w:r>
              <w:rPr>
                <w:rFonts w:hint="default" w:ascii="Times New Roman" w:hAnsi="Times New Roman" w:cs="Times New Roman"/>
                <w:b/>
                <w:bCs/>
                <w:color w:val="000000" w:themeColor="text1"/>
                <w:sz w:val="24"/>
                <w:szCs w:val="24"/>
              </w:rPr>
              <w:t xml:space="preserve"> 项目主要生产设备一览表</w:t>
            </w:r>
          </w:p>
          <w:tbl>
            <w:tblPr>
              <w:tblStyle w:val="13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13"/>
              <w:gridCol w:w="3198"/>
              <w:gridCol w:w="2004"/>
              <w:gridCol w:w="892"/>
              <w:gridCol w:w="1087"/>
            </w:tblGrid>
            <w:tr w14:paraId="432CEA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38" w:hRule="atLeast"/>
              </w:trPr>
              <w:tc>
                <w:tcPr>
                  <w:tcW w:w="722" w:type="pct"/>
                  <w:vMerge w:val="restart"/>
                  <w:vAlign w:val="center"/>
                </w:tcPr>
                <w:p w14:paraId="5C40FA8B">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b/>
                      <w:bCs/>
                      <w:color w:val="000000" w:themeColor="text1"/>
                      <w:spacing w:val="5"/>
                      <w:sz w:val="21"/>
                      <w:szCs w:val="21"/>
                      <w:lang w:val="en-US" w:eastAsia="zh-CN"/>
                    </w:rPr>
                  </w:pPr>
                  <w:r>
                    <w:rPr>
                      <w:rFonts w:hint="eastAsia"/>
                      <w:b/>
                      <w:bCs/>
                      <w:color w:val="000000" w:themeColor="text1"/>
                      <w:spacing w:val="5"/>
                      <w:sz w:val="21"/>
                      <w:szCs w:val="21"/>
                      <w:lang w:val="en-US" w:eastAsia="zh-CN"/>
                    </w:rPr>
                    <w:t>项目</w:t>
                  </w:r>
                </w:p>
              </w:tc>
              <w:tc>
                <w:tcPr>
                  <w:tcW w:w="1904" w:type="pct"/>
                  <w:vAlign w:val="center"/>
                </w:tcPr>
                <w:p w14:paraId="52ACBFDF">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z w:val="21"/>
                      <w:szCs w:val="21"/>
                    </w:rPr>
                  </w:pPr>
                  <w:r>
                    <w:rPr>
                      <w:b/>
                      <w:bCs/>
                      <w:color w:val="000000" w:themeColor="text1"/>
                      <w:spacing w:val="5"/>
                      <w:sz w:val="21"/>
                      <w:szCs w:val="21"/>
                    </w:rPr>
                    <w:t>设备名称</w:t>
                  </w:r>
                </w:p>
              </w:tc>
              <w:tc>
                <w:tcPr>
                  <w:tcW w:w="1193" w:type="pct"/>
                  <w:vAlign w:val="center"/>
                </w:tcPr>
                <w:p w14:paraId="466D5E20">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z w:val="21"/>
                      <w:szCs w:val="21"/>
                    </w:rPr>
                  </w:pPr>
                  <w:r>
                    <w:rPr>
                      <w:b/>
                      <w:bCs/>
                      <w:color w:val="000000" w:themeColor="text1"/>
                      <w:sz w:val="21"/>
                      <w:szCs w:val="21"/>
                    </w:rPr>
                    <w:t>型号</w:t>
                  </w:r>
                </w:p>
              </w:tc>
              <w:tc>
                <w:tcPr>
                  <w:tcW w:w="531" w:type="pct"/>
                  <w:vAlign w:val="center"/>
                </w:tcPr>
                <w:p w14:paraId="71E0760D">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b/>
                      <w:bCs/>
                      <w:color w:val="000000" w:themeColor="text1"/>
                      <w:spacing w:val="4"/>
                      <w:sz w:val="21"/>
                      <w:szCs w:val="21"/>
                    </w:rPr>
                  </w:pPr>
                  <w:r>
                    <w:rPr>
                      <w:b/>
                      <w:bCs/>
                      <w:color w:val="000000" w:themeColor="text1"/>
                      <w:spacing w:val="4"/>
                      <w:sz w:val="21"/>
                      <w:szCs w:val="21"/>
                    </w:rPr>
                    <w:t>数量（台</w:t>
                  </w:r>
                  <w:r>
                    <w:rPr>
                      <w:rFonts w:ascii="Times New Roman" w:hAnsi="Times New Roman" w:eastAsia="Times New Roman" w:cs="Times New Roman"/>
                      <w:b/>
                      <w:bCs/>
                      <w:color w:val="000000" w:themeColor="text1"/>
                      <w:spacing w:val="4"/>
                      <w:sz w:val="21"/>
                      <w:szCs w:val="21"/>
                    </w:rPr>
                    <w:t>/</w:t>
                  </w:r>
                  <w:r>
                    <w:rPr>
                      <w:b/>
                      <w:bCs/>
                      <w:color w:val="000000" w:themeColor="text1"/>
                      <w:spacing w:val="4"/>
                      <w:sz w:val="21"/>
                      <w:szCs w:val="21"/>
                    </w:rPr>
                    <w:t>套）</w:t>
                  </w:r>
                </w:p>
              </w:tc>
              <w:tc>
                <w:tcPr>
                  <w:tcW w:w="647" w:type="pct"/>
                  <w:vMerge w:val="restart"/>
                  <w:vAlign w:val="center"/>
                </w:tcPr>
                <w:p w14:paraId="4996D529">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b/>
                      <w:bCs/>
                      <w:color w:val="000000" w:themeColor="text1"/>
                      <w:spacing w:val="4"/>
                      <w:sz w:val="21"/>
                      <w:szCs w:val="21"/>
                      <w:lang w:val="en-US" w:eastAsia="zh-CN"/>
                    </w:rPr>
                  </w:pPr>
                  <w:r>
                    <w:rPr>
                      <w:rFonts w:hint="eastAsia"/>
                      <w:b/>
                      <w:bCs/>
                      <w:color w:val="000000" w:themeColor="text1"/>
                      <w:spacing w:val="4"/>
                      <w:sz w:val="21"/>
                      <w:szCs w:val="21"/>
                      <w:lang w:val="en-US" w:eastAsia="zh-CN"/>
                    </w:rPr>
                    <w:t>备注</w:t>
                  </w:r>
                </w:p>
              </w:tc>
            </w:tr>
            <w:tr w14:paraId="20EBB8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722" w:type="pct"/>
                  <w:vMerge w:val="restart"/>
                  <w:vAlign w:val="center"/>
                </w:tcPr>
                <w:p w14:paraId="09D041DF">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eastAsia="宋体"/>
                      <w:color w:val="000000" w:themeColor="text1"/>
                      <w:spacing w:val="4"/>
                      <w:sz w:val="21"/>
                      <w:szCs w:val="21"/>
                      <w:lang w:val="en-US" w:eastAsia="zh-CN"/>
                    </w:rPr>
                  </w:pPr>
                  <w:r>
                    <w:rPr>
                      <w:rFonts w:hint="eastAsia"/>
                      <w:color w:val="000000" w:themeColor="text1"/>
                      <w:spacing w:val="4"/>
                      <w:sz w:val="21"/>
                      <w:szCs w:val="21"/>
                      <w:lang w:val="en-US" w:eastAsia="zh-CN"/>
                    </w:rPr>
                    <w:t>油浸式变压器</w:t>
                  </w:r>
                </w:p>
              </w:tc>
              <w:tc>
                <w:tcPr>
                  <w:tcW w:w="1904" w:type="pct"/>
                  <w:shd w:val="clear" w:color="auto" w:fill="auto"/>
                  <w:vAlign w:val="center"/>
                </w:tcPr>
                <w:p w14:paraId="7BFEDCC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Times New Roman" w:hAnsi="Times New Roman" w:eastAsia="宋体" w:cs="Times New Roman"/>
                      <w:color w:val="000000" w:themeColor="text1"/>
                      <w:kern w:val="2"/>
                      <w:sz w:val="21"/>
                      <w:szCs w:val="21"/>
                      <w:lang w:val="en-US" w:eastAsia="zh-CN" w:bidi="ar-SA"/>
                    </w:rPr>
                  </w:pPr>
                  <w:r>
                    <w:rPr>
                      <w:rFonts w:hint="default" w:ascii="Times New Roman" w:hAnsi="Times New Roman" w:eastAsia="宋体" w:cs="Times New Roman"/>
                      <w:color w:val="000000" w:themeColor="text1"/>
                      <w:sz w:val="21"/>
                      <w:szCs w:val="21"/>
                      <w:lang w:val="en-US" w:eastAsia="zh-CN"/>
                    </w:rPr>
                    <w:t>变压器油油罐</w:t>
                  </w:r>
                </w:p>
              </w:tc>
              <w:tc>
                <w:tcPr>
                  <w:tcW w:w="1193" w:type="pct"/>
                  <w:vAlign w:val="center"/>
                </w:tcPr>
                <w:p w14:paraId="67FBA60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4m</w:t>
                  </w:r>
                  <w:r>
                    <w:rPr>
                      <w:rFonts w:hint="eastAsia" w:ascii="Times New Roman" w:hAnsi="Times New Roman" w:eastAsia="宋体" w:cs="Times New Roman"/>
                      <w:color w:val="000000" w:themeColor="text1"/>
                      <w:sz w:val="21"/>
                      <w:szCs w:val="21"/>
                      <w:vertAlign w:val="superscript"/>
                      <w:lang w:val="en-US" w:eastAsia="zh-CN"/>
                    </w:rPr>
                    <w:t>3</w:t>
                  </w:r>
                </w:p>
              </w:tc>
              <w:tc>
                <w:tcPr>
                  <w:tcW w:w="531" w:type="pct"/>
                  <w:vAlign w:val="center"/>
                </w:tcPr>
                <w:p w14:paraId="5D86963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1</w:t>
                  </w:r>
                </w:p>
              </w:tc>
              <w:tc>
                <w:tcPr>
                  <w:tcW w:w="647" w:type="pct"/>
                  <w:vMerge w:val="restart"/>
                  <w:vAlign w:val="center"/>
                </w:tcPr>
                <w:p w14:paraId="34EAC0C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spacing w:val="7"/>
                      <w:sz w:val="21"/>
                      <w:szCs w:val="21"/>
                      <w:lang w:val="en-US" w:eastAsia="zh-CN"/>
                    </w:rPr>
                  </w:pPr>
                  <w:r>
                    <w:rPr>
                      <w:rFonts w:hint="eastAsia" w:eastAsia="宋体" w:cs="Times New Roman"/>
                      <w:color w:val="000000" w:themeColor="text1"/>
                      <w:sz w:val="21"/>
                      <w:szCs w:val="21"/>
                      <w:lang w:val="en-US" w:eastAsia="zh-CN"/>
                    </w:rPr>
                    <w:t>新建，搬迁后设备未发生变化</w:t>
                  </w:r>
                </w:p>
              </w:tc>
            </w:tr>
            <w:tr w14:paraId="4C5F9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722" w:type="pct"/>
                  <w:vMerge w:val="continue"/>
                  <w:vAlign w:val="center"/>
                </w:tcPr>
                <w:p w14:paraId="463A061A">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pacing w:val="6"/>
                      <w:sz w:val="21"/>
                      <w:szCs w:val="21"/>
                    </w:rPr>
                  </w:pPr>
                </w:p>
              </w:tc>
              <w:tc>
                <w:tcPr>
                  <w:tcW w:w="1904" w:type="pct"/>
                  <w:shd w:val="clear" w:color="auto" w:fill="auto"/>
                  <w:vAlign w:val="center"/>
                </w:tcPr>
                <w:p w14:paraId="7AECCE4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Times New Roman" w:hAnsi="Times New Roman" w:eastAsia="宋体" w:cs="Times New Roman"/>
                      <w:color w:val="000000" w:themeColor="text1"/>
                      <w:kern w:val="2"/>
                      <w:sz w:val="21"/>
                      <w:szCs w:val="21"/>
                      <w:lang w:val="en-US" w:eastAsia="zh-CN" w:bidi="ar-SA"/>
                    </w:rPr>
                  </w:pPr>
                  <w:r>
                    <w:rPr>
                      <w:rFonts w:hint="eastAsia" w:cs="Times New Roman"/>
                      <w:color w:val="000000" w:themeColor="text1"/>
                      <w:kern w:val="2"/>
                      <w:sz w:val="21"/>
                      <w:szCs w:val="21"/>
                      <w:lang w:val="en-US" w:eastAsia="zh-CN" w:bidi="ar-SA"/>
                    </w:rPr>
                    <w:t>真空</w:t>
                  </w:r>
                  <w:r>
                    <w:rPr>
                      <w:rFonts w:hint="eastAsia" w:ascii="Times New Roman" w:hAnsi="Times New Roman" w:eastAsia="宋体" w:cs="Times New Roman"/>
                      <w:color w:val="000000" w:themeColor="text1"/>
                      <w:kern w:val="2"/>
                      <w:sz w:val="21"/>
                      <w:szCs w:val="21"/>
                      <w:lang w:val="en-US" w:eastAsia="zh-CN" w:bidi="ar-SA"/>
                    </w:rPr>
                    <w:t>浇注设备</w:t>
                  </w:r>
                </w:p>
              </w:tc>
              <w:tc>
                <w:tcPr>
                  <w:tcW w:w="1193" w:type="pct"/>
                  <w:vAlign w:val="center"/>
                </w:tcPr>
                <w:p w14:paraId="79539A3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ascii="Times New Roman" w:hAnsi="Times New Roman" w:eastAsia="Times New Roman" w:cs="Times New Roman"/>
                      <w:color w:val="000000" w:themeColor="text1"/>
                      <w:sz w:val="21"/>
                      <w:szCs w:val="21"/>
                    </w:rPr>
                  </w:pPr>
                  <w:r>
                    <w:rPr>
                      <w:rFonts w:hint="eastAsia" w:ascii="Times New Roman" w:hAnsi="Times New Roman" w:eastAsia="Times New Roman" w:cs="Times New Roman"/>
                      <w:color w:val="000000" w:themeColor="text1"/>
                      <w:sz w:val="21"/>
                      <w:szCs w:val="21"/>
                    </w:rPr>
                    <w:t>LG-DT300L</w:t>
                  </w:r>
                </w:p>
              </w:tc>
              <w:tc>
                <w:tcPr>
                  <w:tcW w:w="531" w:type="pct"/>
                  <w:vAlign w:val="center"/>
                </w:tcPr>
                <w:p w14:paraId="1E2A94A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000000" w:themeColor="text1"/>
                      <w:sz w:val="21"/>
                      <w:szCs w:val="21"/>
                      <w:lang w:val="en-US" w:eastAsia="zh-CN"/>
                    </w:rPr>
                  </w:pPr>
                  <w:r>
                    <w:rPr>
                      <w:rFonts w:hint="eastAsia" w:eastAsia="宋体" w:cs="Times New Roman"/>
                      <w:color w:val="000000" w:themeColor="text1"/>
                      <w:sz w:val="21"/>
                      <w:szCs w:val="21"/>
                      <w:lang w:val="en-US" w:eastAsia="zh-CN"/>
                    </w:rPr>
                    <w:t>1</w:t>
                  </w:r>
                </w:p>
              </w:tc>
              <w:tc>
                <w:tcPr>
                  <w:tcW w:w="647" w:type="pct"/>
                  <w:vMerge w:val="continue"/>
                  <w:vAlign w:val="center"/>
                </w:tcPr>
                <w:p w14:paraId="5B54E48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eastAsia="宋体" w:cs="Times New Roman"/>
                      <w:color w:val="000000" w:themeColor="text1"/>
                      <w:sz w:val="21"/>
                      <w:szCs w:val="21"/>
                      <w:lang w:val="en-US" w:eastAsia="zh-CN"/>
                    </w:rPr>
                  </w:pPr>
                </w:p>
              </w:tc>
            </w:tr>
            <w:tr w14:paraId="4B1341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722" w:type="pct"/>
                  <w:vMerge w:val="continue"/>
                  <w:vAlign w:val="center"/>
                </w:tcPr>
                <w:p w14:paraId="2C0FA76D">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pacing w:val="7"/>
                      <w:sz w:val="21"/>
                      <w:szCs w:val="21"/>
                    </w:rPr>
                  </w:pPr>
                </w:p>
              </w:tc>
              <w:tc>
                <w:tcPr>
                  <w:tcW w:w="1904" w:type="pct"/>
                  <w:vAlign w:val="center"/>
                </w:tcPr>
                <w:p w14:paraId="0F397123">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z w:val="21"/>
                      <w:szCs w:val="21"/>
                    </w:rPr>
                  </w:pPr>
                  <w:r>
                    <w:rPr>
                      <w:rFonts w:hint="default" w:ascii="Times New Roman" w:hAnsi="Times New Roman" w:eastAsia="宋体" w:cs="Times New Roman"/>
                      <w:color w:val="000000" w:themeColor="text1"/>
                      <w:sz w:val="21"/>
                      <w:szCs w:val="21"/>
                      <w:lang w:val="en-US" w:eastAsia="zh-CN"/>
                    </w:rPr>
                    <w:t>滤油机</w:t>
                  </w:r>
                </w:p>
              </w:tc>
              <w:tc>
                <w:tcPr>
                  <w:tcW w:w="1193" w:type="pct"/>
                  <w:vAlign w:val="center"/>
                </w:tcPr>
                <w:p w14:paraId="0EB8F70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ascii="Times New Roman" w:hAnsi="Times New Roman" w:eastAsia="Times New Roman" w:cs="Times New Roman"/>
                      <w:color w:val="000000" w:themeColor="text1"/>
                      <w:sz w:val="21"/>
                      <w:szCs w:val="21"/>
                    </w:rPr>
                  </w:pPr>
                  <w:r>
                    <w:rPr>
                      <w:rFonts w:hint="eastAsia" w:ascii="Times New Roman" w:hAnsi="Times New Roman" w:eastAsia="Times New Roman" w:cs="Times New Roman"/>
                      <w:color w:val="000000" w:themeColor="text1"/>
                      <w:sz w:val="21"/>
                      <w:szCs w:val="21"/>
                    </w:rPr>
                    <w:t>ZJY-100KY</w:t>
                  </w:r>
                </w:p>
              </w:tc>
              <w:tc>
                <w:tcPr>
                  <w:tcW w:w="531" w:type="pct"/>
                  <w:vAlign w:val="center"/>
                </w:tcPr>
                <w:p w14:paraId="4FBF877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000000" w:themeColor="text1"/>
                      <w:sz w:val="21"/>
                      <w:szCs w:val="21"/>
                      <w:lang w:val="en-US" w:eastAsia="zh-CN"/>
                    </w:rPr>
                  </w:pPr>
                  <w:r>
                    <w:rPr>
                      <w:rFonts w:hint="eastAsia" w:eastAsia="宋体" w:cs="Times New Roman"/>
                      <w:color w:val="000000" w:themeColor="text1"/>
                      <w:sz w:val="21"/>
                      <w:szCs w:val="21"/>
                      <w:lang w:val="en-US" w:eastAsia="zh-CN"/>
                    </w:rPr>
                    <w:t>1</w:t>
                  </w:r>
                </w:p>
              </w:tc>
              <w:tc>
                <w:tcPr>
                  <w:tcW w:w="647" w:type="pct"/>
                  <w:vMerge w:val="continue"/>
                  <w:vAlign w:val="center"/>
                </w:tcPr>
                <w:p w14:paraId="321301D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000000" w:themeColor="text1"/>
                      <w:sz w:val="21"/>
                      <w:szCs w:val="21"/>
                      <w:lang w:val="en-US" w:eastAsia="zh-CN"/>
                    </w:rPr>
                  </w:pPr>
                </w:p>
              </w:tc>
            </w:tr>
            <w:tr w14:paraId="3BFD51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722" w:type="pct"/>
                  <w:vMerge w:val="continue"/>
                  <w:vAlign w:val="center"/>
                </w:tcPr>
                <w:p w14:paraId="76FCDA9A">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pacing w:val="6"/>
                      <w:sz w:val="21"/>
                      <w:szCs w:val="21"/>
                    </w:rPr>
                  </w:pPr>
                </w:p>
              </w:tc>
              <w:tc>
                <w:tcPr>
                  <w:tcW w:w="1904" w:type="pct"/>
                  <w:vAlign w:val="center"/>
                </w:tcPr>
                <w:p w14:paraId="7106F793">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eastAsia="宋体"/>
                      <w:color w:val="000000" w:themeColor="text1"/>
                      <w:sz w:val="21"/>
                      <w:szCs w:val="21"/>
                      <w:lang w:val="en-US" w:eastAsia="zh-CN"/>
                    </w:rPr>
                  </w:pPr>
                  <w:r>
                    <w:rPr>
                      <w:rFonts w:hint="eastAsia"/>
                      <w:color w:val="000000" w:themeColor="text1"/>
                      <w:sz w:val="21"/>
                      <w:szCs w:val="21"/>
                      <w:lang w:val="en-US" w:eastAsia="zh-CN"/>
                    </w:rPr>
                    <w:t>电焊机</w:t>
                  </w:r>
                </w:p>
              </w:tc>
              <w:tc>
                <w:tcPr>
                  <w:tcW w:w="1193" w:type="pct"/>
                  <w:vAlign w:val="center"/>
                </w:tcPr>
                <w:p w14:paraId="31E186F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w:t>
                  </w:r>
                </w:p>
              </w:tc>
              <w:tc>
                <w:tcPr>
                  <w:tcW w:w="531" w:type="pct"/>
                  <w:vAlign w:val="center"/>
                </w:tcPr>
                <w:p w14:paraId="7A914C8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eastAsia="宋体" w:cs="Times New Roman"/>
                      <w:color w:val="000000" w:themeColor="text1"/>
                      <w:sz w:val="21"/>
                      <w:szCs w:val="21"/>
                      <w:lang w:val="en-US" w:eastAsia="zh-CN"/>
                    </w:rPr>
                  </w:pPr>
                  <w:r>
                    <w:rPr>
                      <w:rFonts w:hint="eastAsia" w:cs="Times New Roman"/>
                      <w:color w:val="000000" w:themeColor="text1"/>
                      <w:sz w:val="21"/>
                      <w:szCs w:val="21"/>
                      <w:lang w:val="en-US" w:eastAsia="zh-CN"/>
                    </w:rPr>
                    <w:t>1</w:t>
                  </w:r>
                </w:p>
              </w:tc>
              <w:tc>
                <w:tcPr>
                  <w:tcW w:w="647" w:type="pct"/>
                  <w:vMerge w:val="continue"/>
                  <w:vAlign w:val="center"/>
                </w:tcPr>
                <w:p w14:paraId="64B7643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eastAsia="宋体" w:cs="Times New Roman"/>
                      <w:color w:val="000000" w:themeColor="text1"/>
                      <w:sz w:val="21"/>
                      <w:szCs w:val="21"/>
                      <w:lang w:val="en-US" w:eastAsia="zh-CN"/>
                    </w:rPr>
                  </w:pPr>
                </w:p>
              </w:tc>
            </w:tr>
            <w:tr w14:paraId="26EB4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trPr>
              <w:tc>
                <w:tcPr>
                  <w:tcW w:w="722" w:type="pct"/>
                  <w:vMerge w:val="restart"/>
                  <w:vAlign w:val="center"/>
                </w:tcPr>
                <w:p w14:paraId="7DD30CE9">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eastAsia="宋体"/>
                      <w:color w:val="000000" w:themeColor="text1"/>
                      <w:spacing w:val="7"/>
                      <w:sz w:val="21"/>
                      <w:szCs w:val="21"/>
                      <w:lang w:val="en-US" w:eastAsia="zh-CN"/>
                    </w:rPr>
                  </w:pPr>
                  <w:r>
                    <w:rPr>
                      <w:rFonts w:hint="eastAsia"/>
                      <w:color w:val="000000" w:themeColor="text1"/>
                      <w:spacing w:val="7"/>
                      <w:sz w:val="21"/>
                      <w:szCs w:val="21"/>
                      <w:lang w:val="en-US" w:eastAsia="zh-CN"/>
                    </w:rPr>
                    <w:t>干式变压器</w:t>
                  </w:r>
                </w:p>
              </w:tc>
              <w:tc>
                <w:tcPr>
                  <w:tcW w:w="1904" w:type="pct"/>
                  <w:shd w:val="clear" w:color="auto" w:fill="auto"/>
                  <w:vAlign w:val="center"/>
                </w:tcPr>
                <w:p w14:paraId="1C6E398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Arial" w:eastAsiaTheme="minorEastAsia"/>
                      <w:color w:val="000000" w:themeColor="text1"/>
                      <w:spacing w:val="7"/>
                      <w:kern w:val="2"/>
                      <w:sz w:val="21"/>
                      <w:szCs w:val="21"/>
                      <w:lang w:val="en-US" w:eastAsia="zh-CN" w:bidi="ar-SA"/>
                    </w:rPr>
                  </w:pPr>
                  <w:r>
                    <w:rPr>
                      <w:color w:val="000000" w:themeColor="text1"/>
                      <w:spacing w:val="7"/>
                      <w:sz w:val="21"/>
                      <w:szCs w:val="21"/>
                    </w:rPr>
                    <w:t>真空浇注罐</w:t>
                  </w:r>
                </w:p>
              </w:tc>
              <w:tc>
                <w:tcPr>
                  <w:tcW w:w="1193" w:type="pct"/>
                  <w:shd w:val="clear" w:color="auto" w:fill="auto"/>
                  <w:vAlign w:val="center"/>
                </w:tcPr>
                <w:p w14:paraId="595F695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ascii="Times New Roman" w:hAnsi="Times New Roman" w:eastAsia="宋体" w:cs="Times New Roman"/>
                      <w:color w:val="000000" w:themeColor="text1"/>
                      <w:spacing w:val="7"/>
                      <w:kern w:val="2"/>
                      <w:sz w:val="21"/>
                      <w:szCs w:val="21"/>
                      <w:lang w:val="en-US" w:eastAsia="zh-CN" w:bidi="ar-SA"/>
                    </w:rPr>
                  </w:pPr>
                  <w:r>
                    <w:rPr>
                      <w:rFonts w:hint="eastAsia" w:ascii="Times New Roman" w:hAnsi="Times New Roman" w:eastAsia="Times New Roman" w:cs="Times New Roman"/>
                      <w:color w:val="000000" w:themeColor="text1"/>
                      <w:sz w:val="21"/>
                      <w:szCs w:val="21"/>
                    </w:rPr>
                    <w:t>LG-DT300L</w:t>
                  </w:r>
                </w:p>
              </w:tc>
              <w:tc>
                <w:tcPr>
                  <w:tcW w:w="531" w:type="pct"/>
                  <w:shd w:val="clear" w:color="auto" w:fill="auto"/>
                  <w:vAlign w:val="center"/>
                </w:tcPr>
                <w:p w14:paraId="5B47380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000000" w:themeColor="text1"/>
                      <w:spacing w:val="7"/>
                      <w:sz w:val="21"/>
                      <w:szCs w:val="21"/>
                      <w:lang w:val="en-US" w:eastAsia="zh-CN"/>
                    </w:rPr>
                  </w:pPr>
                  <w:r>
                    <w:rPr>
                      <w:rFonts w:hint="eastAsia"/>
                      <w:color w:val="000000" w:themeColor="text1"/>
                      <w:spacing w:val="7"/>
                      <w:sz w:val="21"/>
                      <w:szCs w:val="21"/>
                      <w:lang w:val="en-US" w:eastAsia="zh-CN"/>
                    </w:rPr>
                    <w:t>1</w:t>
                  </w:r>
                </w:p>
              </w:tc>
              <w:tc>
                <w:tcPr>
                  <w:tcW w:w="647" w:type="pct"/>
                  <w:vMerge w:val="continue"/>
                  <w:shd w:val="clear" w:color="auto" w:fill="auto"/>
                  <w:vAlign w:val="center"/>
                </w:tcPr>
                <w:p w14:paraId="4784ADA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spacing w:val="7"/>
                      <w:sz w:val="21"/>
                      <w:szCs w:val="21"/>
                      <w:lang w:val="en-US" w:eastAsia="zh-CN"/>
                    </w:rPr>
                  </w:pPr>
                </w:p>
              </w:tc>
            </w:tr>
            <w:tr w14:paraId="331DBF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trPr>
              <w:tc>
                <w:tcPr>
                  <w:tcW w:w="722" w:type="pct"/>
                  <w:vMerge w:val="continue"/>
                  <w:vAlign w:val="center"/>
                </w:tcPr>
                <w:p w14:paraId="05A26B3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pacing w:val="7"/>
                      <w:sz w:val="21"/>
                      <w:szCs w:val="21"/>
                    </w:rPr>
                  </w:pPr>
                </w:p>
              </w:tc>
              <w:tc>
                <w:tcPr>
                  <w:tcW w:w="1904" w:type="pct"/>
                  <w:shd w:val="clear" w:color="auto" w:fill="auto"/>
                  <w:vAlign w:val="center"/>
                </w:tcPr>
                <w:p w14:paraId="04625BF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Arial" w:eastAsiaTheme="minorEastAsia"/>
                      <w:color w:val="000000" w:themeColor="text1"/>
                      <w:spacing w:val="7"/>
                      <w:kern w:val="2"/>
                      <w:sz w:val="21"/>
                      <w:szCs w:val="21"/>
                      <w:lang w:val="en-US" w:eastAsia="zh-CN" w:bidi="ar-SA"/>
                    </w:rPr>
                  </w:pPr>
                  <w:r>
                    <w:rPr>
                      <w:color w:val="000000" w:themeColor="text1"/>
                      <w:spacing w:val="4"/>
                      <w:sz w:val="21"/>
                      <w:szCs w:val="21"/>
                    </w:rPr>
                    <w:t>烘箱</w:t>
                  </w:r>
                </w:p>
              </w:tc>
              <w:tc>
                <w:tcPr>
                  <w:tcW w:w="1193" w:type="pct"/>
                  <w:shd w:val="clear" w:color="auto" w:fill="auto"/>
                  <w:vAlign w:val="center"/>
                </w:tcPr>
                <w:p w14:paraId="17782E2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ascii="Times New Roman" w:hAnsi="Times New Roman" w:cs="Arial" w:eastAsiaTheme="minorEastAsia"/>
                      <w:color w:val="000000" w:themeColor="text1"/>
                      <w:spacing w:val="7"/>
                      <w:kern w:val="2"/>
                      <w:sz w:val="21"/>
                      <w:szCs w:val="21"/>
                      <w:lang w:val="en-US" w:eastAsia="zh-CN" w:bidi="ar-SA"/>
                    </w:rPr>
                  </w:pPr>
                  <w:r>
                    <w:rPr>
                      <w:rFonts w:hint="eastAsia"/>
                      <w:color w:val="000000" w:themeColor="text1"/>
                      <w:spacing w:val="7"/>
                      <w:sz w:val="21"/>
                      <w:szCs w:val="21"/>
                    </w:rPr>
                    <w:t>LG-HX1800</w:t>
                  </w:r>
                </w:p>
              </w:tc>
              <w:tc>
                <w:tcPr>
                  <w:tcW w:w="531" w:type="pct"/>
                  <w:shd w:val="clear" w:color="auto" w:fill="auto"/>
                  <w:vAlign w:val="center"/>
                </w:tcPr>
                <w:p w14:paraId="4B6203E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000000" w:themeColor="text1"/>
                      <w:spacing w:val="7"/>
                      <w:sz w:val="21"/>
                      <w:szCs w:val="21"/>
                      <w:lang w:val="en-US" w:eastAsia="zh-CN"/>
                    </w:rPr>
                  </w:pPr>
                  <w:r>
                    <w:rPr>
                      <w:rFonts w:hint="eastAsia"/>
                      <w:color w:val="000000" w:themeColor="text1"/>
                      <w:spacing w:val="7"/>
                      <w:sz w:val="21"/>
                      <w:szCs w:val="21"/>
                      <w:lang w:val="en-US" w:eastAsia="zh-CN"/>
                    </w:rPr>
                    <w:t>2</w:t>
                  </w:r>
                </w:p>
              </w:tc>
              <w:tc>
                <w:tcPr>
                  <w:tcW w:w="647" w:type="pct"/>
                  <w:vMerge w:val="continue"/>
                  <w:shd w:val="clear" w:color="auto" w:fill="auto"/>
                  <w:vAlign w:val="center"/>
                </w:tcPr>
                <w:p w14:paraId="5818ED6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000000" w:themeColor="text1"/>
                      <w:spacing w:val="7"/>
                      <w:sz w:val="21"/>
                      <w:szCs w:val="21"/>
                      <w:lang w:val="en-US" w:eastAsia="zh-CN"/>
                    </w:rPr>
                  </w:pPr>
                </w:p>
              </w:tc>
            </w:tr>
            <w:tr w14:paraId="204F56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722" w:type="pct"/>
                  <w:vMerge w:val="continue"/>
                  <w:vAlign w:val="center"/>
                </w:tcPr>
                <w:p w14:paraId="55E7CBD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pacing w:val="7"/>
                      <w:sz w:val="21"/>
                      <w:szCs w:val="21"/>
                    </w:rPr>
                  </w:pPr>
                </w:p>
              </w:tc>
              <w:tc>
                <w:tcPr>
                  <w:tcW w:w="1904" w:type="pct"/>
                  <w:shd w:val="clear" w:color="auto" w:fill="auto"/>
                  <w:vAlign w:val="center"/>
                </w:tcPr>
                <w:p w14:paraId="4234E3F4">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rPr>
                  </w:pPr>
                  <w:r>
                    <w:rPr>
                      <w:rFonts w:hint="eastAsia"/>
                      <w:color w:val="000000" w:themeColor="text1"/>
                      <w:sz w:val="21"/>
                      <w:szCs w:val="21"/>
                      <w:lang w:val="en-US" w:eastAsia="zh-CN"/>
                    </w:rPr>
                    <w:t>电焊机</w:t>
                  </w:r>
                </w:p>
              </w:tc>
              <w:tc>
                <w:tcPr>
                  <w:tcW w:w="1193" w:type="pct"/>
                  <w:shd w:val="clear" w:color="auto" w:fill="auto"/>
                  <w:vAlign w:val="center"/>
                </w:tcPr>
                <w:p w14:paraId="5BACD49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7"/>
                      <w:kern w:val="2"/>
                      <w:sz w:val="21"/>
                      <w:szCs w:val="21"/>
                      <w:lang w:val="en-US" w:eastAsia="zh-CN" w:bidi="ar-SA"/>
                    </w:rPr>
                  </w:pPr>
                  <w:r>
                    <w:rPr>
                      <w:rFonts w:hint="eastAsia" w:cs="Times New Roman"/>
                      <w:color w:val="000000" w:themeColor="text1"/>
                      <w:spacing w:val="7"/>
                      <w:kern w:val="2"/>
                      <w:sz w:val="21"/>
                      <w:szCs w:val="21"/>
                      <w:lang w:val="en-US" w:eastAsia="zh-CN" w:bidi="ar-SA"/>
                    </w:rPr>
                    <w:t>/</w:t>
                  </w:r>
                </w:p>
              </w:tc>
              <w:tc>
                <w:tcPr>
                  <w:tcW w:w="531" w:type="pct"/>
                  <w:shd w:val="clear" w:color="auto" w:fill="auto"/>
                  <w:vAlign w:val="center"/>
                </w:tcPr>
                <w:p w14:paraId="2B0AC23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spacing w:val="7"/>
                      <w:sz w:val="21"/>
                      <w:szCs w:val="21"/>
                      <w:lang w:val="en-US" w:eastAsia="zh-CN"/>
                    </w:rPr>
                  </w:pPr>
                  <w:r>
                    <w:rPr>
                      <w:rFonts w:hint="eastAsia"/>
                      <w:color w:val="000000" w:themeColor="text1"/>
                      <w:spacing w:val="7"/>
                      <w:sz w:val="21"/>
                      <w:szCs w:val="21"/>
                      <w:lang w:val="en-US" w:eastAsia="zh-CN"/>
                    </w:rPr>
                    <w:t>1</w:t>
                  </w:r>
                </w:p>
              </w:tc>
              <w:tc>
                <w:tcPr>
                  <w:tcW w:w="647" w:type="pct"/>
                  <w:vMerge w:val="continue"/>
                  <w:shd w:val="clear" w:color="auto" w:fill="auto"/>
                  <w:vAlign w:val="center"/>
                </w:tcPr>
                <w:p w14:paraId="364571D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spacing w:val="7"/>
                      <w:sz w:val="21"/>
                      <w:szCs w:val="21"/>
                      <w:lang w:val="en-US" w:eastAsia="zh-CN"/>
                    </w:rPr>
                  </w:pPr>
                </w:p>
              </w:tc>
            </w:tr>
            <w:tr w14:paraId="38084C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722" w:type="pct"/>
                  <w:vAlign w:val="center"/>
                </w:tcPr>
                <w:p w14:paraId="406AD5A2">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spacing w:val="7"/>
                      <w:sz w:val="21"/>
                      <w:szCs w:val="21"/>
                      <w:lang w:val="en-US" w:eastAsia="zh-CN"/>
                    </w:rPr>
                  </w:pPr>
                  <w:r>
                    <w:rPr>
                      <w:rFonts w:hint="eastAsia"/>
                      <w:color w:val="000000" w:themeColor="text1"/>
                      <w:spacing w:val="7"/>
                      <w:sz w:val="21"/>
                      <w:szCs w:val="21"/>
                      <w:lang w:val="en-US" w:eastAsia="zh-CN"/>
                    </w:rPr>
                    <w:t>配电控制设备</w:t>
                  </w:r>
                </w:p>
              </w:tc>
              <w:tc>
                <w:tcPr>
                  <w:tcW w:w="1904" w:type="pct"/>
                  <w:shd w:val="clear" w:color="auto" w:fill="auto"/>
                  <w:vAlign w:val="center"/>
                </w:tcPr>
                <w:p w14:paraId="695050A9">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color w:val="000000" w:themeColor="text1"/>
                      <w:kern w:val="2"/>
                      <w:sz w:val="21"/>
                      <w:szCs w:val="21"/>
                      <w:lang w:val="en-US" w:eastAsia="zh-CN" w:bidi="ar-SA"/>
                    </w:rPr>
                  </w:pPr>
                  <w:r>
                    <w:rPr>
                      <w:color w:val="000000" w:themeColor="text1"/>
                      <w:spacing w:val="-3"/>
                      <w:sz w:val="21"/>
                      <w:szCs w:val="21"/>
                    </w:rPr>
                    <w:t>电焊机</w:t>
                  </w:r>
                </w:p>
              </w:tc>
              <w:tc>
                <w:tcPr>
                  <w:tcW w:w="1193" w:type="pct"/>
                  <w:shd w:val="clear" w:color="auto" w:fill="auto"/>
                  <w:vAlign w:val="center"/>
                </w:tcPr>
                <w:p w14:paraId="390415B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Arial" w:hAnsi="Times New Roman" w:cs="Arial" w:eastAsiaTheme="minorEastAsia"/>
                      <w:color w:val="000000" w:themeColor="text1"/>
                      <w:kern w:val="2"/>
                      <w:sz w:val="21"/>
                      <w:szCs w:val="21"/>
                      <w:lang w:val="en-US" w:eastAsia="zh-CN" w:bidi="ar-SA"/>
                    </w:rPr>
                  </w:pPr>
                  <w:r>
                    <w:rPr>
                      <w:rFonts w:hint="eastAsia" w:ascii="Arial" w:hAnsi="Times New Roman" w:cs="Arial" w:eastAsiaTheme="minorEastAsia"/>
                      <w:color w:val="000000" w:themeColor="text1"/>
                      <w:kern w:val="2"/>
                      <w:sz w:val="21"/>
                      <w:szCs w:val="21"/>
                      <w:lang w:val="en-US" w:eastAsia="zh-CN" w:bidi="ar-SA"/>
                    </w:rPr>
                    <w:t>/</w:t>
                  </w:r>
                </w:p>
              </w:tc>
              <w:tc>
                <w:tcPr>
                  <w:tcW w:w="531" w:type="pct"/>
                  <w:shd w:val="clear" w:color="auto" w:fill="auto"/>
                  <w:vAlign w:val="center"/>
                </w:tcPr>
                <w:p w14:paraId="53C6EC7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eastAsia="Times New Roman" w:cs="Times New Roman"/>
                      <w:color w:val="000000" w:themeColor="text1"/>
                      <w:kern w:val="2"/>
                      <w:sz w:val="21"/>
                      <w:szCs w:val="21"/>
                      <w:lang w:val="en-US" w:eastAsia="zh-CN" w:bidi="ar-SA"/>
                    </w:rPr>
                  </w:pPr>
                  <w:r>
                    <w:rPr>
                      <w:rFonts w:hint="eastAsia" w:eastAsia="Times New Roman" w:cs="Times New Roman"/>
                      <w:color w:val="000000" w:themeColor="text1"/>
                      <w:kern w:val="2"/>
                      <w:sz w:val="21"/>
                      <w:szCs w:val="21"/>
                      <w:lang w:val="en-US" w:eastAsia="zh-CN" w:bidi="ar-SA"/>
                    </w:rPr>
                    <w:t>1</w:t>
                  </w:r>
                </w:p>
              </w:tc>
              <w:tc>
                <w:tcPr>
                  <w:tcW w:w="647" w:type="pct"/>
                  <w:vMerge w:val="continue"/>
                  <w:shd w:val="clear" w:color="auto" w:fill="auto"/>
                  <w:vAlign w:val="center"/>
                </w:tcPr>
                <w:p w14:paraId="15664FA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eastAsia="Times New Roman" w:cs="Times New Roman"/>
                      <w:color w:val="000000" w:themeColor="text1"/>
                      <w:kern w:val="2"/>
                      <w:sz w:val="21"/>
                      <w:szCs w:val="21"/>
                      <w:lang w:val="en-US" w:eastAsia="zh-CN" w:bidi="ar-SA"/>
                    </w:rPr>
                  </w:pPr>
                </w:p>
              </w:tc>
            </w:tr>
            <w:tr w14:paraId="4ED98B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722" w:type="pct"/>
                  <w:vMerge w:val="restart"/>
                  <w:vAlign w:val="center"/>
                </w:tcPr>
                <w:p w14:paraId="3D78550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eastAsiaTheme="minorEastAsia"/>
                      <w:color w:val="000000" w:themeColor="text1"/>
                      <w:spacing w:val="7"/>
                      <w:sz w:val="21"/>
                      <w:szCs w:val="21"/>
                      <w:lang w:val="en-US" w:eastAsia="zh-CN"/>
                    </w:rPr>
                  </w:pPr>
                  <w:r>
                    <w:rPr>
                      <w:rFonts w:hint="eastAsia"/>
                      <w:color w:val="000000" w:themeColor="text1"/>
                      <w:spacing w:val="7"/>
                      <w:sz w:val="21"/>
                      <w:szCs w:val="21"/>
                      <w:lang w:val="en-US" w:eastAsia="zh-CN"/>
                    </w:rPr>
                    <w:t>通用设备</w:t>
                  </w:r>
                </w:p>
              </w:tc>
              <w:tc>
                <w:tcPr>
                  <w:tcW w:w="1904" w:type="pct"/>
                  <w:vAlign w:val="center"/>
                </w:tcPr>
                <w:p w14:paraId="1C83ED3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pacing w:val="7"/>
                      <w:sz w:val="21"/>
                      <w:szCs w:val="21"/>
                    </w:rPr>
                  </w:pPr>
                  <w:r>
                    <w:rPr>
                      <w:rFonts w:hint="eastAsia" w:ascii="Times New Roman" w:hAnsi="Times New Roman" w:eastAsia="宋体" w:cs="Times New Roman"/>
                      <w:color w:val="000000" w:themeColor="text1"/>
                      <w:kern w:val="2"/>
                      <w:sz w:val="21"/>
                      <w:szCs w:val="21"/>
                      <w:lang w:val="en-US" w:eastAsia="zh-CN" w:bidi="ar-SA"/>
                    </w:rPr>
                    <w:t>箔绕机</w:t>
                  </w:r>
                </w:p>
              </w:tc>
              <w:tc>
                <w:tcPr>
                  <w:tcW w:w="1193" w:type="pct"/>
                  <w:vAlign w:val="center"/>
                </w:tcPr>
                <w:p w14:paraId="6AB77B0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pacing w:val="7"/>
                      <w:sz w:val="21"/>
                      <w:szCs w:val="21"/>
                    </w:rPr>
                  </w:pPr>
                  <w:r>
                    <w:rPr>
                      <w:rFonts w:hint="eastAsia"/>
                      <w:color w:val="000000" w:themeColor="text1"/>
                      <w:spacing w:val="7"/>
                      <w:sz w:val="21"/>
                      <w:szCs w:val="21"/>
                    </w:rPr>
                    <w:t>LG-BRJ1400II</w:t>
                  </w:r>
                </w:p>
              </w:tc>
              <w:tc>
                <w:tcPr>
                  <w:tcW w:w="531" w:type="pct"/>
                  <w:vAlign w:val="center"/>
                </w:tcPr>
                <w:p w14:paraId="69E080E5">
                  <w:pPr>
                    <w:keepNext w:val="0"/>
                    <w:keepLines w:val="0"/>
                    <w:pageBreakBefore w:val="0"/>
                    <w:widowControl w:val="0"/>
                    <w:tabs>
                      <w:tab w:val="left" w:pos="335"/>
                    </w:tabs>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spacing w:val="7"/>
                      <w:sz w:val="21"/>
                      <w:szCs w:val="21"/>
                      <w:lang w:val="en-US" w:eastAsia="zh-CN"/>
                    </w:rPr>
                  </w:pPr>
                  <w:r>
                    <w:rPr>
                      <w:rFonts w:hint="eastAsia"/>
                      <w:color w:val="000000" w:themeColor="text1"/>
                      <w:spacing w:val="7"/>
                      <w:sz w:val="21"/>
                      <w:szCs w:val="21"/>
                      <w:lang w:val="en-US" w:eastAsia="zh-CN"/>
                    </w:rPr>
                    <w:t>1</w:t>
                  </w:r>
                </w:p>
              </w:tc>
              <w:tc>
                <w:tcPr>
                  <w:tcW w:w="647" w:type="pct"/>
                  <w:vMerge w:val="continue"/>
                  <w:vAlign w:val="center"/>
                </w:tcPr>
                <w:p w14:paraId="6FBA986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spacing w:val="7"/>
                      <w:sz w:val="21"/>
                      <w:szCs w:val="21"/>
                      <w:lang w:val="en-US" w:eastAsia="zh-CN"/>
                    </w:rPr>
                  </w:pPr>
                </w:p>
              </w:tc>
            </w:tr>
            <w:tr w14:paraId="26C431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722" w:type="pct"/>
                  <w:vMerge w:val="continue"/>
                  <w:vAlign w:val="center"/>
                </w:tcPr>
                <w:p w14:paraId="29B0C2C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z w:val="21"/>
                      <w:szCs w:val="21"/>
                    </w:rPr>
                  </w:pPr>
                </w:p>
              </w:tc>
              <w:tc>
                <w:tcPr>
                  <w:tcW w:w="1904" w:type="pct"/>
                  <w:shd w:val="clear" w:color="auto" w:fill="auto"/>
                  <w:vAlign w:val="center"/>
                </w:tcPr>
                <w:p w14:paraId="49C3FCF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Times New Roman" w:hAnsi="Times New Roman" w:eastAsia="宋体" w:cs="Times New Roman"/>
                      <w:color w:val="000000" w:themeColor="text1"/>
                      <w:kern w:val="2"/>
                      <w:sz w:val="21"/>
                      <w:szCs w:val="21"/>
                      <w:lang w:val="en-US" w:eastAsia="zh-CN" w:bidi="ar-SA"/>
                    </w:rPr>
                  </w:pPr>
                  <w:r>
                    <w:rPr>
                      <w:rFonts w:hint="eastAsia" w:ascii="Times New Roman" w:hAnsi="Times New Roman" w:eastAsia="宋体" w:cs="Times New Roman"/>
                      <w:color w:val="000000" w:themeColor="text1"/>
                      <w:kern w:val="2"/>
                      <w:sz w:val="21"/>
                      <w:szCs w:val="21"/>
                      <w:lang w:val="en-US" w:eastAsia="zh-CN" w:bidi="ar-SA"/>
                    </w:rPr>
                    <w:t>双层工作台数控转塔式母线加工机</w:t>
                  </w:r>
                </w:p>
              </w:tc>
              <w:tc>
                <w:tcPr>
                  <w:tcW w:w="1193" w:type="pct"/>
                  <w:vAlign w:val="center"/>
                </w:tcPr>
                <w:p w14:paraId="4CF83EA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pacing w:val="7"/>
                      <w:sz w:val="21"/>
                      <w:szCs w:val="21"/>
                    </w:rPr>
                  </w:pPr>
                  <w:r>
                    <w:rPr>
                      <w:rFonts w:hint="eastAsia"/>
                      <w:color w:val="000000" w:themeColor="text1"/>
                      <w:spacing w:val="7"/>
                      <w:sz w:val="21"/>
                      <w:szCs w:val="21"/>
                    </w:rPr>
                    <w:t>ACMX-303FK</w:t>
                  </w:r>
                </w:p>
              </w:tc>
              <w:tc>
                <w:tcPr>
                  <w:tcW w:w="531" w:type="pct"/>
                  <w:vAlign w:val="center"/>
                </w:tcPr>
                <w:p w14:paraId="73304D2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spacing w:val="7"/>
                      <w:sz w:val="21"/>
                      <w:szCs w:val="21"/>
                      <w:lang w:val="en-US" w:eastAsia="zh-CN"/>
                    </w:rPr>
                  </w:pPr>
                  <w:r>
                    <w:rPr>
                      <w:rFonts w:hint="eastAsia"/>
                      <w:color w:val="000000" w:themeColor="text1"/>
                      <w:spacing w:val="7"/>
                      <w:sz w:val="21"/>
                      <w:szCs w:val="21"/>
                      <w:lang w:val="en-US" w:eastAsia="zh-CN"/>
                    </w:rPr>
                    <w:t>1</w:t>
                  </w:r>
                </w:p>
              </w:tc>
              <w:tc>
                <w:tcPr>
                  <w:tcW w:w="647" w:type="pct"/>
                  <w:vMerge w:val="continue"/>
                  <w:vAlign w:val="center"/>
                </w:tcPr>
                <w:p w14:paraId="7D7FCF2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spacing w:val="7"/>
                      <w:sz w:val="21"/>
                      <w:szCs w:val="21"/>
                      <w:lang w:val="en-US" w:eastAsia="zh-CN"/>
                    </w:rPr>
                  </w:pPr>
                </w:p>
              </w:tc>
            </w:tr>
            <w:tr w14:paraId="68FAE3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722" w:type="pct"/>
                  <w:vMerge w:val="continue"/>
                  <w:vAlign w:val="center"/>
                </w:tcPr>
                <w:p w14:paraId="35E1AB3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pacing w:val="7"/>
                      <w:sz w:val="21"/>
                      <w:szCs w:val="21"/>
                    </w:rPr>
                  </w:pPr>
                </w:p>
              </w:tc>
              <w:tc>
                <w:tcPr>
                  <w:tcW w:w="1904" w:type="pct"/>
                  <w:shd w:val="clear" w:color="auto" w:fill="auto"/>
                  <w:vAlign w:val="center"/>
                </w:tcPr>
                <w:p w14:paraId="1CB9DD4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Times New Roman" w:hAnsi="Times New Roman" w:eastAsia="宋体" w:cs="Times New Roman"/>
                      <w:color w:val="000000" w:themeColor="text1"/>
                      <w:kern w:val="2"/>
                      <w:sz w:val="21"/>
                      <w:szCs w:val="21"/>
                      <w:lang w:val="en-US" w:eastAsia="zh-CN" w:bidi="ar-SA"/>
                    </w:rPr>
                  </w:pPr>
                  <w:r>
                    <w:rPr>
                      <w:rFonts w:hint="eastAsia" w:ascii="Times New Roman" w:hAnsi="Times New Roman" w:eastAsia="宋体" w:cs="Times New Roman"/>
                      <w:color w:val="000000" w:themeColor="text1"/>
                      <w:sz w:val="21"/>
                      <w:szCs w:val="21"/>
                      <w:lang w:val="en-US" w:eastAsia="zh-CN"/>
                    </w:rPr>
                    <w:t>绝缘纸板电动剪板机</w:t>
                  </w:r>
                </w:p>
              </w:tc>
              <w:tc>
                <w:tcPr>
                  <w:tcW w:w="1193" w:type="pct"/>
                  <w:vAlign w:val="center"/>
                </w:tcPr>
                <w:p w14:paraId="785AEF1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pacing w:val="7"/>
                      <w:sz w:val="21"/>
                      <w:szCs w:val="21"/>
                    </w:rPr>
                  </w:pPr>
                  <w:r>
                    <w:rPr>
                      <w:rFonts w:hint="eastAsia"/>
                      <w:color w:val="000000" w:themeColor="text1"/>
                      <w:spacing w:val="7"/>
                      <w:sz w:val="21"/>
                      <w:szCs w:val="21"/>
                    </w:rPr>
                    <w:t>3X1600</w:t>
                  </w:r>
                </w:p>
              </w:tc>
              <w:tc>
                <w:tcPr>
                  <w:tcW w:w="531" w:type="pct"/>
                  <w:vAlign w:val="center"/>
                </w:tcPr>
                <w:p w14:paraId="329007F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000000" w:themeColor="text1"/>
                      <w:spacing w:val="7"/>
                      <w:sz w:val="21"/>
                      <w:szCs w:val="21"/>
                      <w:lang w:val="en-US" w:eastAsia="zh-CN"/>
                    </w:rPr>
                  </w:pPr>
                  <w:r>
                    <w:rPr>
                      <w:rFonts w:hint="eastAsia"/>
                      <w:color w:val="000000" w:themeColor="text1"/>
                      <w:spacing w:val="7"/>
                      <w:sz w:val="21"/>
                      <w:szCs w:val="21"/>
                      <w:lang w:val="en-US" w:eastAsia="zh-CN"/>
                    </w:rPr>
                    <w:t>1</w:t>
                  </w:r>
                </w:p>
              </w:tc>
              <w:tc>
                <w:tcPr>
                  <w:tcW w:w="647" w:type="pct"/>
                  <w:vMerge w:val="continue"/>
                  <w:vAlign w:val="center"/>
                </w:tcPr>
                <w:p w14:paraId="0ECAEAF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000000" w:themeColor="text1"/>
                      <w:spacing w:val="7"/>
                      <w:sz w:val="21"/>
                      <w:szCs w:val="21"/>
                      <w:lang w:val="en-US" w:eastAsia="zh-CN"/>
                    </w:rPr>
                  </w:pPr>
                </w:p>
              </w:tc>
            </w:tr>
            <w:tr w14:paraId="7E73C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722" w:type="pct"/>
                  <w:vMerge w:val="continue"/>
                  <w:vAlign w:val="center"/>
                </w:tcPr>
                <w:p w14:paraId="280CB5F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pacing w:val="7"/>
                      <w:sz w:val="21"/>
                      <w:szCs w:val="21"/>
                    </w:rPr>
                  </w:pPr>
                </w:p>
              </w:tc>
              <w:tc>
                <w:tcPr>
                  <w:tcW w:w="1904" w:type="pct"/>
                  <w:vAlign w:val="center"/>
                </w:tcPr>
                <w:p w14:paraId="7C9F27A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pacing w:val="7"/>
                      <w:sz w:val="21"/>
                      <w:szCs w:val="21"/>
                    </w:rPr>
                  </w:pPr>
                  <w:r>
                    <w:rPr>
                      <w:color w:val="000000" w:themeColor="text1"/>
                      <w:spacing w:val="6"/>
                      <w:sz w:val="21"/>
                      <w:szCs w:val="21"/>
                    </w:rPr>
                    <w:t>绕线机</w:t>
                  </w:r>
                </w:p>
              </w:tc>
              <w:tc>
                <w:tcPr>
                  <w:tcW w:w="1193" w:type="pct"/>
                  <w:vAlign w:val="center"/>
                </w:tcPr>
                <w:p w14:paraId="1398C59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eastAsiaTheme="minorEastAsia"/>
                      <w:color w:val="000000" w:themeColor="text1"/>
                      <w:spacing w:val="7"/>
                      <w:sz w:val="21"/>
                      <w:szCs w:val="21"/>
                      <w:lang w:val="en-US" w:eastAsia="zh-CN"/>
                    </w:rPr>
                  </w:pPr>
                  <w:r>
                    <w:rPr>
                      <w:rFonts w:hint="default" w:eastAsiaTheme="minorEastAsia"/>
                      <w:color w:val="000000" w:themeColor="text1"/>
                      <w:spacing w:val="7"/>
                      <w:sz w:val="21"/>
                      <w:szCs w:val="21"/>
                      <w:lang w:val="en-US" w:eastAsia="zh-CN"/>
                    </w:rPr>
                    <w:t>LG-RXJ-1T</w:t>
                  </w:r>
                  <w:r>
                    <w:rPr>
                      <w:rFonts w:hint="eastAsia"/>
                      <w:color w:val="000000" w:themeColor="text1"/>
                      <w:spacing w:val="7"/>
                      <w:sz w:val="21"/>
                      <w:szCs w:val="21"/>
                      <w:lang w:val="en-US" w:eastAsia="zh-CN"/>
                    </w:rPr>
                    <w:t>/2T</w:t>
                  </w:r>
                </w:p>
              </w:tc>
              <w:tc>
                <w:tcPr>
                  <w:tcW w:w="531" w:type="pct"/>
                  <w:vAlign w:val="center"/>
                </w:tcPr>
                <w:p w14:paraId="09B7920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000000" w:themeColor="text1"/>
                      <w:spacing w:val="7"/>
                      <w:sz w:val="21"/>
                      <w:szCs w:val="21"/>
                      <w:lang w:val="en-US" w:eastAsia="zh-CN"/>
                    </w:rPr>
                  </w:pPr>
                  <w:r>
                    <w:rPr>
                      <w:rFonts w:hint="eastAsia"/>
                      <w:color w:val="000000" w:themeColor="text1"/>
                      <w:spacing w:val="7"/>
                      <w:sz w:val="21"/>
                      <w:szCs w:val="21"/>
                      <w:lang w:val="en-US" w:eastAsia="zh-CN"/>
                    </w:rPr>
                    <w:t>3</w:t>
                  </w:r>
                </w:p>
              </w:tc>
              <w:tc>
                <w:tcPr>
                  <w:tcW w:w="647" w:type="pct"/>
                  <w:vMerge w:val="continue"/>
                  <w:vAlign w:val="center"/>
                </w:tcPr>
                <w:p w14:paraId="5971211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000000" w:themeColor="text1"/>
                      <w:spacing w:val="7"/>
                      <w:sz w:val="21"/>
                      <w:szCs w:val="21"/>
                      <w:lang w:val="en-US" w:eastAsia="zh-CN"/>
                    </w:rPr>
                  </w:pPr>
                </w:p>
              </w:tc>
            </w:tr>
            <w:tr w14:paraId="6AFFAA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722" w:type="pct"/>
                  <w:vMerge w:val="continue"/>
                  <w:vAlign w:val="center"/>
                </w:tcPr>
                <w:p w14:paraId="3F1CC7A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pacing w:val="7"/>
                      <w:sz w:val="21"/>
                      <w:szCs w:val="21"/>
                    </w:rPr>
                  </w:pPr>
                </w:p>
              </w:tc>
              <w:tc>
                <w:tcPr>
                  <w:tcW w:w="1904" w:type="pct"/>
                  <w:vAlign w:val="center"/>
                </w:tcPr>
                <w:p w14:paraId="2F2180B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olor w:val="000000" w:themeColor="text1"/>
                      <w:spacing w:val="6"/>
                      <w:sz w:val="21"/>
                      <w:szCs w:val="21"/>
                      <w:lang w:val="en-US" w:eastAsia="zh-CN"/>
                    </w:rPr>
                  </w:pPr>
                  <w:r>
                    <w:rPr>
                      <w:rFonts w:hint="eastAsia"/>
                      <w:color w:val="000000" w:themeColor="text1"/>
                      <w:spacing w:val="6"/>
                      <w:sz w:val="21"/>
                      <w:szCs w:val="21"/>
                      <w:lang w:val="en-US" w:eastAsia="zh-CN"/>
                    </w:rPr>
                    <w:t>空压机</w:t>
                  </w:r>
                </w:p>
              </w:tc>
              <w:tc>
                <w:tcPr>
                  <w:tcW w:w="1193" w:type="pct"/>
                  <w:vAlign w:val="center"/>
                </w:tcPr>
                <w:p w14:paraId="3FA5438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eastAsiaTheme="minorEastAsia"/>
                      <w:color w:val="000000" w:themeColor="text1"/>
                      <w:spacing w:val="7"/>
                      <w:sz w:val="21"/>
                      <w:szCs w:val="21"/>
                      <w:lang w:val="en-US" w:eastAsia="zh-CN"/>
                    </w:rPr>
                  </w:pPr>
                  <w:r>
                    <w:rPr>
                      <w:rFonts w:hint="eastAsia" w:eastAsiaTheme="minorEastAsia"/>
                      <w:color w:val="000000" w:themeColor="text1"/>
                      <w:spacing w:val="7"/>
                      <w:sz w:val="21"/>
                      <w:szCs w:val="21"/>
                      <w:lang w:val="en-US" w:eastAsia="zh-CN"/>
                    </w:rPr>
                    <w:t>/</w:t>
                  </w:r>
                </w:p>
              </w:tc>
              <w:tc>
                <w:tcPr>
                  <w:tcW w:w="531" w:type="pct"/>
                  <w:vAlign w:val="center"/>
                </w:tcPr>
                <w:p w14:paraId="42D0BD5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spacing w:val="7"/>
                      <w:sz w:val="21"/>
                      <w:szCs w:val="21"/>
                      <w:lang w:val="en-US" w:eastAsia="zh-CN"/>
                    </w:rPr>
                  </w:pPr>
                  <w:r>
                    <w:rPr>
                      <w:rFonts w:hint="eastAsia"/>
                      <w:color w:val="000000" w:themeColor="text1"/>
                      <w:spacing w:val="7"/>
                      <w:sz w:val="21"/>
                      <w:szCs w:val="21"/>
                      <w:lang w:val="en-US" w:eastAsia="zh-CN"/>
                    </w:rPr>
                    <w:t>1</w:t>
                  </w:r>
                </w:p>
              </w:tc>
              <w:tc>
                <w:tcPr>
                  <w:tcW w:w="647" w:type="pct"/>
                  <w:vMerge w:val="continue"/>
                  <w:vAlign w:val="center"/>
                </w:tcPr>
                <w:p w14:paraId="44471DA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000000" w:themeColor="text1"/>
                      <w:spacing w:val="7"/>
                      <w:sz w:val="21"/>
                      <w:szCs w:val="21"/>
                      <w:lang w:val="en-US" w:eastAsia="zh-CN"/>
                    </w:rPr>
                  </w:pPr>
                </w:p>
              </w:tc>
            </w:tr>
            <w:tr w14:paraId="58A4C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722" w:type="pct"/>
                  <w:vMerge w:val="continue"/>
                  <w:vAlign w:val="center"/>
                </w:tcPr>
                <w:p w14:paraId="5F65206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z w:val="21"/>
                      <w:szCs w:val="21"/>
                    </w:rPr>
                  </w:pPr>
                </w:p>
              </w:tc>
              <w:tc>
                <w:tcPr>
                  <w:tcW w:w="1904" w:type="pct"/>
                  <w:vAlign w:val="center"/>
                </w:tcPr>
                <w:p w14:paraId="3DDB039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pacing w:val="7"/>
                      <w:sz w:val="21"/>
                      <w:szCs w:val="21"/>
                    </w:rPr>
                  </w:pPr>
                  <w:r>
                    <w:rPr>
                      <w:rFonts w:hint="eastAsia"/>
                      <w:color w:val="000000" w:themeColor="text1"/>
                      <w:spacing w:val="7"/>
                      <w:sz w:val="21"/>
                      <w:szCs w:val="21"/>
                    </w:rPr>
                    <w:t>倍频机组</w:t>
                  </w:r>
                </w:p>
              </w:tc>
              <w:tc>
                <w:tcPr>
                  <w:tcW w:w="1193" w:type="pct"/>
                  <w:vAlign w:val="center"/>
                </w:tcPr>
                <w:p w14:paraId="3D4B876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pacing w:val="7"/>
                      <w:sz w:val="21"/>
                      <w:szCs w:val="21"/>
                    </w:rPr>
                  </w:pPr>
                  <w:r>
                    <w:rPr>
                      <w:rFonts w:hint="eastAsia"/>
                      <w:color w:val="000000" w:themeColor="text1"/>
                      <w:spacing w:val="7"/>
                      <w:sz w:val="21"/>
                      <w:szCs w:val="21"/>
                    </w:rPr>
                    <w:t>WDBF-30KVA</w:t>
                  </w:r>
                </w:p>
              </w:tc>
              <w:tc>
                <w:tcPr>
                  <w:tcW w:w="531" w:type="pct"/>
                  <w:vAlign w:val="center"/>
                </w:tcPr>
                <w:p w14:paraId="7BEE52C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000000" w:themeColor="text1"/>
                      <w:spacing w:val="7"/>
                      <w:sz w:val="21"/>
                      <w:szCs w:val="21"/>
                      <w:lang w:val="en-US" w:eastAsia="zh-CN"/>
                    </w:rPr>
                  </w:pPr>
                  <w:r>
                    <w:rPr>
                      <w:rFonts w:hint="eastAsia"/>
                      <w:color w:val="000000" w:themeColor="text1"/>
                      <w:spacing w:val="7"/>
                      <w:sz w:val="21"/>
                      <w:szCs w:val="21"/>
                      <w:lang w:val="en-US" w:eastAsia="zh-CN"/>
                    </w:rPr>
                    <w:t>1</w:t>
                  </w:r>
                </w:p>
              </w:tc>
              <w:tc>
                <w:tcPr>
                  <w:tcW w:w="647" w:type="pct"/>
                  <w:vMerge w:val="continue"/>
                  <w:vAlign w:val="center"/>
                </w:tcPr>
                <w:p w14:paraId="7F7C87D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000000" w:themeColor="text1"/>
                      <w:spacing w:val="7"/>
                      <w:sz w:val="21"/>
                      <w:szCs w:val="21"/>
                      <w:lang w:val="en-US" w:eastAsia="zh-CN"/>
                    </w:rPr>
                  </w:pPr>
                </w:p>
              </w:tc>
            </w:tr>
            <w:tr w14:paraId="09014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trPr>
              <w:tc>
                <w:tcPr>
                  <w:tcW w:w="722" w:type="pct"/>
                  <w:vMerge w:val="continue"/>
                  <w:vAlign w:val="center"/>
                </w:tcPr>
                <w:p w14:paraId="0CDBC32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pacing w:val="7"/>
                      <w:sz w:val="21"/>
                      <w:szCs w:val="21"/>
                    </w:rPr>
                  </w:pPr>
                </w:p>
              </w:tc>
              <w:tc>
                <w:tcPr>
                  <w:tcW w:w="1904" w:type="pct"/>
                  <w:vAlign w:val="center"/>
                </w:tcPr>
                <w:p w14:paraId="0CF738D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pacing w:val="7"/>
                      <w:sz w:val="21"/>
                      <w:szCs w:val="21"/>
                    </w:rPr>
                  </w:pPr>
                  <w:r>
                    <w:rPr>
                      <w:color w:val="000000" w:themeColor="text1"/>
                      <w:spacing w:val="6"/>
                      <w:sz w:val="21"/>
                      <w:szCs w:val="21"/>
                    </w:rPr>
                    <w:t>剪板机</w:t>
                  </w:r>
                </w:p>
              </w:tc>
              <w:tc>
                <w:tcPr>
                  <w:tcW w:w="1193" w:type="pct"/>
                  <w:vAlign w:val="center"/>
                </w:tcPr>
                <w:p w14:paraId="758B926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pacing w:val="7"/>
                      <w:sz w:val="21"/>
                      <w:szCs w:val="21"/>
                    </w:rPr>
                  </w:pPr>
                  <w:r>
                    <w:rPr>
                      <w:rFonts w:hint="eastAsia"/>
                      <w:color w:val="000000" w:themeColor="text1"/>
                      <w:spacing w:val="7"/>
                      <w:sz w:val="21"/>
                      <w:szCs w:val="21"/>
                    </w:rPr>
                    <w:t>3X1600</w:t>
                  </w:r>
                </w:p>
              </w:tc>
              <w:tc>
                <w:tcPr>
                  <w:tcW w:w="531" w:type="pct"/>
                  <w:vAlign w:val="center"/>
                </w:tcPr>
                <w:p w14:paraId="3EF4928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000000" w:themeColor="text1"/>
                      <w:spacing w:val="7"/>
                      <w:sz w:val="21"/>
                      <w:szCs w:val="21"/>
                      <w:lang w:val="en-US" w:eastAsia="zh-CN"/>
                    </w:rPr>
                  </w:pPr>
                  <w:r>
                    <w:rPr>
                      <w:rFonts w:hint="eastAsia"/>
                      <w:color w:val="000000" w:themeColor="text1"/>
                      <w:spacing w:val="7"/>
                      <w:sz w:val="21"/>
                      <w:szCs w:val="21"/>
                      <w:lang w:val="en-US" w:eastAsia="zh-CN"/>
                    </w:rPr>
                    <w:t>1</w:t>
                  </w:r>
                </w:p>
              </w:tc>
              <w:tc>
                <w:tcPr>
                  <w:tcW w:w="647" w:type="pct"/>
                  <w:vMerge w:val="continue"/>
                  <w:vAlign w:val="center"/>
                </w:tcPr>
                <w:p w14:paraId="33D228F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000000" w:themeColor="text1"/>
                      <w:spacing w:val="7"/>
                      <w:sz w:val="21"/>
                      <w:szCs w:val="21"/>
                      <w:lang w:val="en-US" w:eastAsia="zh-CN"/>
                    </w:rPr>
                  </w:pPr>
                </w:p>
              </w:tc>
            </w:tr>
            <w:tr w14:paraId="688A3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7" w:hRule="atLeast"/>
              </w:trPr>
              <w:tc>
                <w:tcPr>
                  <w:tcW w:w="722" w:type="pct"/>
                  <w:vMerge w:val="continue"/>
                  <w:vAlign w:val="center"/>
                </w:tcPr>
                <w:p w14:paraId="4B5CBDE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pacing w:val="7"/>
                      <w:sz w:val="21"/>
                      <w:szCs w:val="21"/>
                    </w:rPr>
                  </w:pPr>
                </w:p>
              </w:tc>
              <w:tc>
                <w:tcPr>
                  <w:tcW w:w="1904" w:type="pct"/>
                  <w:vAlign w:val="center"/>
                </w:tcPr>
                <w:p w14:paraId="69B8BA1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pacing w:val="7"/>
                      <w:sz w:val="21"/>
                      <w:szCs w:val="21"/>
                    </w:rPr>
                  </w:pPr>
                  <w:r>
                    <w:rPr>
                      <w:rFonts w:hint="default" w:ascii="Times New Roman" w:hAnsi="Times New Roman" w:eastAsia="宋体" w:cs="Times New Roman"/>
                      <w:color w:val="000000" w:themeColor="text1"/>
                      <w:sz w:val="21"/>
                      <w:szCs w:val="21"/>
                      <w:lang w:val="en-US" w:eastAsia="zh-CN"/>
                    </w:rPr>
                    <w:t>电焊机</w:t>
                  </w:r>
                </w:p>
              </w:tc>
              <w:tc>
                <w:tcPr>
                  <w:tcW w:w="1193" w:type="pct"/>
                  <w:vAlign w:val="center"/>
                </w:tcPr>
                <w:p w14:paraId="46C617E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olor w:val="000000" w:themeColor="text1"/>
                      <w:spacing w:val="7"/>
                      <w:sz w:val="21"/>
                      <w:szCs w:val="21"/>
                      <w:lang w:val="en-US" w:eastAsia="zh-CN"/>
                    </w:rPr>
                  </w:pPr>
                  <w:r>
                    <w:rPr>
                      <w:rFonts w:hint="eastAsia"/>
                      <w:color w:val="000000" w:themeColor="text1"/>
                      <w:spacing w:val="7"/>
                      <w:sz w:val="21"/>
                      <w:szCs w:val="21"/>
                      <w:lang w:val="en-US" w:eastAsia="zh-CN"/>
                    </w:rPr>
                    <w:t>/</w:t>
                  </w:r>
                </w:p>
              </w:tc>
              <w:tc>
                <w:tcPr>
                  <w:tcW w:w="531" w:type="pct"/>
                  <w:vAlign w:val="center"/>
                </w:tcPr>
                <w:p w14:paraId="1BF5190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000000" w:themeColor="text1"/>
                      <w:spacing w:val="7"/>
                      <w:sz w:val="21"/>
                      <w:szCs w:val="21"/>
                      <w:lang w:val="en-US" w:eastAsia="zh-CN"/>
                    </w:rPr>
                  </w:pPr>
                  <w:r>
                    <w:rPr>
                      <w:rFonts w:hint="eastAsia"/>
                      <w:color w:val="000000" w:themeColor="text1"/>
                      <w:spacing w:val="7"/>
                      <w:sz w:val="21"/>
                      <w:szCs w:val="21"/>
                      <w:lang w:val="en-US" w:eastAsia="zh-CN"/>
                    </w:rPr>
                    <w:t>1</w:t>
                  </w:r>
                </w:p>
              </w:tc>
              <w:tc>
                <w:tcPr>
                  <w:tcW w:w="647" w:type="pct"/>
                  <w:vMerge w:val="continue"/>
                  <w:vAlign w:val="center"/>
                </w:tcPr>
                <w:p w14:paraId="3827B1B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000000" w:themeColor="text1"/>
                      <w:spacing w:val="7"/>
                      <w:sz w:val="21"/>
                      <w:szCs w:val="21"/>
                      <w:lang w:val="en-US" w:eastAsia="zh-CN"/>
                    </w:rPr>
                  </w:pPr>
                </w:p>
              </w:tc>
            </w:tr>
            <w:tr w14:paraId="1659DB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722" w:type="pct"/>
                  <w:vMerge w:val="continue"/>
                  <w:vAlign w:val="center"/>
                </w:tcPr>
                <w:p w14:paraId="581BDB4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pacing w:val="7"/>
                      <w:sz w:val="21"/>
                      <w:szCs w:val="21"/>
                    </w:rPr>
                  </w:pPr>
                </w:p>
              </w:tc>
              <w:tc>
                <w:tcPr>
                  <w:tcW w:w="1904" w:type="pct"/>
                  <w:shd w:val="clear" w:color="auto" w:fill="auto"/>
                  <w:vAlign w:val="center"/>
                </w:tcPr>
                <w:p w14:paraId="311B7D8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rPr>
                  </w:pPr>
                  <w:r>
                    <w:rPr>
                      <w:rFonts w:hint="default" w:ascii="Times New Roman" w:hAnsi="Times New Roman" w:eastAsia="宋体" w:cs="Times New Roman"/>
                      <w:color w:val="000000" w:themeColor="text1"/>
                      <w:sz w:val="21"/>
                      <w:szCs w:val="21"/>
                      <w:lang w:val="en-US" w:eastAsia="zh-CN"/>
                    </w:rPr>
                    <w:t>调压器</w:t>
                  </w:r>
                </w:p>
              </w:tc>
              <w:tc>
                <w:tcPr>
                  <w:tcW w:w="1193" w:type="pct"/>
                  <w:vAlign w:val="center"/>
                </w:tcPr>
                <w:p w14:paraId="58EBE7E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pacing w:val="7"/>
                      <w:sz w:val="21"/>
                      <w:szCs w:val="21"/>
                    </w:rPr>
                  </w:pPr>
                  <w:r>
                    <w:rPr>
                      <w:rFonts w:hint="eastAsia"/>
                      <w:color w:val="000000" w:themeColor="text1"/>
                      <w:spacing w:val="7"/>
                      <w:sz w:val="21"/>
                      <w:szCs w:val="21"/>
                    </w:rPr>
                    <w:t>100KVA,0-650V</w:t>
                  </w:r>
                </w:p>
              </w:tc>
              <w:tc>
                <w:tcPr>
                  <w:tcW w:w="531" w:type="pct"/>
                  <w:vAlign w:val="center"/>
                </w:tcPr>
                <w:p w14:paraId="263D224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000000" w:themeColor="text1"/>
                      <w:spacing w:val="7"/>
                      <w:sz w:val="21"/>
                      <w:szCs w:val="21"/>
                      <w:lang w:val="en-US" w:eastAsia="zh-CN"/>
                    </w:rPr>
                  </w:pPr>
                  <w:r>
                    <w:rPr>
                      <w:rFonts w:hint="eastAsia"/>
                      <w:color w:val="000000" w:themeColor="text1"/>
                      <w:spacing w:val="7"/>
                      <w:sz w:val="21"/>
                      <w:szCs w:val="21"/>
                      <w:lang w:val="en-US" w:eastAsia="zh-CN"/>
                    </w:rPr>
                    <w:t>1</w:t>
                  </w:r>
                </w:p>
              </w:tc>
              <w:tc>
                <w:tcPr>
                  <w:tcW w:w="647" w:type="pct"/>
                  <w:vMerge w:val="continue"/>
                  <w:vAlign w:val="center"/>
                </w:tcPr>
                <w:p w14:paraId="3DE5298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000000" w:themeColor="text1"/>
                      <w:spacing w:val="7"/>
                      <w:sz w:val="21"/>
                      <w:szCs w:val="21"/>
                      <w:lang w:val="en-US" w:eastAsia="zh-CN"/>
                    </w:rPr>
                  </w:pPr>
                </w:p>
              </w:tc>
            </w:tr>
            <w:tr w14:paraId="44C06B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722" w:type="pct"/>
                  <w:vMerge w:val="continue"/>
                </w:tcPr>
                <w:p w14:paraId="4914B27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pacing w:val="7"/>
                      <w:sz w:val="21"/>
                      <w:szCs w:val="21"/>
                    </w:rPr>
                  </w:pPr>
                </w:p>
              </w:tc>
              <w:tc>
                <w:tcPr>
                  <w:tcW w:w="1904" w:type="pct"/>
                  <w:shd w:val="clear" w:color="auto" w:fill="auto"/>
                  <w:vAlign w:val="center"/>
                </w:tcPr>
                <w:p w14:paraId="53152F9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bCs/>
                      <w:color w:val="000000" w:themeColor="text1"/>
                      <w:kern w:val="2"/>
                      <w:sz w:val="21"/>
                      <w:szCs w:val="21"/>
                      <w:lang w:val="en-US" w:eastAsia="zh-CN" w:bidi="ar-SA"/>
                    </w:rPr>
                  </w:pPr>
                  <w:r>
                    <w:rPr>
                      <w:rFonts w:hint="eastAsia" w:ascii="Times New Roman" w:hAnsi="Times New Roman" w:eastAsia="宋体" w:cs="Times New Roman"/>
                      <w:bCs/>
                      <w:color w:val="000000" w:themeColor="text1"/>
                      <w:sz w:val="21"/>
                      <w:szCs w:val="21"/>
                      <w:lang w:val="en-US" w:eastAsia="zh-CN"/>
                    </w:rPr>
                    <w:t>变压器综合测试系统设备</w:t>
                  </w:r>
                </w:p>
              </w:tc>
              <w:tc>
                <w:tcPr>
                  <w:tcW w:w="1193" w:type="pct"/>
                </w:tcPr>
                <w:p w14:paraId="41B66D3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pacing w:val="7"/>
                      <w:sz w:val="21"/>
                      <w:szCs w:val="21"/>
                    </w:rPr>
                  </w:pPr>
                  <w:r>
                    <w:rPr>
                      <w:rFonts w:hint="eastAsia"/>
                      <w:color w:val="000000" w:themeColor="text1"/>
                      <w:spacing w:val="7"/>
                      <w:sz w:val="21"/>
                      <w:szCs w:val="21"/>
                    </w:rPr>
                    <w:t xml:space="preserve">WDBCT-III </w:t>
                  </w:r>
                </w:p>
              </w:tc>
              <w:tc>
                <w:tcPr>
                  <w:tcW w:w="531" w:type="pct"/>
                  <w:vAlign w:val="top"/>
                </w:tcPr>
                <w:p w14:paraId="6ECFC38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000000" w:themeColor="text1"/>
                      <w:spacing w:val="7"/>
                      <w:sz w:val="21"/>
                      <w:szCs w:val="21"/>
                      <w:lang w:val="en-US" w:eastAsia="zh-CN"/>
                    </w:rPr>
                  </w:pPr>
                  <w:r>
                    <w:rPr>
                      <w:rFonts w:hint="eastAsia"/>
                      <w:color w:val="000000" w:themeColor="text1"/>
                      <w:spacing w:val="7"/>
                      <w:sz w:val="21"/>
                      <w:szCs w:val="21"/>
                      <w:lang w:val="en-US" w:eastAsia="zh-CN"/>
                    </w:rPr>
                    <w:t>1</w:t>
                  </w:r>
                </w:p>
              </w:tc>
              <w:tc>
                <w:tcPr>
                  <w:tcW w:w="647" w:type="pct"/>
                  <w:vMerge w:val="continue"/>
                </w:tcPr>
                <w:p w14:paraId="486BC5D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000000" w:themeColor="text1"/>
                      <w:spacing w:val="7"/>
                      <w:sz w:val="21"/>
                      <w:szCs w:val="21"/>
                      <w:lang w:val="en-US" w:eastAsia="zh-CN"/>
                    </w:rPr>
                  </w:pPr>
                </w:p>
              </w:tc>
            </w:tr>
            <w:tr w14:paraId="22DC9A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722" w:type="pct"/>
                  <w:vMerge w:val="continue"/>
                </w:tcPr>
                <w:p w14:paraId="0F8A356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pacing w:val="7"/>
                      <w:sz w:val="21"/>
                      <w:szCs w:val="21"/>
                    </w:rPr>
                  </w:pPr>
                </w:p>
              </w:tc>
              <w:tc>
                <w:tcPr>
                  <w:tcW w:w="1904" w:type="pct"/>
                  <w:shd w:val="clear" w:color="auto" w:fill="auto"/>
                  <w:vAlign w:val="center"/>
                </w:tcPr>
                <w:p w14:paraId="7D699E7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bCs/>
                      <w:color w:val="000000" w:themeColor="text1"/>
                      <w:kern w:val="2"/>
                      <w:sz w:val="21"/>
                      <w:szCs w:val="21"/>
                      <w:lang w:val="en-US" w:eastAsia="zh-CN" w:bidi="ar-SA"/>
                    </w:rPr>
                  </w:pPr>
                  <w:r>
                    <w:rPr>
                      <w:rFonts w:hint="eastAsia" w:ascii="Times New Roman" w:hAnsi="Times New Roman" w:eastAsia="宋体" w:cs="Times New Roman"/>
                      <w:bCs/>
                      <w:color w:val="000000" w:themeColor="text1"/>
                      <w:sz w:val="21"/>
                      <w:szCs w:val="21"/>
                      <w:lang w:val="en-US" w:eastAsia="zh-CN"/>
                    </w:rPr>
                    <w:t>直流电阻测试仪</w:t>
                  </w:r>
                </w:p>
              </w:tc>
              <w:tc>
                <w:tcPr>
                  <w:tcW w:w="1193" w:type="pct"/>
                </w:tcPr>
                <w:p w14:paraId="3BCE7ED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pacing w:val="7"/>
                      <w:sz w:val="21"/>
                      <w:szCs w:val="21"/>
                    </w:rPr>
                  </w:pPr>
                  <w:r>
                    <w:rPr>
                      <w:rFonts w:hint="eastAsia"/>
                      <w:color w:val="000000" w:themeColor="text1"/>
                      <w:spacing w:val="7"/>
                      <w:sz w:val="21"/>
                      <w:szCs w:val="21"/>
                    </w:rPr>
                    <w:t>WDBZY-10A</w:t>
                  </w:r>
                </w:p>
              </w:tc>
              <w:tc>
                <w:tcPr>
                  <w:tcW w:w="531" w:type="pct"/>
                  <w:vAlign w:val="top"/>
                </w:tcPr>
                <w:p w14:paraId="54293E3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000000" w:themeColor="text1"/>
                      <w:spacing w:val="7"/>
                      <w:sz w:val="21"/>
                      <w:szCs w:val="21"/>
                      <w:lang w:val="en-US" w:eastAsia="zh-CN"/>
                    </w:rPr>
                  </w:pPr>
                  <w:r>
                    <w:rPr>
                      <w:rFonts w:hint="eastAsia"/>
                      <w:color w:val="000000" w:themeColor="text1"/>
                      <w:spacing w:val="7"/>
                      <w:sz w:val="21"/>
                      <w:szCs w:val="21"/>
                      <w:lang w:val="en-US" w:eastAsia="zh-CN"/>
                    </w:rPr>
                    <w:t>2</w:t>
                  </w:r>
                </w:p>
              </w:tc>
              <w:tc>
                <w:tcPr>
                  <w:tcW w:w="647" w:type="pct"/>
                  <w:vMerge w:val="continue"/>
                </w:tcPr>
                <w:p w14:paraId="0553A7F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000000" w:themeColor="text1"/>
                      <w:spacing w:val="7"/>
                      <w:sz w:val="21"/>
                      <w:szCs w:val="21"/>
                      <w:lang w:val="en-US" w:eastAsia="zh-CN"/>
                    </w:rPr>
                  </w:pPr>
                </w:p>
              </w:tc>
            </w:tr>
            <w:tr w14:paraId="42C286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722" w:type="pct"/>
                  <w:vMerge w:val="continue"/>
                </w:tcPr>
                <w:p w14:paraId="61F11F2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pacing w:val="7"/>
                      <w:sz w:val="21"/>
                      <w:szCs w:val="21"/>
                    </w:rPr>
                  </w:pPr>
                </w:p>
              </w:tc>
              <w:tc>
                <w:tcPr>
                  <w:tcW w:w="1904" w:type="pct"/>
                  <w:shd w:val="clear" w:color="auto" w:fill="auto"/>
                  <w:vAlign w:val="center"/>
                </w:tcPr>
                <w:p w14:paraId="293399A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bCs/>
                      <w:color w:val="000000" w:themeColor="text1"/>
                      <w:kern w:val="2"/>
                      <w:sz w:val="21"/>
                      <w:szCs w:val="21"/>
                      <w:lang w:val="en-US" w:eastAsia="zh-CN" w:bidi="ar-SA"/>
                    </w:rPr>
                  </w:pPr>
                  <w:r>
                    <w:rPr>
                      <w:rFonts w:hint="eastAsia" w:ascii="Times New Roman" w:hAnsi="Times New Roman" w:eastAsia="宋体" w:cs="Times New Roman"/>
                      <w:bCs/>
                      <w:color w:val="000000" w:themeColor="text1"/>
                      <w:sz w:val="21"/>
                      <w:szCs w:val="21"/>
                      <w:lang w:val="en-US" w:eastAsia="zh-CN"/>
                    </w:rPr>
                    <w:t>变比测试仪</w:t>
                  </w:r>
                </w:p>
              </w:tc>
              <w:tc>
                <w:tcPr>
                  <w:tcW w:w="1193" w:type="pct"/>
                </w:tcPr>
                <w:p w14:paraId="157DFC3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pacing w:val="7"/>
                      <w:sz w:val="21"/>
                      <w:szCs w:val="21"/>
                    </w:rPr>
                  </w:pPr>
                  <w:r>
                    <w:rPr>
                      <w:rFonts w:hint="eastAsia"/>
                      <w:color w:val="000000" w:themeColor="text1"/>
                      <w:spacing w:val="7"/>
                      <w:sz w:val="21"/>
                      <w:szCs w:val="21"/>
                    </w:rPr>
                    <w:t>WDBBY-III</w:t>
                  </w:r>
                </w:p>
              </w:tc>
              <w:tc>
                <w:tcPr>
                  <w:tcW w:w="531" w:type="pct"/>
                  <w:vAlign w:val="top"/>
                </w:tcPr>
                <w:p w14:paraId="7529A34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000000" w:themeColor="text1"/>
                      <w:spacing w:val="7"/>
                      <w:sz w:val="21"/>
                      <w:szCs w:val="21"/>
                      <w:lang w:val="en-US" w:eastAsia="zh-CN"/>
                    </w:rPr>
                  </w:pPr>
                  <w:r>
                    <w:rPr>
                      <w:rFonts w:hint="eastAsia"/>
                      <w:color w:val="000000" w:themeColor="text1"/>
                      <w:spacing w:val="7"/>
                      <w:sz w:val="21"/>
                      <w:szCs w:val="21"/>
                      <w:lang w:val="en-US" w:eastAsia="zh-CN"/>
                    </w:rPr>
                    <w:t>1</w:t>
                  </w:r>
                </w:p>
              </w:tc>
              <w:tc>
                <w:tcPr>
                  <w:tcW w:w="647" w:type="pct"/>
                  <w:vMerge w:val="continue"/>
                </w:tcPr>
                <w:p w14:paraId="2CD5E15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000000" w:themeColor="text1"/>
                      <w:spacing w:val="7"/>
                      <w:sz w:val="21"/>
                      <w:szCs w:val="21"/>
                      <w:lang w:val="en-US" w:eastAsia="zh-CN"/>
                    </w:rPr>
                  </w:pPr>
                </w:p>
              </w:tc>
            </w:tr>
            <w:tr w14:paraId="2F46BA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trPr>
              <w:tc>
                <w:tcPr>
                  <w:tcW w:w="722" w:type="pct"/>
                  <w:vMerge w:val="continue"/>
                </w:tcPr>
                <w:p w14:paraId="72ACBC2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pacing w:val="7"/>
                      <w:sz w:val="21"/>
                      <w:szCs w:val="21"/>
                    </w:rPr>
                  </w:pPr>
                </w:p>
              </w:tc>
              <w:tc>
                <w:tcPr>
                  <w:tcW w:w="1904" w:type="pct"/>
                  <w:shd w:val="clear" w:color="auto" w:fill="auto"/>
                  <w:vAlign w:val="center"/>
                </w:tcPr>
                <w:p w14:paraId="7F9EE2F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bCs/>
                      <w:color w:val="000000" w:themeColor="text1"/>
                      <w:kern w:val="2"/>
                      <w:sz w:val="21"/>
                      <w:szCs w:val="21"/>
                      <w:lang w:val="en-US" w:eastAsia="zh-CN" w:bidi="ar-SA"/>
                    </w:rPr>
                  </w:pPr>
                  <w:r>
                    <w:rPr>
                      <w:rFonts w:hint="eastAsia" w:ascii="Times New Roman" w:hAnsi="Times New Roman" w:eastAsia="宋体" w:cs="Times New Roman"/>
                      <w:bCs/>
                      <w:color w:val="000000" w:themeColor="text1"/>
                      <w:sz w:val="21"/>
                      <w:szCs w:val="21"/>
                      <w:lang w:val="en-US" w:eastAsia="zh-CN"/>
                    </w:rPr>
                    <w:t>绝缘电阻测试仪</w:t>
                  </w:r>
                </w:p>
              </w:tc>
              <w:tc>
                <w:tcPr>
                  <w:tcW w:w="1193" w:type="pct"/>
                </w:tcPr>
                <w:p w14:paraId="6C6D4BF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pacing w:val="7"/>
                      <w:sz w:val="21"/>
                      <w:szCs w:val="21"/>
                    </w:rPr>
                  </w:pPr>
                  <w:r>
                    <w:rPr>
                      <w:rFonts w:hint="eastAsia"/>
                      <w:color w:val="000000" w:themeColor="text1"/>
                      <w:spacing w:val="7"/>
                      <w:sz w:val="21"/>
                      <w:szCs w:val="21"/>
                    </w:rPr>
                    <w:t>WDHV-2500</w:t>
                  </w:r>
                </w:p>
              </w:tc>
              <w:tc>
                <w:tcPr>
                  <w:tcW w:w="531" w:type="pct"/>
                  <w:vAlign w:val="top"/>
                </w:tcPr>
                <w:p w14:paraId="274198C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000000" w:themeColor="text1"/>
                      <w:spacing w:val="7"/>
                      <w:sz w:val="21"/>
                      <w:szCs w:val="21"/>
                      <w:lang w:val="en-US" w:eastAsia="zh-CN"/>
                    </w:rPr>
                  </w:pPr>
                  <w:r>
                    <w:rPr>
                      <w:rFonts w:hint="eastAsia"/>
                      <w:color w:val="000000" w:themeColor="text1"/>
                      <w:spacing w:val="7"/>
                      <w:sz w:val="21"/>
                      <w:szCs w:val="21"/>
                      <w:lang w:val="en-US" w:eastAsia="zh-CN"/>
                    </w:rPr>
                    <w:t>1</w:t>
                  </w:r>
                </w:p>
              </w:tc>
              <w:tc>
                <w:tcPr>
                  <w:tcW w:w="647" w:type="pct"/>
                  <w:vMerge w:val="continue"/>
                </w:tcPr>
                <w:p w14:paraId="6A7F889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000000" w:themeColor="text1"/>
                      <w:spacing w:val="7"/>
                      <w:sz w:val="21"/>
                      <w:szCs w:val="21"/>
                      <w:lang w:val="en-US" w:eastAsia="zh-CN"/>
                    </w:rPr>
                  </w:pPr>
                </w:p>
              </w:tc>
            </w:tr>
            <w:tr w14:paraId="39E17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722" w:type="pct"/>
                  <w:vMerge w:val="continue"/>
                </w:tcPr>
                <w:p w14:paraId="3B9E573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pacing w:val="7"/>
                      <w:sz w:val="21"/>
                      <w:szCs w:val="21"/>
                    </w:rPr>
                  </w:pPr>
                </w:p>
              </w:tc>
              <w:tc>
                <w:tcPr>
                  <w:tcW w:w="1904" w:type="pct"/>
                  <w:shd w:val="clear" w:color="auto" w:fill="auto"/>
                  <w:vAlign w:val="center"/>
                </w:tcPr>
                <w:p w14:paraId="4361B352">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bCs/>
                      <w:color w:val="000000" w:themeColor="text1"/>
                      <w:kern w:val="2"/>
                      <w:sz w:val="21"/>
                      <w:szCs w:val="21"/>
                      <w:lang w:val="en-US" w:eastAsia="zh-CN" w:bidi="ar-SA"/>
                    </w:rPr>
                  </w:pPr>
                  <w:r>
                    <w:rPr>
                      <w:rFonts w:hint="eastAsia" w:ascii="Times New Roman" w:hAnsi="Times New Roman" w:eastAsia="宋体" w:cs="Times New Roman"/>
                      <w:bCs/>
                      <w:color w:val="000000" w:themeColor="text1"/>
                      <w:sz w:val="21"/>
                      <w:szCs w:val="21"/>
                      <w:lang w:val="en-US" w:eastAsia="zh-CN"/>
                    </w:rPr>
                    <w:t>油耐压测试仪</w:t>
                  </w:r>
                </w:p>
              </w:tc>
              <w:tc>
                <w:tcPr>
                  <w:tcW w:w="1193" w:type="pct"/>
                </w:tcPr>
                <w:p w14:paraId="4F950DD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pacing w:val="7"/>
                      <w:sz w:val="21"/>
                      <w:szCs w:val="21"/>
                    </w:rPr>
                  </w:pPr>
                  <w:r>
                    <w:rPr>
                      <w:rFonts w:hint="eastAsia"/>
                      <w:color w:val="000000" w:themeColor="text1"/>
                      <w:spacing w:val="7"/>
                      <w:sz w:val="21"/>
                      <w:szCs w:val="21"/>
                    </w:rPr>
                    <w:t>WDJD-80KV</w:t>
                  </w:r>
                </w:p>
              </w:tc>
              <w:tc>
                <w:tcPr>
                  <w:tcW w:w="531" w:type="pct"/>
                  <w:vAlign w:val="top"/>
                </w:tcPr>
                <w:p w14:paraId="08AD788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000000" w:themeColor="text1"/>
                      <w:spacing w:val="7"/>
                      <w:sz w:val="21"/>
                      <w:szCs w:val="21"/>
                      <w:lang w:val="en-US" w:eastAsia="zh-CN"/>
                    </w:rPr>
                  </w:pPr>
                  <w:r>
                    <w:rPr>
                      <w:rFonts w:hint="eastAsia"/>
                      <w:color w:val="000000" w:themeColor="text1"/>
                      <w:spacing w:val="7"/>
                      <w:sz w:val="21"/>
                      <w:szCs w:val="21"/>
                      <w:lang w:val="en-US" w:eastAsia="zh-CN"/>
                    </w:rPr>
                    <w:t>1</w:t>
                  </w:r>
                </w:p>
              </w:tc>
              <w:tc>
                <w:tcPr>
                  <w:tcW w:w="647" w:type="pct"/>
                  <w:vMerge w:val="continue"/>
                </w:tcPr>
                <w:p w14:paraId="257D022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000000" w:themeColor="text1"/>
                      <w:spacing w:val="7"/>
                      <w:sz w:val="21"/>
                      <w:szCs w:val="21"/>
                      <w:lang w:val="en-US" w:eastAsia="zh-CN"/>
                    </w:rPr>
                  </w:pPr>
                </w:p>
              </w:tc>
            </w:tr>
            <w:tr w14:paraId="7B0F3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722" w:type="pct"/>
                  <w:vMerge w:val="continue"/>
                </w:tcPr>
                <w:p w14:paraId="606F80D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pacing w:val="7"/>
                      <w:sz w:val="21"/>
                      <w:szCs w:val="21"/>
                    </w:rPr>
                  </w:pPr>
                </w:p>
              </w:tc>
              <w:tc>
                <w:tcPr>
                  <w:tcW w:w="1904" w:type="pct"/>
                  <w:shd w:val="clear" w:color="auto" w:fill="auto"/>
                  <w:vAlign w:val="center"/>
                </w:tcPr>
                <w:p w14:paraId="2396E9A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bCs/>
                      <w:color w:val="000000" w:themeColor="text1"/>
                      <w:kern w:val="2"/>
                      <w:sz w:val="21"/>
                      <w:szCs w:val="21"/>
                      <w:lang w:val="en-US" w:eastAsia="zh-CN" w:bidi="ar-SA"/>
                    </w:rPr>
                  </w:pPr>
                  <w:r>
                    <w:rPr>
                      <w:rFonts w:hint="eastAsia" w:ascii="Times New Roman" w:hAnsi="Times New Roman" w:eastAsia="宋体" w:cs="Times New Roman"/>
                      <w:bCs/>
                      <w:color w:val="000000" w:themeColor="text1"/>
                      <w:sz w:val="21"/>
                      <w:szCs w:val="21"/>
                      <w:lang w:val="en-US" w:eastAsia="zh-CN"/>
                    </w:rPr>
                    <w:t>油介损测试仪</w:t>
                  </w:r>
                </w:p>
              </w:tc>
              <w:tc>
                <w:tcPr>
                  <w:tcW w:w="1193" w:type="pct"/>
                </w:tcPr>
                <w:p w14:paraId="48F39EC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color w:val="000000" w:themeColor="text1"/>
                      <w:spacing w:val="7"/>
                      <w:sz w:val="21"/>
                      <w:szCs w:val="21"/>
                    </w:rPr>
                  </w:pPr>
                  <w:r>
                    <w:rPr>
                      <w:rFonts w:hint="eastAsia"/>
                      <w:color w:val="000000" w:themeColor="text1"/>
                      <w:spacing w:val="7"/>
                      <w:sz w:val="21"/>
                      <w:szCs w:val="21"/>
                    </w:rPr>
                    <w:t>WDJSY-111</w:t>
                  </w:r>
                </w:p>
              </w:tc>
              <w:tc>
                <w:tcPr>
                  <w:tcW w:w="531" w:type="pct"/>
                  <w:vAlign w:val="top"/>
                </w:tcPr>
                <w:p w14:paraId="6DC73F2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000000" w:themeColor="text1"/>
                      <w:spacing w:val="7"/>
                      <w:sz w:val="21"/>
                      <w:szCs w:val="21"/>
                      <w:lang w:val="en-US" w:eastAsia="zh-CN"/>
                    </w:rPr>
                  </w:pPr>
                  <w:r>
                    <w:rPr>
                      <w:rFonts w:hint="eastAsia"/>
                      <w:color w:val="000000" w:themeColor="text1"/>
                      <w:spacing w:val="7"/>
                      <w:sz w:val="21"/>
                      <w:szCs w:val="21"/>
                      <w:lang w:val="en-US" w:eastAsia="zh-CN"/>
                    </w:rPr>
                    <w:t>1</w:t>
                  </w:r>
                </w:p>
              </w:tc>
              <w:tc>
                <w:tcPr>
                  <w:tcW w:w="647" w:type="pct"/>
                  <w:vMerge w:val="continue"/>
                </w:tcPr>
                <w:p w14:paraId="2530A1B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000000" w:themeColor="text1"/>
                      <w:spacing w:val="7"/>
                      <w:sz w:val="21"/>
                      <w:szCs w:val="21"/>
                      <w:lang w:val="en-US" w:eastAsia="zh-CN"/>
                    </w:rPr>
                  </w:pPr>
                </w:p>
              </w:tc>
            </w:tr>
          </w:tbl>
          <w:p w14:paraId="38BFF0D5">
            <w:pPr>
              <w:spacing w:line="360" w:lineRule="auto"/>
              <w:ind w:firstLine="482" w:firstLineChars="200"/>
              <w:rPr>
                <w:rFonts w:hint="default" w:ascii="Times New Roman" w:hAnsi="Times New Roman" w:cs="Times New Roman"/>
                <w:b/>
                <w:bCs/>
                <w:color w:val="000000" w:themeColor="text1"/>
                <w:sz w:val="24"/>
                <w:szCs w:val="24"/>
              </w:rPr>
            </w:pPr>
            <w:r>
              <w:rPr>
                <w:rFonts w:hint="default" w:ascii="Times New Roman" w:hAnsi="Times New Roman" w:cs="Times New Roman"/>
                <w:b/>
                <w:bCs/>
                <w:color w:val="000000" w:themeColor="text1"/>
                <w:sz w:val="24"/>
                <w:szCs w:val="24"/>
              </w:rPr>
              <w:t>五、主要原辅料、能源消耗</w:t>
            </w:r>
          </w:p>
          <w:p w14:paraId="559DA814">
            <w:pPr>
              <w:spacing w:line="360" w:lineRule="auto"/>
              <w:ind w:firstLine="480" w:firstLineChars="20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项目主要原辅料、能源消耗情况见下表：</w:t>
            </w:r>
          </w:p>
          <w:p w14:paraId="2BCD3868">
            <w:pPr>
              <w:jc w:val="center"/>
              <w:rPr>
                <w:rFonts w:hint="default" w:ascii="Times New Roman" w:hAnsi="Times New Roman" w:cs="Times New Roman"/>
                <w:b/>
                <w:bCs/>
                <w:color w:val="000000" w:themeColor="text1"/>
                <w:sz w:val="24"/>
                <w:szCs w:val="24"/>
              </w:rPr>
            </w:pPr>
            <w:r>
              <w:rPr>
                <w:rFonts w:hint="default" w:ascii="Times New Roman" w:hAnsi="Times New Roman" w:cs="Times New Roman"/>
                <w:b/>
                <w:bCs/>
                <w:color w:val="000000" w:themeColor="text1"/>
                <w:sz w:val="24"/>
                <w:szCs w:val="24"/>
              </w:rPr>
              <w:t>表2-</w:t>
            </w:r>
            <w:r>
              <w:rPr>
                <w:rFonts w:hint="eastAsia" w:cs="Times New Roman"/>
                <w:b/>
                <w:bCs/>
                <w:color w:val="000000" w:themeColor="text1"/>
                <w:sz w:val="24"/>
                <w:szCs w:val="24"/>
                <w:lang w:val="en-US" w:eastAsia="zh-CN"/>
              </w:rPr>
              <w:t xml:space="preserve">8 </w:t>
            </w:r>
            <w:r>
              <w:rPr>
                <w:rFonts w:hint="default" w:ascii="Times New Roman" w:hAnsi="Times New Roman" w:cs="Times New Roman"/>
                <w:b/>
                <w:bCs/>
                <w:color w:val="000000" w:themeColor="text1"/>
                <w:sz w:val="24"/>
                <w:szCs w:val="24"/>
              </w:rPr>
              <w:t xml:space="preserve"> 企业原辅材料消耗一览表</w:t>
            </w:r>
          </w:p>
          <w:tbl>
            <w:tblPr>
              <w:tblStyle w:val="35"/>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5"/>
              <w:gridCol w:w="1372"/>
              <w:gridCol w:w="1159"/>
              <w:gridCol w:w="954"/>
              <w:gridCol w:w="1445"/>
              <w:gridCol w:w="1220"/>
              <w:gridCol w:w="1697"/>
            </w:tblGrid>
            <w:tr w14:paraId="56AB03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trPr>
              <w:tc>
                <w:tcPr>
                  <w:tcW w:w="325" w:type="pct"/>
                  <w:vAlign w:val="center"/>
                </w:tcPr>
                <w:p w14:paraId="21BC26B9">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000000" w:themeColor="text1"/>
                      <w:spacing w:val="0"/>
                      <w:position w:val="0"/>
                      <w:sz w:val="21"/>
                      <w:szCs w:val="21"/>
                      <w:lang w:val="en-US" w:eastAsia="zh-CN"/>
                    </w:rPr>
                  </w:pPr>
                  <w:r>
                    <w:rPr>
                      <w:rFonts w:hint="eastAsia" w:ascii="Times New Roman" w:hAnsi="Times New Roman" w:eastAsia="宋体" w:cs="Times New Roman"/>
                      <w:b/>
                      <w:bCs/>
                      <w:color w:val="000000" w:themeColor="text1"/>
                      <w:spacing w:val="0"/>
                      <w:position w:val="0"/>
                      <w:sz w:val="21"/>
                      <w:szCs w:val="21"/>
                      <w:lang w:val="en-US" w:eastAsia="zh-CN"/>
                    </w:rPr>
                    <w:t>序号</w:t>
                  </w:r>
                </w:p>
              </w:tc>
              <w:tc>
                <w:tcPr>
                  <w:tcW w:w="817" w:type="pct"/>
                  <w:vAlign w:val="center"/>
                </w:tcPr>
                <w:p w14:paraId="4E3958F3">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000000" w:themeColor="text1"/>
                      <w:spacing w:val="0"/>
                      <w:position w:val="0"/>
                      <w:sz w:val="21"/>
                      <w:szCs w:val="21"/>
                      <w:lang w:val="en-US" w:eastAsia="zh-CN"/>
                    </w:rPr>
                  </w:pPr>
                  <w:r>
                    <w:rPr>
                      <w:rFonts w:hint="eastAsia" w:ascii="Times New Roman" w:hAnsi="Times New Roman" w:eastAsia="宋体" w:cs="Times New Roman"/>
                      <w:b/>
                      <w:bCs/>
                      <w:color w:val="000000" w:themeColor="text1"/>
                      <w:spacing w:val="0"/>
                      <w:position w:val="0"/>
                      <w:sz w:val="21"/>
                      <w:szCs w:val="21"/>
                      <w:lang w:val="en-US" w:eastAsia="zh-CN"/>
                    </w:rPr>
                    <w:t>名称</w:t>
                  </w:r>
                </w:p>
              </w:tc>
              <w:tc>
                <w:tcPr>
                  <w:tcW w:w="690" w:type="pct"/>
                  <w:vAlign w:val="center"/>
                </w:tcPr>
                <w:p w14:paraId="23F14A10">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b/>
                      <w:bCs/>
                      <w:color w:val="000000" w:themeColor="text1"/>
                      <w:spacing w:val="0"/>
                      <w:position w:val="0"/>
                      <w:sz w:val="21"/>
                      <w:szCs w:val="21"/>
                      <w:lang w:val="en-US" w:eastAsia="zh-CN"/>
                    </w:rPr>
                  </w:pPr>
                  <w:r>
                    <w:rPr>
                      <w:rFonts w:hint="eastAsia" w:ascii="Times New Roman" w:hAnsi="Times New Roman" w:eastAsia="宋体" w:cs="Times New Roman"/>
                      <w:b/>
                      <w:bCs/>
                      <w:color w:val="000000" w:themeColor="text1"/>
                      <w:spacing w:val="0"/>
                      <w:position w:val="0"/>
                      <w:sz w:val="21"/>
                      <w:szCs w:val="21"/>
                      <w:lang w:val="en-US" w:eastAsia="zh-CN"/>
                    </w:rPr>
                    <w:t>用量</w:t>
                  </w:r>
                </w:p>
              </w:tc>
              <w:tc>
                <w:tcPr>
                  <w:tcW w:w="568" w:type="pct"/>
                  <w:vAlign w:val="center"/>
                </w:tcPr>
                <w:p w14:paraId="3DDE3DF1">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000000" w:themeColor="text1"/>
                      <w:spacing w:val="0"/>
                      <w:position w:val="0"/>
                      <w:sz w:val="21"/>
                      <w:szCs w:val="21"/>
                      <w:lang w:val="en-US" w:eastAsia="zh-CN"/>
                    </w:rPr>
                  </w:pPr>
                  <w:r>
                    <w:rPr>
                      <w:rFonts w:hint="eastAsia" w:ascii="Times New Roman" w:hAnsi="Times New Roman" w:eastAsia="宋体" w:cs="Times New Roman"/>
                      <w:b/>
                      <w:bCs/>
                      <w:color w:val="000000" w:themeColor="text1"/>
                      <w:spacing w:val="0"/>
                      <w:position w:val="0"/>
                      <w:sz w:val="21"/>
                      <w:szCs w:val="21"/>
                      <w:lang w:val="en-US" w:eastAsia="zh-CN"/>
                    </w:rPr>
                    <w:t>单位</w:t>
                  </w:r>
                </w:p>
              </w:tc>
              <w:tc>
                <w:tcPr>
                  <w:tcW w:w="860" w:type="pct"/>
                  <w:vAlign w:val="center"/>
                </w:tcPr>
                <w:p w14:paraId="23E4493F">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000000" w:themeColor="text1"/>
                      <w:spacing w:val="0"/>
                      <w:position w:val="0"/>
                      <w:sz w:val="21"/>
                      <w:szCs w:val="21"/>
                      <w:lang w:val="en-US" w:eastAsia="zh-CN"/>
                    </w:rPr>
                  </w:pPr>
                  <w:r>
                    <w:rPr>
                      <w:rFonts w:hint="eastAsia" w:ascii="Times New Roman" w:hAnsi="Times New Roman" w:eastAsia="宋体" w:cs="Times New Roman"/>
                      <w:b/>
                      <w:bCs/>
                      <w:color w:val="000000" w:themeColor="text1"/>
                      <w:spacing w:val="0"/>
                      <w:position w:val="0"/>
                      <w:sz w:val="21"/>
                      <w:szCs w:val="21"/>
                      <w:lang w:val="en-US" w:eastAsia="zh-CN"/>
                    </w:rPr>
                    <w:t>物态、存储方式</w:t>
                  </w:r>
                </w:p>
              </w:tc>
              <w:tc>
                <w:tcPr>
                  <w:tcW w:w="726" w:type="pct"/>
                  <w:vAlign w:val="center"/>
                </w:tcPr>
                <w:p w14:paraId="2A6EADFE">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000000" w:themeColor="text1"/>
                      <w:spacing w:val="0"/>
                      <w:position w:val="0"/>
                      <w:sz w:val="21"/>
                      <w:szCs w:val="21"/>
                      <w:lang w:val="en-US" w:eastAsia="zh-CN"/>
                    </w:rPr>
                  </w:pPr>
                  <w:r>
                    <w:rPr>
                      <w:rFonts w:hint="eastAsia" w:ascii="Times New Roman" w:hAnsi="Times New Roman" w:eastAsia="宋体" w:cs="Times New Roman"/>
                      <w:b/>
                      <w:bCs/>
                      <w:color w:val="000000" w:themeColor="text1"/>
                      <w:spacing w:val="0"/>
                      <w:position w:val="0"/>
                      <w:sz w:val="21"/>
                      <w:szCs w:val="21"/>
                      <w:lang w:val="en-US" w:eastAsia="zh-CN"/>
                    </w:rPr>
                    <w:t>最大存储量</w:t>
                  </w:r>
                </w:p>
              </w:tc>
              <w:tc>
                <w:tcPr>
                  <w:tcW w:w="1010" w:type="pct"/>
                  <w:vAlign w:val="center"/>
                </w:tcPr>
                <w:p w14:paraId="020873DB">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000000" w:themeColor="text1"/>
                      <w:spacing w:val="0"/>
                      <w:position w:val="0"/>
                      <w:sz w:val="21"/>
                      <w:szCs w:val="21"/>
                      <w:lang w:val="en-US" w:eastAsia="zh-CN"/>
                    </w:rPr>
                  </w:pPr>
                  <w:r>
                    <w:rPr>
                      <w:rFonts w:hint="eastAsia" w:ascii="Times New Roman" w:hAnsi="Times New Roman" w:eastAsia="宋体" w:cs="Times New Roman"/>
                      <w:b/>
                      <w:bCs/>
                      <w:color w:val="000000" w:themeColor="text1"/>
                      <w:spacing w:val="0"/>
                      <w:position w:val="0"/>
                      <w:sz w:val="21"/>
                      <w:szCs w:val="21"/>
                      <w:lang w:val="en-US" w:eastAsia="zh-CN"/>
                    </w:rPr>
                    <w:t>备注</w:t>
                  </w:r>
                </w:p>
              </w:tc>
            </w:tr>
            <w:tr w14:paraId="372EB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 w:type="pct"/>
                  <w:vAlign w:val="center"/>
                </w:tcPr>
                <w:p w14:paraId="15961888">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1</w:t>
                  </w:r>
                </w:p>
              </w:tc>
              <w:tc>
                <w:tcPr>
                  <w:tcW w:w="817" w:type="pct"/>
                  <w:vAlign w:val="center"/>
                </w:tcPr>
                <w:p w14:paraId="6DD42105">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铜线</w:t>
                  </w:r>
                </w:p>
              </w:tc>
              <w:tc>
                <w:tcPr>
                  <w:tcW w:w="690" w:type="pct"/>
                  <w:vAlign w:val="center"/>
                </w:tcPr>
                <w:p w14:paraId="66BE62B1">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72</w:t>
                  </w:r>
                </w:p>
              </w:tc>
              <w:tc>
                <w:tcPr>
                  <w:tcW w:w="568" w:type="pct"/>
                  <w:vAlign w:val="center"/>
                </w:tcPr>
                <w:p w14:paraId="585CA5CD">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t/a</w:t>
                  </w:r>
                </w:p>
              </w:tc>
              <w:tc>
                <w:tcPr>
                  <w:tcW w:w="860" w:type="pct"/>
                  <w:vAlign w:val="center"/>
                </w:tcPr>
                <w:p w14:paraId="5E79726E">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固态、卷料</w:t>
                  </w:r>
                </w:p>
              </w:tc>
              <w:tc>
                <w:tcPr>
                  <w:tcW w:w="726" w:type="pct"/>
                  <w:vAlign w:val="center"/>
                </w:tcPr>
                <w:p w14:paraId="736D8964">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6t</w:t>
                  </w:r>
                </w:p>
              </w:tc>
              <w:tc>
                <w:tcPr>
                  <w:tcW w:w="1010" w:type="pct"/>
                  <w:vAlign w:val="center"/>
                </w:tcPr>
                <w:p w14:paraId="08C3C9A7">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cs="Times New Roman"/>
                      <w:color w:val="000000" w:themeColor="text1"/>
                      <w:spacing w:val="0"/>
                      <w:position w:val="0"/>
                      <w:sz w:val="21"/>
                      <w:szCs w:val="21"/>
                      <w:lang w:val="en-US" w:eastAsia="zh-CN"/>
                    </w:rPr>
                    <w:t>原材料库</w:t>
                  </w:r>
                </w:p>
              </w:tc>
            </w:tr>
            <w:tr w14:paraId="36B97C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 w:type="pct"/>
                  <w:vAlign w:val="center"/>
                </w:tcPr>
                <w:p w14:paraId="17B8F51C">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2</w:t>
                  </w:r>
                </w:p>
              </w:tc>
              <w:tc>
                <w:tcPr>
                  <w:tcW w:w="817" w:type="pct"/>
                  <w:vAlign w:val="center"/>
                </w:tcPr>
                <w:p w14:paraId="510AC0B3">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铜箔</w:t>
                  </w:r>
                </w:p>
              </w:tc>
              <w:tc>
                <w:tcPr>
                  <w:tcW w:w="690" w:type="pct"/>
                  <w:vAlign w:val="center"/>
                </w:tcPr>
                <w:p w14:paraId="067BF0CB">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65</w:t>
                  </w:r>
                </w:p>
              </w:tc>
              <w:tc>
                <w:tcPr>
                  <w:tcW w:w="568" w:type="pct"/>
                  <w:vAlign w:val="center"/>
                </w:tcPr>
                <w:p w14:paraId="4024C836">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t/a</w:t>
                  </w:r>
                </w:p>
              </w:tc>
              <w:tc>
                <w:tcPr>
                  <w:tcW w:w="860" w:type="pct"/>
                  <w:vAlign w:val="center"/>
                </w:tcPr>
                <w:p w14:paraId="18DC33F4">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固态、卷料</w:t>
                  </w:r>
                </w:p>
              </w:tc>
              <w:tc>
                <w:tcPr>
                  <w:tcW w:w="726" w:type="pct"/>
                  <w:vAlign w:val="center"/>
                </w:tcPr>
                <w:p w14:paraId="5A7FA5CC">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5t</w:t>
                  </w:r>
                </w:p>
              </w:tc>
              <w:tc>
                <w:tcPr>
                  <w:tcW w:w="1010" w:type="pct"/>
                  <w:vAlign w:val="center"/>
                </w:tcPr>
                <w:p w14:paraId="07EAFA47">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外购</w:t>
                  </w:r>
                </w:p>
              </w:tc>
            </w:tr>
            <w:tr w14:paraId="7CBC1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 w:type="pct"/>
                  <w:vAlign w:val="center"/>
                </w:tcPr>
                <w:p w14:paraId="4987C645">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3</w:t>
                  </w:r>
                </w:p>
              </w:tc>
              <w:tc>
                <w:tcPr>
                  <w:tcW w:w="817" w:type="pct"/>
                  <w:vAlign w:val="center"/>
                </w:tcPr>
                <w:p w14:paraId="20FBED4D">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default" w:ascii="Times New Roman" w:hAnsi="Times New Roman" w:eastAsia="宋体" w:cs="Times New Roman"/>
                      <w:color w:val="000000" w:themeColor="text1"/>
                      <w:spacing w:val="0"/>
                      <w:position w:val="0"/>
                      <w:sz w:val="21"/>
                      <w:szCs w:val="21"/>
                      <w:lang w:val="en-US" w:eastAsia="zh-CN"/>
                    </w:rPr>
                    <w:t>铝线</w:t>
                  </w:r>
                </w:p>
              </w:tc>
              <w:tc>
                <w:tcPr>
                  <w:tcW w:w="690" w:type="pct"/>
                  <w:vAlign w:val="center"/>
                </w:tcPr>
                <w:p w14:paraId="38FD7FA8">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20</w:t>
                  </w:r>
                </w:p>
              </w:tc>
              <w:tc>
                <w:tcPr>
                  <w:tcW w:w="568" w:type="pct"/>
                  <w:vAlign w:val="center"/>
                </w:tcPr>
                <w:p w14:paraId="6BDEB15D">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t/a</w:t>
                  </w:r>
                </w:p>
              </w:tc>
              <w:tc>
                <w:tcPr>
                  <w:tcW w:w="860" w:type="pct"/>
                  <w:vAlign w:val="center"/>
                </w:tcPr>
                <w:p w14:paraId="5E9870FA">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固态、卷料</w:t>
                  </w:r>
                </w:p>
              </w:tc>
              <w:tc>
                <w:tcPr>
                  <w:tcW w:w="726" w:type="pct"/>
                  <w:vAlign w:val="center"/>
                </w:tcPr>
                <w:p w14:paraId="3E96E7B1">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1t</w:t>
                  </w:r>
                </w:p>
              </w:tc>
              <w:tc>
                <w:tcPr>
                  <w:tcW w:w="1010" w:type="pct"/>
                  <w:vAlign w:val="center"/>
                </w:tcPr>
                <w:p w14:paraId="49309752">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外购</w:t>
                  </w:r>
                </w:p>
              </w:tc>
            </w:tr>
            <w:tr w14:paraId="29B3FF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 w:type="pct"/>
                  <w:vAlign w:val="center"/>
                </w:tcPr>
                <w:p w14:paraId="3C88F7AA">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4</w:t>
                  </w:r>
                </w:p>
              </w:tc>
              <w:tc>
                <w:tcPr>
                  <w:tcW w:w="817" w:type="pct"/>
                  <w:vAlign w:val="center"/>
                </w:tcPr>
                <w:p w14:paraId="13EDB6C0">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default" w:ascii="Times New Roman" w:hAnsi="Times New Roman" w:eastAsia="宋体" w:cs="Times New Roman"/>
                      <w:color w:val="000000" w:themeColor="text1"/>
                      <w:spacing w:val="0"/>
                      <w:position w:val="0"/>
                      <w:sz w:val="21"/>
                      <w:szCs w:val="21"/>
                      <w:lang w:val="en-US" w:eastAsia="zh-CN"/>
                    </w:rPr>
                    <w:t>铝箔</w:t>
                  </w:r>
                </w:p>
              </w:tc>
              <w:tc>
                <w:tcPr>
                  <w:tcW w:w="690" w:type="pct"/>
                  <w:vAlign w:val="center"/>
                </w:tcPr>
                <w:p w14:paraId="3E14C042">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10</w:t>
                  </w:r>
                </w:p>
              </w:tc>
              <w:tc>
                <w:tcPr>
                  <w:tcW w:w="568" w:type="pct"/>
                  <w:vAlign w:val="center"/>
                </w:tcPr>
                <w:p w14:paraId="2FDCBC42">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t/a</w:t>
                  </w:r>
                </w:p>
              </w:tc>
              <w:tc>
                <w:tcPr>
                  <w:tcW w:w="860" w:type="pct"/>
                  <w:vAlign w:val="center"/>
                </w:tcPr>
                <w:p w14:paraId="1278139C">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固态、卷料</w:t>
                  </w:r>
                </w:p>
              </w:tc>
              <w:tc>
                <w:tcPr>
                  <w:tcW w:w="726" w:type="pct"/>
                  <w:vAlign w:val="center"/>
                </w:tcPr>
                <w:p w14:paraId="685864B7">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0.5t</w:t>
                  </w:r>
                </w:p>
              </w:tc>
              <w:tc>
                <w:tcPr>
                  <w:tcW w:w="1010" w:type="pct"/>
                  <w:vAlign w:val="center"/>
                </w:tcPr>
                <w:p w14:paraId="437C5D26">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外购</w:t>
                  </w:r>
                </w:p>
              </w:tc>
            </w:tr>
            <w:tr w14:paraId="02AD3C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rPr>
              <w:tc>
                <w:tcPr>
                  <w:tcW w:w="325" w:type="pct"/>
                  <w:vAlign w:val="center"/>
                </w:tcPr>
                <w:p w14:paraId="450DADD9">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5</w:t>
                  </w:r>
                </w:p>
              </w:tc>
              <w:tc>
                <w:tcPr>
                  <w:tcW w:w="817" w:type="pct"/>
                  <w:vAlign w:val="center"/>
                </w:tcPr>
                <w:p w14:paraId="1113C37A">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default" w:ascii="Times New Roman" w:hAnsi="Times New Roman" w:eastAsia="宋体" w:cs="Times New Roman"/>
                      <w:color w:val="000000" w:themeColor="text1"/>
                      <w:spacing w:val="0"/>
                      <w:position w:val="0"/>
                      <w:sz w:val="21"/>
                      <w:szCs w:val="21"/>
                      <w:lang w:val="en-US" w:eastAsia="zh-CN"/>
                    </w:rPr>
                    <w:t>绝缘材料</w:t>
                  </w:r>
                </w:p>
              </w:tc>
              <w:tc>
                <w:tcPr>
                  <w:tcW w:w="690" w:type="pct"/>
                  <w:vAlign w:val="center"/>
                </w:tcPr>
                <w:p w14:paraId="19627FA9">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17</w:t>
                  </w:r>
                </w:p>
              </w:tc>
              <w:tc>
                <w:tcPr>
                  <w:tcW w:w="568" w:type="pct"/>
                  <w:vAlign w:val="center"/>
                </w:tcPr>
                <w:p w14:paraId="4F53FBC9">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t/a</w:t>
                  </w:r>
                </w:p>
              </w:tc>
              <w:tc>
                <w:tcPr>
                  <w:tcW w:w="860" w:type="pct"/>
                  <w:vAlign w:val="center"/>
                </w:tcPr>
                <w:p w14:paraId="2556E3A7">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固态、箱装</w:t>
                  </w:r>
                </w:p>
              </w:tc>
              <w:tc>
                <w:tcPr>
                  <w:tcW w:w="726" w:type="pct"/>
                  <w:vAlign w:val="center"/>
                </w:tcPr>
                <w:p w14:paraId="42C5F6A4">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1t</w:t>
                  </w:r>
                </w:p>
              </w:tc>
              <w:tc>
                <w:tcPr>
                  <w:tcW w:w="1010" w:type="pct"/>
                  <w:vAlign w:val="center"/>
                </w:tcPr>
                <w:p w14:paraId="3E8A1856">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外购</w:t>
                  </w:r>
                </w:p>
              </w:tc>
            </w:tr>
            <w:tr w14:paraId="57F0B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 w:type="pct"/>
                  <w:vAlign w:val="center"/>
                </w:tcPr>
                <w:p w14:paraId="18F82513">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6</w:t>
                  </w:r>
                </w:p>
              </w:tc>
              <w:tc>
                <w:tcPr>
                  <w:tcW w:w="817" w:type="pct"/>
                  <w:vAlign w:val="center"/>
                </w:tcPr>
                <w:p w14:paraId="566090C3">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default" w:ascii="Times New Roman" w:hAnsi="Times New Roman" w:eastAsia="宋体" w:cs="Times New Roman"/>
                      <w:color w:val="000000" w:themeColor="text1"/>
                      <w:spacing w:val="0"/>
                      <w:position w:val="0"/>
                      <w:sz w:val="21"/>
                      <w:szCs w:val="21"/>
                      <w:lang w:val="en-US" w:eastAsia="zh-CN"/>
                    </w:rPr>
                    <w:t>铁芯（硅钢片）</w:t>
                  </w:r>
                </w:p>
              </w:tc>
              <w:tc>
                <w:tcPr>
                  <w:tcW w:w="690" w:type="pct"/>
                  <w:vAlign w:val="center"/>
                </w:tcPr>
                <w:p w14:paraId="2FA0EC7C">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505</w:t>
                  </w:r>
                </w:p>
              </w:tc>
              <w:tc>
                <w:tcPr>
                  <w:tcW w:w="568" w:type="pct"/>
                  <w:vAlign w:val="center"/>
                </w:tcPr>
                <w:p w14:paraId="6565698F">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套/年</w:t>
                  </w:r>
                </w:p>
              </w:tc>
              <w:tc>
                <w:tcPr>
                  <w:tcW w:w="860" w:type="pct"/>
                  <w:vAlign w:val="center"/>
                </w:tcPr>
                <w:p w14:paraId="71BE4027">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固态、箱装</w:t>
                  </w:r>
                </w:p>
              </w:tc>
              <w:tc>
                <w:tcPr>
                  <w:tcW w:w="726" w:type="pct"/>
                  <w:vAlign w:val="center"/>
                </w:tcPr>
                <w:p w14:paraId="1F58F9D0">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40套</w:t>
                  </w:r>
                </w:p>
              </w:tc>
              <w:tc>
                <w:tcPr>
                  <w:tcW w:w="1010" w:type="pct"/>
                  <w:vAlign w:val="center"/>
                </w:tcPr>
                <w:p w14:paraId="07021BA5">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外购</w:t>
                  </w:r>
                </w:p>
              </w:tc>
            </w:tr>
            <w:tr w14:paraId="1E9C04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 w:type="pct"/>
                  <w:vAlign w:val="center"/>
                </w:tcPr>
                <w:p w14:paraId="60FF1438">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7</w:t>
                  </w:r>
                </w:p>
              </w:tc>
              <w:tc>
                <w:tcPr>
                  <w:tcW w:w="817" w:type="pct"/>
                  <w:vAlign w:val="center"/>
                </w:tcPr>
                <w:p w14:paraId="299BF0AE">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油位计</w:t>
                  </w:r>
                </w:p>
              </w:tc>
              <w:tc>
                <w:tcPr>
                  <w:tcW w:w="690" w:type="pct"/>
                  <w:vAlign w:val="center"/>
                </w:tcPr>
                <w:p w14:paraId="4B355F2F">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185</w:t>
                  </w:r>
                </w:p>
              </w:tc>
              <w:tc>
                <w:tcPr>
                  <w:tcW w:w="568" w:type="pct"/>
                  <w:vAlign w:val="center"/>
                </w:tcPr>
                <w:p w14:paraId="1537BCCB">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套/年</w:t>
                  </w:r>
                </w:p>
              </w:tc>
              <w:tc>
                <w:tcPr>
                  <w:tcW w:w="860" w:type="pct"/>
                  <w:vAlign w:val="center"/>
                </w:tcPr>
                <w:p w14:paraId="3BFF71F3">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固态、箱装</w:t>
                  </w:r>
                </w:p>
              </w:tc>
              <w:tc>
                <w:tcPr>
                  <w:tcW w:w="726" w:type="pct"/>
                  <w:vAlign w:val="center"/>
                </w:tcPr>
                <w:p w14:paraId="6729AB5C">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15套</w:t>
                  </w:r>
                </w:p>
              </w:tc>
              <w:tc>
                <w:tcPr>
                  <w:tcW w:w="1010" w:type="pct"/>
                  <w:vAlign w:val="center"/>
                </w:tcPr>
                <w:p w14:paraId="115CF7F5">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外购</w:t>
                  </w:r>
                </w:p>
              </w:tc>
            </w:tr>
            <w:tr w14:paraId="6C55C1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 w:type="pct"/>
                  <w:vAlign w:val="center"/>
                </w:tcPr>
                <w:p w14:paraId="697E87F6">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8</w:t>
                  </w:r>
                </w:p>
              </w:tc>
              <w:tc>
                <w:tcPr>
                  <w:tcW w:w="817" w:type="pct"/>
                  <w:vAlign w:val="center"/>
                </w:tcPr>
                <w:p w14:paraId="278DBFC9">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default" w:ascii="Times New Roman" w:hAnsi="Times New Roman" w:eastAsia="宋体" w:cs="Times New Roman"/>
                      <w:color w:val="000000" w:themeColor="text1"/>
                      <w:spacing w:val="0"/>
                      <w:position w:val="0"/>
                      <w:sz w:val="21"/>
                      <w:szCs w:val="21"/>
                      <w:lang w:val="en-US" w:eastAsia="zh-CN"/>
                    </w:rPr>
                    <w:t>变压器油</w:t>
                  </w:r>
                </w:p>
              </w:tc>
              <w:tc>
                <w:tcPr>
                  <w:tcW w:w="690" w:type="pct"/>
                  <w:vAlign w:val="center"/>
                </w:tcPr>
                <w:p w14:paraId="4B464BDA">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cs="Times New Roman"/>
                      <w:color w:val="000000" w:themeColor="text1"/>
                      <w:spacing w:val="0"/>
                      <w:position w:val="0"/>
                      <w:sz w:val="21"/>
                      <w:szCs w:val="21"/>
                      <w:lang w:val="en-US" w:eastAsia="zh-CN"/>
                    </w:rPr>
                    <w:t>52</w:t>
                  </w:r>
                </w:p>
              </w:tc>
              <w:tc>
                <w:tcPr>
                  <w:tcW w:w="568" w:type="pct"/>
                  <w:vAlign w:val="center"/>
                </w:tcPr>
                <w:p w14:paraId="2207A6B9">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t/a</w:t>
                  </w:r>
                </w:p>
              </w:tc>
              <w:tc>
                <w:tcPr>
                  <w:tcW w:w="860" w:type="pct"/>
                  <w:vAlign w:val="center"/>
                </w:tcPr>
                <w:p w14:paraId="4780C725">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液态、储罐（4m</w:t>
                  </w:r>
                  <w:r>
                    <w:rPr>
                      <w:rFonts w:hint="eastAsia" w:ascii="Times New Roman" w:hAnsi="Times New Roman" w:eastAsia="宋体" w:cs="Times New Roman"/>
                      <w:color w:val="000000" w:themeColor="text1"/>
                      <w:spacing w:val="0"/>
                      <w:position w:val="0"/>
                      <w:sz w:val="21"/>
                      <w:szCs w:val="21"/>
                      <w:vertAlign w:val="superscript"/>
                      <w:lang w:val="en-US" w:eastAsia="zh-CN"/>
                    </w:rPr>
                    <w:t>3</w:t>
                  </w:r>
                  <w:r>
                    <w:rPr>
                      <w:rFonts w:hint="eastAsia" w:ascii="Times New Roman" w:hAnsi="Times New Roman" w:eastAsia="宋体" w:cs="Times New Roman"/>
                      <w:color w:val="000000" w:themeColor="text1"/>
                      <w:spacing w:val="0"/>
                      <w:position w:val="0"/>
                      <w:sz w:val="21"/>
                      <w:szCs w:val="21"/>
                      <w:lang w:val="en-US" w:eastAsia="zh-CN"/>
                    </w:rPr>
                    <w:t>）</w:t>
                  </w:r>
                </w:p>
              </w:tc>
              <w:tc>
                <w:tcPr>
                  <w:tcW w:w="726" w:type="pct"/>
                  <w:vAlign w:val="center"/>
                </w:tcPr>
                <w:p w14:paraId="253B5B69">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3t</w:t>
                  </w:r>
                </w:p>
              </w:tc>
              <w:tc>
                <w:tcPr>
                  <w:tcW w:w="1010" w:type="pct"/>
                  <w:vAlign w:val="center"/>
                </w:tcPr>
                <w:p w14:paraId="35FFC6E1">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25#变压器油</w:t>
                  </w:r>
                </w:p>
              </w:tc>
            </w:tr>
            <w:tr w14:paraId="3B87D1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 w:type="pct"/>
                  <w:vAlign w:val="center"/>
                </w:tcPr>
                <w:p w14:paraId="5EC275DD">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9</w:t>
                  </w:r>
                </w:p>
              </w:tc>
              <w:tc>
                <w:tcPr>
                  <w:tcW w:w="817" w:type="pct"/>
                  <w:vAlign w:val="center"/>
                </w:tcPr>
                <w:p w14:paraId="21E37897">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油箱</w:t>
                  </w:r>
                </w:p>
              </w:tc>
              <w:tc>
                <w:tcPr>
                  <w:tcW w:w="690" w:type="pct"/>
                  <w:vAlign w:val="center"/>
                </w:tcPr>
                <w:p w14:paraId="551C4675">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cs="Times New Roman"/>
                      <w:color w:val="000000" w:themeColor="text1"/>
                      <w:spacing w:val="0"/>
                      <w:position w:val="0"/>
                      <w:sz w:val="21"/>
                      <w:szCs w:val="21"/>
                      <w:lang w:val="en-US" w:eastAsia="zh-CN"/>
                    </w:rPr>
                    <w:t>185</w:t>
                  </w:r>
                </w:p>
              </w:tc>
              <w:tc>
                <w:tcPr>
                  <w:tcW w:w="568" w:type="pct"/>
                  <w:vAlign w:val="center"/>
                </w:tcPr>
                <w:p w14:paraId="6228389C">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台/年</w:t>
                  </w:r>
                </w:p>
              </w:tc>
              <w:tc>
                <w:tcPr>
                  <w:tcW w:w="860" w:type="pct"/>
                  <w:vAlign w:val="center"/>
                </w:tcPr>
                <w:p w14:paraId="321F970A">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固态、箱装</w:t>
                  </w:r>
                </w:p>
              </w:tc>
              <w:tc>
                <w:tcPr>
                  <w:tcW w:w="726" w:type="pct"/>
                  <w:vAlign w:val="center"/>
                </w:tcPr>
                <w:p w14:paraId="480762B8">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15套</w:t>
                  </w:r>
                </w:p>
              </w:tc>
              <w:tc>
                <w:tcPr>
                  <w:tcW w:w="1010" w:type="pct"/>
                  <w:vAlign w:val="center"/>
                </w:tcPr>
                <w:p w14:paraId="3B3BE549">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外购</w:t>
                  </w:r>
                </w:p>
              </w:tc>
            </w:tr>
            <w:tr w14:paraId="0987A2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trPr>
              <w:tc>
                <w:tcPr>
                  <w:tcW w:w="325" w:type="pct"/>
                  <w:vAlign w:val="center"/>
                </w:tcPr>
                <w:p w14:paraId="1A0AF187">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10</w:t>
                  </w:r>
                </w:p>
              </w:tc>
              <w:tc>
                <w:tcPr>
                  <w:tcW w:w="817" w:type="pct"/>
                  <w:vAlign w:val="center"/>
                </w:tcPr>
                <w:p w14:paraId="13DBF858">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环氧树脂A料</w:t>
                  </w:r>
                </w:p>
              </w:tc>
              <w:tc>
                <w:tcPr>
                  <w:tcW w:w="690" w:type="pct"/>
                  <w:vAlign w:val="center"/>
                </w:tcPr>
                <w:p w14:paraId="133058F0">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18</w:t>
                  </w:r>
                </w:p>
              </w:tc>
              <w:tc>
                <w:tcPr>
                  <w:tcW w:w="568" w:type="pct"/>
                  <w:vAlign w:val="center"/>
                </w:tcPr>
                <w:p w14:paraId="0F18BB56">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t/a</w:t>
                  </w:r>
                </w:p>
              </w:tc>
              <w:tc>
                <w:tcPr>
                  <w:tcW w:w="860" w:type="pct"/>
                  <w:vAlign w:val="center"/>
                </w:tcPr>
                <w:p w14:paraId="1D31F2FD">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液态、桶装</w:t>
                  </w:r>
                </w:p>
              </w:tc>
              <w:tc>
                <w:tcPr>
                  <w:tcW w:w="726" w:type="pct"/>
                  <w:vAlign w:val="center"/>
                </w:tcPr>
                <w:p w14:paraId="2FF65BBD">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1.5t</w:t>
                  </w:r>
                </w:p>
              </w:tc>
              <w:tc>
                <w:tcPr>
                  <w:tcW w:w="1010" w:type="pct"/>
                  <w:vMerge w:val="restart"/>
                  <w:vAlign w:val="center"/>
                </w:tcPr>
                <w:p w14:paraId="31F53755">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25kg/桶，A为环氧树脂，B为固化剂，按1:1比例混合后使用</w:t>
                  </w:r>
                </w:p>
              </w:tc>
            </w:tr>
            <w:tr w14:paraId="6FAF2C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 w:type="pct"/>
                  <w:vAlign w:val="center"/>
                </w:tcPr>
                <w:p w14:paraId="50489A53">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11</w:t>
                  </w:r>
                </w:p>
              </w:tc>
              <w:tc>
                <w:tcPr>
                  <w:tcW w:w="817" w:type="pct"/>
                  <w:vAlign w:val="center"/>
                </w:tcPr>
                <w:p w14:paraId="26DBB5FE">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环氧树脂B料</w:t>
                  </w:r>
                </w:p>
              </w:tc>
              <w:tc>
                <w:tcPr>
                  <w:tcW w:w="690" w:type="pct"/>
                  <w:vAlign w:val="center"/>
                </w:tcPr>
                <w:p w14:paraId="67564E60">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18</w:t>
                  </w:r>
                </w:p>
              </w:tc>
              <w:tc>
                <w:tcPr>
                  <w:tcW w:w="568" w:type="pct"/>
                  <w:vAlign w:val="center"/>
                </w:tcPr>
                <w:p w14:paraId="0EAF0FFE">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t/a</w:t>
                  </w:r>
                </w:p>
              </w:tc>
              <w:tc>
                <w:tcPr>
                  <w:tcW w:w="860" w:type="pct"/>
                  <w:vAlign w:val="center"/>
                </w:tcPr>
                <w:p w14:paraId="3F38BBFC">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液态、桶装</w:t>
                  </w:r>
                </w:p>
              </w:tc>
              <w:tc>
                <w:tcPr>
                  <w:tcW w:w="726" w:type="pct"/>
                  <w:vAlign w:val="center"/>
                </w:tcPr>
                <w:p w14:paraId="61512732">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1.5t</w:t>
                  </w:r>
                </w:p>
              </w:tc>
              <w:tc>
                <w:tcPr>
                  <w:tcW w:w="1010" w:type="pct"/>
                  <w:vMerge w:val="continue"/>
                  <w:vAlign w:val="center"/>
                </w:tcPr>
                <w:p w14:paraId="71582DB8">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p>
              </w:tc>
            </w:tr>
            <w:tr w14:paraId="5A7292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 w:type="pct"/>
                  <w:vAlign w:val="center"/>
                </w:tcPr>
                <w:p w14:paraId="649C226A">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12</w:t>
                  </w:r>
                </w:p>
              </w:tc>
              <w:tc>
                <w:tcPr>
                  <w:tcW w:w="817" w:type="pct"/>
                  <w:vAlign w:val="center"/>
                </w:tcPr>
                <w:p w14:paraId="215AA9A8">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脱模剂</w:t>
                  </w:r>
                </w:p>
              </w:tc>
              <w:tc>
                <w:tcPr>
                  <w:tcW w:w="690" w:type="pct"/>
                  <w:vAlign w:val="center"/>
                </w:tcPr>
                <w:p w14:paraId="6086CBD0">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0.1</w:t>
                  </w:r>
                </w:p>
              </w:tc>
              <w:tc>
                <w:tcPr>
                  <w:tcW w:w="568" w:type="pct"/>
                  <w:vAlign w:val="center"/>
                </w:tcPr>
                <w:p w14:paraId="06A96E5E">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t/a</w:t>
                  </w:r>
                </w:p>
              </w:tc>
              <w:tc>
                <w:tcPr>
                  <w:tcW w:w="860" w:type="pct"/>
                  <w:vAlign w:val="center"/>
                </w:tcPr>
                <w:p w14:paraId="373BBEE8">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液态、桶装</w:t>
                  </w:r>
                </w:p>
              </w:tc>
              <w:tc>
                <w:tcPr>
                  <w:tcW w:w="726" w:type="pct"/>
                  <w:vAlign w:val="center"/>
                </w:tcPr>
                <w:p w14:paraId="7DD2C768">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0.001</w:t>
                  </w:r>
                </w:p>
              </w:tc>
              <w:tc>
                <w:tcPr>
                  <w:tcW w:w="1010" w:type="pct"/>
                  <w:vAlign w:val="center"/>
                </w:tcPr>
                <w:p w14:paraId="7D4D3763">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15kg/桶</w:t>
                  </w:r>
                </w:p>
              </w:tc>
            </w:tr>
            <w:tr w14:paraId="1EA393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 w:type="pct"/>
                  <w:vAlign w:val="center"/>
                </w:tcPr>
                <w:p w14:paraId="39055C9B">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13</w:t>
                  </w:r>
                </w:p>
              </w:tc>
              <w:tc>
                <w:tcPr>
                  <w:tcW w:w="817" w:type="pct"/>
                  <w:vAlign w:val="center"/>
                </w:tcPr>
                <w:p w14:paraId="751DF71E">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cs="Times New Roman"/>
                      <w:color w:val="000000" w:themeColor="text1"/>
                      <w:spacing w:val="0"/>
                      <w:position w:val="0"/>
                      <w:sz w:val="21"/>
                      <w:szCs w:val="21"/>
                      <w:lang w:val="en-US" w:eastAsia="zh-CN"/>
                    </w:rPr>
                    <w:t>磷铜</w:t>
                  </w:r>
                  <w:r>
                    <w:rPr>
                      <w:rFonts w:hint="eastAsia" w:ascii="Times New Roman" w:hAnsi="Times New Roman" w:eastAsia="宋体" w:cs="Times New Roman"/>
                      <w:color w:val="000000" w:themeColor="text1"/>
                      <w:spacing w:val="0"/>
                      <w:position w:val="0"/>
                      <w:sz w:val="21"/>
                      <w:szCs w:val="21"/>
                      <w:lang w:val="en-US" w:eastAsia="zh-CN"/>
                    </w:rPr>
                    <w:t>焊条</w:t>
                  </w:r>
                </w:p>
              </w:tc>
              <w:tc>
                <w:tcPr>
                  <w:tcW w:w="690" w:type="pct"/>
                  <w:vAlign w:val="center"/>
                </w:tcPr>
                <w:p w14:paraId="4F7747E6">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0.04</w:t>
                  </w:r>
                </w:p>
              </w:tc>
              <w:tc>
                <w:tcPr>
                  <w:tcW w:w="568" w:type="pct"/>
                  <w:vAlign w:val="center"/>
                </w:tcPr>
                <w:p w14:paraId="352DCADB">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t/a</w:t>
                  </w:r>
                </w:p>
              </w:tc>
              <w:tc>
                <w:tcPr>
                  <w:tcW w:w="860" w:type="pct"/>
                  <w:vAlign w:val="center"/>
                </w:tcPr>
                <w:p w14:paraId="60053C9F">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液态、箱装</w:t>
                  </w:r>
                </w:p>
              </w:tc>
              <w:tc>
                <w:tcPr>
                  <w:tcW w:w="726" w:type="pct"/>
                  <w:vAlign w:val="center"/>
                </w:tcPr>
                <w:p w14:paraId="0422C498">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0.001t</w:t>
                  </w:r>
                </w:p>
              </w:tc>
              <w:tc>
                <w:tcPr>
                  <w:tcW w:w="1010" w:type="pct"/>
                  <w:vAlign w:val="center"/>
                </w:tcPr>
                <w:p w14:paraId="2C516839">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外购</w:t>
                  </w:r>
                </w:p>
              </w:tc>
            </w:tr>
            <w:tr w14:paraId="043134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 w:type="pct"/>
                  <w:vAlign w:val="center"/>
                </w:tcPr>
                <w:p w14:paraId="74F9F25C">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14</w:t>
                  </w:r>
                </w:p>
              </w:tc>
              <w:tc>
                <w:tcPr>
                  <w:tcW w:w="817" w:type="pct"/>
                  <w:vAlign w:val="center"/>
                </w:tcPr>
                <w:p w14:paraId="1B383FC0">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氧气</w:t>
                  </w:r>
                </w:p>
              </w:tc>
              <w:tc>
                <w:tcPr>
                  <w:tcW w:w="690" w:type="pct"/>
                  <w:vAlign w:val="center"/>
                </w:tcPr>
                <w:p w14:paraId="1A066C3B">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720</w:t>
                  </w:r>
                </w:p>
              </w:tc>
              <w:tc>
                <w:tcPr>
                  <w:tcW w:w="568" w:type="pct"/>
                  <w:vAlign w:val="center"/>
                </w:tcPr>
                <w:p w14:paraId="4599A3C1">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L/a</w:t>
                  </w:r>
                </w:p>
              </w:tc>
              <w:tc>
                <w:tcPr>
                  <w:tcW w:w="860" w:type="pct"/>
                  <w:vAlign w:val="center"/>
                </w:tcPr>
                <w:p w14:paraId="2A6FAA0E">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气态、</w:t>
                  </w:r>
                  <w:r>
                    <w:rPr>
                      <w:rFonts w:hint="eastAsia" w:cs="Times New Roman"/>
                      <w:color w:val="000000" w:themeColor="text1"/>
                      <w:spacing w:val="0"/>
                      <w:position w:val="0"/>
                      <w:sz w:val="21"/>
                      <w:szCs w:val="21"/>
                      <w:lang w:val="en-US" w:eastAsia="zh-CN"/>
                    </w:rPr>
                    <w:t>钢瓶装</w:t>
                  </w:r>
                </w:p>
              </w:tc>
              <w:tc>
                <w:tcPr>
                  <w:tcW w:w="726" w:type="pct"/>
                  <w:vAlign w:val="center"/>
                </w:tcPr>
                <w:p w14:paraId="217632E6">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120L</w:t>
                  </w:r>
                </w:p>
              </w:tc>
              <w:tc>
                <w:tcPr>
                  <w:tcW w:w="1010" w:type="pct"/>
                  <w:vAlign w:val="center"/>
                </w:tcPr>
                <w:p w14:paraId="4A398F6D">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外购，40L/瓶</w:t>
                  </w:r>
                </w:p>
              </w:tc>
            </w:tr>
            <w:tr w14:paraId="34AF76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 w:type="pct"/>
                  <w:vAlign w:val="center"/>
                </w:tcPr>
                <w:p w14:paraId="225907B3">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15</w:t>
                  </w:r>
                </w:p>
              </w:tc>
              <w:tc>
                <w:tcPr>
                  <w:tcW w:w="817" w:type="pct"/>
                  <w:vAlign w:val="center"/>
                </w:tcPr>
                <w:p w14:paraId="69DB31FE">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乙炔</w:t>
                  </w:r>
                </w:p>
              </w:tc>
              <w:tc>
                <w:tcPr>
                  <w:tcW w:w="690" w:type="pct"/>
                  <w:vAlign w:val="center"/>
                </w:tcPr>
                <w:p w14:paraId="2EB8DEDD">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1320</w:t>
                  </w:r>
                </w:p>
              </w:tc>
              <w:tc>
                <w:tcPr>
                  <w:tcW w:w="568" w:type="pct"/>
                  <w:vAlign w:val="center"/>
                </w:tcPr>
                <w:p w14:paraId="5DF18364">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L/a</w:t>
                  </w:r>
                </w:p>
              </w:tc>
              <w:tc>
                <w:tcPr>
                  <w:tcW w:w="860" w:type="pct"/>
                  <w:vAlign w:val="center"/>
                </w:tcPr>
                <w:p w14:paraId="7DCA0E26">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气态、</w:t>
                  </w:r>
                  <w:r>
                    <w:rPr>
                      <w:rFonts w:hint="eastAsia" w:cs="Times New Roman"/>
                      <w:color w:val="000000" w:themeColor="text1"/>
                      <w:spacing w:val="0"/>
                      <w:position w:val="0"/>
                      <w:sz w:val="21"/>
                      <w:szCs w:val="21"/>
                      <w:lang w:val="en-US" w:eastAsia="zh-CN"/>
                    </w:rPr>
                    <w:t>钢瓶装</w:t>
                  </w:r>
                </w:p>
              </w:tc>
              <w:tc>
                <w:tcPr>
                  <w:tcW w:w="726" w:type="pct"/>
                  <w:vAlign w:val="center"/>
                </w:tcPr>
                <w:p w14:paraId="77455A05">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160L</w:t>
                  </w:r>
                </w:p>
              </w:tc>
              <w:tc>
                <w:tcPr>
                  <w:tcW w:w="1010" w:type="pct"/>
                  <w:vAlign w:val="center"/>
                </w:tcPr>
                <w:p w14:paraId="4A61B089">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外购，40L/瓶</w:t>
                  </w:r>
                </w:p>
              </w:tc>
            </w:tr>
            <w:tr w14:paraId="3E8EB6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 w:type="pct"/>
                  <w:vAlign w:val="center"/>
                </w:tcPr>
                <w:p w14:paraId="44C04D9C">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16</w:t>
                  </w:r>
                </w:p>
              </w:tc>
              <w:tc>
                <w:tcPr>
                  <w:tcW w:w="817" w:type="pct"/>
                  <w:vAlign w:val="center"/>
                </w:tcPr>
                <w:p w14:paraId="6FB02F94">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箱体</w:t>
                  </w:r>
                </w:p>
              </w:tc>
              <w:tc>
                <w:tcPr>
                  <w:tcW w:w="690" w:type="pct"/>
                  <w:vAlign w:val="center"/>
                </w:tcPr>
                <w:p w14:paraId="7C4979D8">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150</w:t>
                  </w:r>
                </w:p>
              </w:tc>
              <w:tc>
                <w:tcPr>
                  <w:tcW w:w="568" w:type="pct"/>
                  <w:vAlign w:val="center"/>
                </w:tcPr>
                <w:p w14:paraId="793F1319">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套/年</w:t>
                  </w:r>
                </w:p>
              </w:tc>
              <w:tc>
                <w:tcPr>
                  <w:tcW w:w="860" w:type="pct"/>
                  <w:vAlign w:val="center"/>
                </w:tcPr>
                <w:p w14:paraId="320475B4">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固态</w:t>
                  </w:r>
                </w:p>
              </w:tc>
              <w:tc>
                <w:tcPr>
                  <w:tcW w:w="726" w:type="pct"/>
                  <w:vAlign w:val="center"/>
                </w:tcPr>
                <w:p w14:paraId="37EF2732">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5套</w:t>
                  </w:r>
                </w:p>
              </w:tc>
              <w:tc>
                <w:tcPr>
                  <w:tcW w:w="1010" w:type="pct"/>
                  <w:vAlign w:val="center"/>
                </w:tcPr>
                <w:p w14:paraId="3446B4A8">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外购</w:t>
                  </w:r>
                </w:p>
              </w:tc>
            </w:tr>
            <w:tr w14:paraId="51882E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 w:type="pct"/>
                  <w:vAlign w:val="center"/>
                </w:tcPr>
                <w:p w14:paraId="6DCBFA2C">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17</w:t>
                  </w:r>
                </w:p>
              </w:tc>
              <w:tc>
                <w:tcPr>
                  <w:tcW w:w="817" w:type="pct"/>
                  <w:vAlign w:val="center"/>
                </w:tcPr>
                <w:p w14:paraId="2DA9BDD3">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default" w:ascii="Times New Roman" w:hAnsi="Times New Roman" w:eastAsia="宋体" w:cs="Times New Roman"/>
                      <w:color w:val="000000" w:themeColor="text1"/>
                      <w:spacing w:val="0"/>
                      <w:position w:val="0"/>
                      <w:sz w:val="21"/>
                      <w:szCs w:val="21"/>
                      <w:lang w:val="en-US" w:eastAsia="zh-CN"/>
                    </w:rPr>
                    <w:t>其他配件（分接开关、散热器、温控器、导电杆、瓷瓶等）</w:t>
                  </w:r>
                </w:p>
              </w:tc>
              <w:tc>
                <w:tcPr>
                  <w:tcW w:w="690" w:type="pct"/>
                  <w:vAlign w:val="center"/>
                </w:tcPr>
                <w:p w14:paraId="7884CCB3">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505</w:t>
                  </w:r>
                </w:p>
              </w:tc>
              <w:tc>
                <w:tcPr>
                  <w:tcW w:w="568" w:type="pct"/>
                  <w:vAlign w:val="center"/>
                </w:tcPr>
                <w:p w14:paraId="2F2644B9">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套/年</w:t>
                  </w:r>
                </w:p>
              </w:tc>
              <w:tc>
                <w:tcPr>
                  <w:tcW w:w="860" w:type="pct"/>
                  <w:vAlign w:val="center"/>
                </w:tcPr>
                <w:p w14:paraId="6BA865BF">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固态</w:t>
                  </w:r>
                </w:p>
              </w:tc>
              <w:tc>
                <w:tcPr>
                  <w:tcW w:w="726" w:type="pct"/>
                  <w:vAlign w:val="center"/>
                </w:tcPr>
                <w:p w14:paraId="46381DC7">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40套</w:t>
                  </w:r>
                </w:p>
              </w:tc>
              <w:tc>
                <w:tcPr>
                  <w:tcW w:w="1010" w:type="pct"/>
                  <w:vAlign w:val="center"/>
                </w:tcPr>
                <w:p w14:paraId="01CEF081">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外购</w:t>
                  </w:r>
                </w:p>
              </w:tc>
            </w:tr>
            <w:tr w14:paraId="40F82B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 w:type="pct"/>
                  <w:vAlign w:val="center"/>
                </w:tcPr>
                <w:p w14:paraId="0ECEA2F6">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18</w:t>
                  </w:r>
                </w:p>
              </w:tc>
              <w:tc>
                <w:tcPr>
                  <w:tcW w:w="817" w:type="pct"/>
                  <w:vAlign w:val="center"/>
                </w:tcPr>
                <w:p w14:paraId="28E2EBB8">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电</w:t>
                  </w:r>
                </w:p>
              </w:tc>
              <w:tc>
                <w:tcPr>
                  <w:tcW w:w="690" w:type="pct"/>
                  <w:vAlign w:val="center"/>
                </w:tcPr>
                <w:p w14:paraId="21E6F138">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14.5</w:t>
                  </w:r>
                </w:p>
              </w:tc>
              <w:tc>
                <w:tcPr>
                  <w:tcW w:w="568" w:type="pct"/>
                  <w:vAlign w:val="center"/>
                </w:tcPr>
                <w:p w14:paraId="2BB2B6D4">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万kW.h/a</w:t>
                  </w:r>
                </w:p>
              </w:tc>
              <w:tc>
                <w:tcPr>
                  <w:tcW w:w="860" w:type="pct"/>
                  <w:vAlign w:val="center"/>
                </w:tcPr>
                <w:p w14:paraId="208EC74F">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w:t>
                  </w:r>
                </w:p>
              </w:tc>
              <w:tc>
                <w:tcPr>
                  <w:tcW w:w="726" w:type="pct"/>
                  <w:vAlign w:val="center"/>
                </w:tcPr>
                <w:p w14:paraId="68D5992B">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w:t>
                  </w:r>
                </w:p>
              </w:tc>
              <w:tc>
                <w:tcPr>
                  <w:tcW w:w="1010" w:type="pct"/>
                  <w:vAlign w:val="center"/>
                </w:tcPr>
                <w:p w14:paraId="28594CB1">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w:t>
                  </w:r>
                </w:p>
              </w:tc>
            </w:tr>
            <w:tr w14:paraId="69AD7A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 w:type="pct"/>
                  <w:vAlign w:val="center"/>
                </w:tcPr>
                <w:p w14:paraId="2CC94C4D">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19</w:t>
                  </w:r>
                </w:p>
              </w:tc>
              <w:tc>
                <w:tcPr>
                  <w:tcW w:w="817" w:type="pct"/>
                  <w:vAlign w:val="center"/>
                </w:tcPr>
                <w:p w14:paraId="739D93EE">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水</w:t>
                  </w:r>
                </w:p>
              </w:tc>
              <w:tc>
                <w:tcPr>
                  <w:tcW w:w="690" w:type="pct"/>
                  <w:vAlign w:val="center"/>
                </w:tcPr>
                <w:p w14:paraId="6B0EC909">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360</w:t>
                  </w:r>
                </w:p>
              </w:tc>
              <w:tc>
                <w:tcPr>
                  <w:tcW w:w="568" w:type="pct"/>
                  <w:vAlign w:val="center"/>
                </w:tcPr>
                <w:p w14:paraId="11F76CF6">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m</w:t>
                  </w:r>
                  <w:r>
                    <w:rPr>
                      <w:rFonts w:hint="eastAsia" w:ascii="Times New Roman" w:hAnsi="Times New Roman" w:eastAsia="宋体" w:cs="Times New Roman"/>
                      <w:color w:val="000000" w:themeColor="text1"/>
                      <w:spacing w:val="0"/>
                      <w:position w:val="0"/>
                      <w:sz w:val="21"/>
                      <w:szCs w:val="21"/>
                      <w:vertAlign w:val="superscript"/>
                      <w:lang w:val="en-US" w:eastAsia="zh-CN"/>
                    </w:rPr>
                    <w:t>3</w:t>
                  </w:r>
                  <w:r>
                    <w:rPr>
                      <w:rFonts w:hint="eastAsia" w:ascii="Times New Roman" w:hAnsi="Times New Roman" w:eastAsia="宋体" w:cs="Times New Roman"/>
                      <w:color w:val="000000" w:themeColor="text1"/>
                      <w:spacing w:val="0"/>
                      <w:position w:val="0"/>
                      <w:sz w:val="21"/>
                      <w:szCs w:val="21"/>
                      <w:lang w:val="en-US" w:eastAsia="zh-CN"/>
                    </w:rPr>
                    <w:t>/a</w:t>
                  </w:r>
                </w:p>
              </w:tc>
              <w:tc>
                <w:tcPr>
                  <w:tcW w:w="860" w:type="pct"/>
                  <w:vAlign w:val="center"/>
                </w:tcPr>
                <w:p w14:paraId="31541147">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w:t>
                  </w:r>
                </w:p>
              </w:tc>
              <w:tc>
                <w:tcPr>
                  <w:tcW w:w="726" w:type="pct"/>
                  <w:vAlign w:val="center"/>
                </w:tcPr>
                <w:p w14:paraId="622374C8">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w:t>
                  </w:r>
                </w:p>
              </w:tc>
              <w:tc>
                <w:tcPr>
                  <w:tcW w:w="1010" w:type="pct"/>
                  <w:vAlign w:val="center"/>
                </w:tcPr>
                <w:p w14:paraId="2AB38044">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w:t>
                  </w:r>
                </w:p>
              </w:tc>
            </w:tr>
          </w:tbl>
          <w:p w14:paraId="0CA3608C">
            <w:pPr>
              <w:widowControl/>
              <w:adjustRightInd w:val="0"/>
              <w:snapToGrid w:val="0"/>
              <w:spacing w:line="360" w:lineRule="auto"/>
              <w:jc w:val="left"/>
              <w:rPr>
                <w:rFonts w:hint="default" w:ascii="Times New Roman" w:hAnsi="Times New Roman" w:cs="Times New Roman"/>
                <w:color w:val="000000" w:themeColor="text1"/>
                <w:sz w:val="24"/>
                <w:szCs w:val="24"/>
              </w:rPr>
            </w:pPr>
            <w:r>
              <w:rPr>
                <w:rFonts w:hint="default" w:ascii="Times New Roman" w:hAnsi="Times New Roman" w:cs="Times New Roman"/>
                <w:b/>
                <w:bCs/>
                <w:color w:val="000000" w:themeColor="text1"/>
                <w:kern w:val="0"/>
                <w:sz w:val="24"/>
                <w:szCs w:val="24"/>
              </w:rPr>
              <w:t>主要原辅料理化性质：</w:t>
            </w:r>
          </w:p>
          <w:p w14:paraId="78651BA2">
            <w:pPr>
              <w:jc w:val="center"/>
              <w:rPr>
                <w:rFonts w:hint="default" w:ascii="Times New Roman" w:hAnsi="Times New Roman" w:cs="Times New Roman"/>
                <w:b/>
                <w:bCs/>
                <w:color w:val="000000" w:themeColor="text1"/>
                <w:sz w:val="24"/>
                <w:szCs w:val="24"/>
              </w:rPr>
            </w:pPr>
            <w:r>
              <w:rPr>
                <w:rFonts w:hint="default" w:ascii="Times New Roman" w:hAnsi="Times New Roman" w:cs="Times New Roman"/>
                <w:b/>
                <w:bCs/>
                <w:color w:val="000000" w:themeColor="text1"/>
                <w:sz w:val="24"/>
                <w:szCs w:val="24"/>
              </w:rPr>
              <w:t>表2-</w:t>
            </w:r>
            <w:r>
              <w:rPr>
                <w:rFonts w:hint="eastAsia" w:cs="Times New Roman"/>
                <w:b/>
                <w:bCs/>
                <w:color w:val="000000" w:themeColor="text1"/>
                <w:sz w:val="24"/>
                <w:szCs w:val="24"/>
                <w:lang w:val="en-US" w:eastAsia="zh-CN"/>
              </w:rPr>
              <w:t xml:space="preserve">9  </w:t>
            </w:r>
            <w:r>
              <w:rPr>
                <w:rFonts w:hint="default" w:ascii="Times New Roman" w:hAnsi="Times New Roman" w:cs="Times New Roman"/>
                <w:b/>
                <w:bCs/>
                <w:color w:val="000000" w:themeColor="text1"/>
                <w:sz w:val="24"/>
                <w:szCs w:val="24"/>
              </w:rPr>
              <w:t>项目原辅材料主要成分理化特性表</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5"/>
              <w:gridCol w:w="1567"/>
              <w:gridCol w:w="6122"/>
            </w:tblGrid>
            <w:tr w14:paraId="12FC10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 w:hRule="atLeast"/>
                <w:jc w:val="center"/>
              </w:trPr>
              <w:tc>
                <w:tcPr>
                  <w:tcW w:w="420" w:type="pct"/>
                  <w:tcBorders>
                    <w:top w:val="single" w:color="auto" w:sz="4" w:space="0"/>
                    <w:left w:val="single" w:color="auto" w:sz="4" w:space="0"/>
                    <w:bottom w:val="single" w:color="auto" w:sz="4" w:space="0"/>
                    <w:right w:val="single" w:color="auto" w:sz="4" w:space="0"/>
                  </w:tcBorders>
                  <w:vAlign w:val="center"/>
                </w:tcPr>
                <w:p w14:paraId="79DB5E19">
                  <w:pPr>
                    <w:jc w:val="center"/>
                    <w:rPr>
                      <w:rFonts w:hint="eastAsia" w:ascii="Times New Roman" w:hAnsi="Times New Roman" w:eastAsia="宋体" w:cs="Times New Roman"/>
                      <w:b/>
                      <w:bCs/>
                      <w:color w:val="000000" w:themeColor="text1"/>
                      <w:lang w:eastAsia="zh-CN"/>
                    </w:rPr>
                  </w:pPr>
                  <w:r>
                    <w:rPr>
                      <w:rFonts w:hint="eastAsia" w:cs="Times New Roman"/>
                      <w:b/>
                      <w:bCs/>
                      <w:color w:val="000000" w:themeColor="text1"/>
                      <w:lang w:val="en-US" w:eastAsia="zh-CN"/>
                    </w:rPr>
                    <w:t>序号</w:t>
                  </w:r>
                </w:p>
              </w:tc>
              <w:tc>
                <w:tcPr>
                  <w:tcW w:w="933" w:type="pct"/>
                  <w:tcBorders>
                    <w:top w:val="single" w:color="auto" w:sz="4" w:space="0"/>
                    <w:left w:val="single" w:color="auto" w:sz="4" w:space="0"/>
                    <w:bottom w:val="single" w:color="auto" w:sz="4" w:space="0"/>
                    <w:right w:val="single" w:color="auto" w:sz="4" w:space="0"/>
                  </w:tcBorders>
                  <w:vAlign w:val="center"/>
                </w:tcPr>
                <w:p w14:paraId="2D3353FD">
                  <w:pPr>
                    <w:jc w:val="center"/>
                    <w:rPr>
                      <w:rFonts w:hint="eastAsia" w:ascii="Times New Roman" w:hAnsi="Times New Roman" w:eastAsia="宋体" w:cs="Times New Roman"/>
                      <w:b/>
                      <w:bCs/>
                      <w:color w:val="000000" w:themeColor="text1"/>
                      <w:lang w:eastAsia="zh-CN"/>
                    </w:rPr>
                  </w:pPr>
                  <w:r>
                    <w:rPr>
                      <w:rFonts w:hint="eastAsia" w:cs="Times New Roman"/>
                      <w:b/>
                      <w:bCs/>
                      <w:color w:val="000000" w:themeColor="text1"/>
                      <w:lang w:val="en-US" w:eastAsia="zh-CN"/>
                    </w:rPr>
                    <w:t>名称</w:t>
                  </w:r>
                </w:p>
              </w:tc>
              <w:tc>
                <w:tcPr>
                  <w:tcW w:w="3646" w:type="pct"/>
                  <w:tcBorders>
                    <w:top w:val="single" w:color="auto" w:sz="4" w:space="0"/>
                    <w:left w:val="single" w:color="auto" w:sz="4" w:space="0"/>
                    <w:bottom w:val="single" w:color="auto" w:sz="4" w:space="0"/>
                    <w:right w:val="single" w:color="auto" w:sz="4" w:space="0"/>
                  </w:tcBorders>
                  <w:vAlign w:val="center"/>
                </w:tcPr>
                <w:p w14:paraId="51266E22">
                  <w:pPr>
                    <w:jc w:val="center"/>
                    <w:rPr>
                      <w:rFonts w:hint="default" w:ascii="Times New Roman" w:hAnsi="Times New Roman" w:cs="Times New Roman"/>
                      <w:b/>
                      <w:bCs/>
                      <w:color w:val="000000" w:themeColor="text1"/>
                    </w:rPr>
                  </w:pPr>
                  <w:r>
                    <w:rPr>
                      <w:rFonts w:hint="eastAsia" w:cs="Times New Roman"/>
                      <w:b/>
                      <w:bCs/>
                      <w:color w:val="000000" w:themeColor="text1"/>
                      <w:lang w:val="en-US" w:eastAsia="zh-CN"/>
                    </w:rPr>
                    <w:t>主要成分及理化性质</w:t>
                  </w:r>
                </w:p>
              </w:tc>
            </w:tr>
            <w:tr w14:paraId="26730E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420" w:type="pct"/>
                  <w:tcBorders>
                    <w:top w:val="single" w:color="auto" w:sz="4" w:space="0"/>
                    <w:left w:val="single" w:color="auto" w:sz="4" w:space="0"/>
                    <w:bottom w:val="single" w:color="auto" w:sz="4" w:space="0"/>
                    <w:right w:val="single" w:color="auto" w:sz="4" w:space="0"/>
                  </w:tcBorders>
                  <w:vAlign w:val="center"/>
                </w:tcPr>
                <w:p w14:paraId="6ABB7979">
                  <w:pPr>
                    <w:jc w:val="center"/>
                    <w:rPr>
                      <w:rFonts w:hint="eastAsia" w:ascii="Times New Roman" w:hAnsi="Times New Roman" w:eastAsia="宋体" w:cs="Times New Roman"/>
                      <w:color w:val="000000" w:themeColor="text1"/>
                      <w:lang w:val="en-US" w:eastAsia="zh-CN"/>
                    </w:rPr>
                  </w:pPr>
                  <w:r>
                    <w:rPr>
                      <w:rFonts w:hint="eastAsia" w:cs="Times New Roman"/>
                      <w:color w:val="000000" w:themeColor="text1"/>
                      <w:lang w:val="en-US" w:eastAsia="zh-CN"/>
                    </w:rPr>
                    <w:t>1</w:t>
                  </w:r>
                </w:p>
              </w:tc>
              <w:tc>
                <w:tcPr>
                  <w:tcW w:w="933" w:type="pct"/>
                  <w:tcBorders>
                    <w:top w:val="single" w:color="auto" w:sz="4" w:space="0"/>
                    <w:left w:val="single" w:color="auto" w:sz="4" w:space="0"/>
                    <w:bottom w:val="single" w:color="auto" w:sz="4" w:space="0"/>
                    <w:right w:val="single" w:color="auto" w:sz="4" w:space="0"/>
                  </w:tcBorders>
                  <w:vAlign w:val="center"/>
                </w:tcPr>
                <w:p w14:paraId="0955B218">
                  <w:pPr>
                    <w:pStyle w:val="17"/>
                    <w:adjustRightInd w:val="0"/>
                    <w:snapToGrid w:val="0"/>
                    <w:jc w:val="center"/>
                    <w:rPr>
                      <w:rFonts w:hint="default" w:ascii="Times New Roman" w:hAnsi="Times New Roman" w:eastAsia="宋体" w:cs="Times New Roman"/>
                      <w:color w:val="000000" w:themeColor="text1"/>
                      <w:lang w:val="en-US" w:eastAsia="zh-CN"/>
                    </w:rPr>
                  </w:pPr>
                  <w:r>
                    <w:rPr>
                      <w:rFonts w:hint="eastAsia" w:ascii="Times New Roman" w:hAnsi="Times New Roman" w:cs="Times New Roman"/>
                      <w:color w:val="000000" w:themeColor="text1"/>
                      <w:lang w:val="en-US" w:eastAsia="zh-CN"/>
                    </w:rPr>
                    <w:t>环氧树脂A料</w:t>
                  </w:r>
                </w:p>
              </w:tc>
              <w:tc>
                <w:tcPr>
                  <w:tcW w:w="3646" w:type="pct"/>
                  <w:tcBorders>
                    <w:top w:val="single" w:color="auto" w:sz="4" w:space="0"/>
                    <w:left w:val="single" w:color="auto" w:sz="4" w:space="0"/>
                    <w:bottom w:val="single" w:color="auto" w:sz="4" w:space="0"/>
                    <w:right w:val="single" w:color="auto" w:sz="4" w:space="0"/>
                  </w:tcBorders>
                  <w:vAlign w:val="center"/>
                </w:tcPr>
                <w:p w14:paraId="3F1E9870">
                  <w:pPr>
                    <w:pStyle w:val="17"/>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使用时与环氧树脂B料按照1:1比例进行混合。A液体主要成分：环氧树脂50%，硅微粉50%。外观与性状：多颜色粘稠液体，不溶于水，闭口闪点：＞150℃，相对蒸气密度（空气=1）：＞1，主要用途：用于电子封装、灌封、浇注。</w:t>
                  </w:r>
                </w:p>
              </w:tc>
            </w:tr>
            <w:tr w14:paraId="7CD9E0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420" w:type="pct"/>
                  <w:tcBorders>
                    <w:top w:val="single" w:color="auto" w:sz="4" w:space="0"/>
                    <w:left w:val="single" w:color="auto" w:sz="4" w:space="0"/>
                    <w:bottom w:val="single" w:color="auto" w:sz="4" w:space="0"/>
                    <w:right w:val="single" w:color="auto" w:sz="4" w:space="0"/>
                  </w:tcBorders>
                  <w:vAlign w:val="center"/>
                </w:tcPr>
                <w:p w14:paraId="67ABCF13">
                  <w:pPr>
                    <w:jc w:val="center"/>
                    <w:rPr>
                      <w:rFonts w:hint="eastAsia" w:ascii="Times New Roman" w:hAnsi="Times New Roman" w:eastAsia="宋体" w:cs="Times New Roman"/>
                      <w:color w:val="000000" w:themeColor="text1"/>
                      <w:lang w:val="en-US" w:eastAsia="zh-CN"/>
                    </w:rPr>
                  </w:pPr>
                  <w:r>
                    <w:rPr>
                      <w:rFonts w:hint="eastAsia" w:cs="Times New Roman"/>
                      <w:color w:val="000000" w:themeColor="text1"/>
                      <w:lang w:val="en-US" w:eastAsia="zh-CN"/>
                    </w:rPr>
                    <w:t>2</w:t>
                  </w:r>
                </w:p>
              </w:tc>
              <w:tc>
                <w:tcPr>
                  <w:tcW w:w="933" w:type="pct"/>
                  <w:tcBorders>
                    <w:top w:val="single" w:color="auto" w:sz="4" w:space="0"/>
                    <w:left w:val="single" w:color="auto" w:sz="4" w:space="0"/>
                    <w:bottom w:val="single" w:color="auto" w:sz="4" w:space="0"/>
                    <w:right w:val="single" w:color="auto" w:sz="4" w:space="0"/>
                  </w:tcBorders>
                  <w:vAlign w:val="center"/>
                </w:tcPr>
                <w:p w14:paraId="15D1547A">
                  <w:pPr>
                    <w:pStyle w:val="17"/>
                    <w:adjustRightInd w:val="0"/>
                    <w:snapToGrid w:val="0"/>
                    <w:jc w:val="center"/>
                    <w:rPr>
                      <w:rFonts w:hint="default" w:ascii="Times New Roman" w:hAnsi="Times New Roman" w:cs="Times New Roman"/>
                      <w:color w:val="000000" w:themeColor="text1"/>
                    </w:rPr>
                  </w:pPr>
                  <w:r>
                    <w:rPr>
                      <w:rFonts w:hint="eastAsia" w:ascii="Times New Roman" w:hAnsi="Times New Roman" w:eastAsia="宋体" w:cs="Times New Roman"/>
                      <w:color w:val="000000" w:themeColor="text1"/>
                      <w:spacing w:val="0"/>
                      <w:position w:val="0"/>
                      <w:sz w:val="21"/>
                      <w:szCs w:val="21"/>
                      <w:lang w:val="en-US" w:eastAsia="zh-CN"/>
                    </w:rPr>
                    <w:t>环氧树脂B料</w:t>
                  </w:r>
                </w:p>
              </w:tc>
              <w:tc>
                <w:tcPr>
                  <w:tcW w:w="3646" w:type="pct"/>
                  <w:tcBorders>
                    <w:top w:val="single" w:color="auto" w:sz="4" w:space="0"/>
                    <w:left w:val="single" w:color="auto" w:sz="4" w:space="0"/>
                    <w:bottom w:val="single" w:color="auto" w:sz="4" w:space="0"/>
                    <w:right w:val="single" w:color="auto" w:sz="4" w:space="0"/>
                  </w:tcBorders>
                  <w:vAlign w:val="center"/>
                </w:tcPr>
                <w:p w14:paraId="7881C083">
                  <w:pPr>
                    <w:pStyle w:val="17"/>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使用时与环氧树脂A料按照1:1比例进行混合。B液体主要成分：甲基四氢苯酐50%，硅微粉50%。外观与性状：浅棕色粘稠液体，不溶于水</w:t>
                  </w:r>
                  <w:r>
                    <w:rPr>
                      <w:rFonts w:hint="eastAsia" w:ascii="Times New Roman" w:hAnsi="Times New Roman" w:cs="Times New Roman"/>
                      <w:color w:val="000000" w:themeColor="text1"/>
                      <w:lang w:eastAsia="zh-CN"/>
                    </w:rPr>
                    <w:t>，</w:t>
                  </w:r>
                  <w:r>
                    <w:rPr>
                      <w:rFonts w:hint="default" w:ascii="Times New Roman" w:hAnsi="Times New Roman" w:cs="Times New Roman"/>
                      <w:color w:val="000000" w:themeColor="text1"/>
                    </w:rPr>
                    <w:t>闭口闪点：＞250℃，主要用途：用于电子封装、灌封、浇注。其中甲基四氢苯酐又称甲基四氢邻苯二甲酸酐，有两种异构体，即4-甲基四氢苯酐和3-甲基四氢苯酐。浅黄色透明液体，相对密度1.20-1.22，酸酐含量≥41%，挥发分≤1%，游离酸含量≤1%，凝固点≤-15℃，粘度（25℃）30-50mPa·s，用于环氧树脂固化剂、无溶剂油漆、层压板、环氧粘合剂等。用于环氧树脂固化剂，具有在室温下能长期存放、凝固点低、挥发性小、毒性低等优异性能。广泛用于电机、干式变压器、高压开关、互感器、行输出变压器、家电电容、电力电容电阻、集成电路的浸渍、浇注与缠绕等。</w:t>
                  </w:r>
                </w:p>
              </w:tc>
            </w:tr>
            <w:tr w14:paraId="75831D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420" w:type="pct"/>
                  <w:tcBorders>
                    <w:top w:val="single" w:color="auto" w:sz="4" w:space="0"/>
                    <w:left w:val="single" w:color="auto" w:sz="4" w:space="0"/>
                    <w:bottom w:val="single" w:color="auto" w:sz="4" w:space="0"/>
                    <w:right w:val="single" w:color="auto" w:sz="4" w:space="0"/>
                  </w:tcBorders>
                  <w:vAlign w:val="center"/>
                </w:tcPr>
                <w:p w14:paraId="55B626A7">
                  <w:pPr>
                    <w:jc w:val="center"/>
                    <w:rPr>
                      <w:rFonts w:hint="eastAsia" w:ascii="Times New Roman" w:hAnsi="Times New Roman" w:eastAsia="宋体" w:cs="Times New Roman"/>
                      <w:color w:val="000000" w:themeColor="text1"/>
                      <w:lang w:val="en-US" w:eastAsia="zh-CN"/>
                    </w:rPr>
                  </w:pPr>
                  <w:r>
                    <w:rPr>
                      <w:rFonts w:hint="eastAsia" w:cs="Times New Roman"/>
                      <w:color w:val="000000" w:themeColor="text1"/>
                      <w:lang w:val="en-US" w:eastAsia="zh-CN"/>
                    </w:rPr>
                    <w:t>3</w:t>
                  </w:r>
                </w:p>
              </w:tc>
              <w:tc>
                <w:tcPr>
                  <w:tcW w:w="933" w:type="pct"/>
                  <w:tcBorders>
                    <w:top w:val="single" w:color="auto" w:sz="4" w:space="0"/>
                    <w:left w:val="single" w:color="auto" w:sz="4" w:space="0"/>
                    <w:bottom w:val="single" w:color="auto" w:sz="4" w:space="0"/>
                    <w:right w:val="single" w:color="auto" w:sz="4" w:space="0"/>
                  </w:tcBorders>
                  <w:vAlign w:val="center"/>
                </w:tcPr>
                <w:p w14:paraId="3BA126BF">
                  <w:pPr>
                    <w:pStyle w:val="17"/>
                    <w:adjustRightInd w:val="0"/>
                    <w:snapToGrid w:val="0"/>
                    <w:jc w:val="center"/>
                    <w:rPr>
                      <w:rFonts w:hint="eastAsia" w:ascii="Times New Roman" w:hAnsi="Times New Roman" w:eastAsia="宋体" w:cs="Times New Roman"/>
                      <w:color w:val="000000" w:themeColor="text1"/>
                      <w:lang w:val="en-US" w:eastAsia="zh-CN"/>
                    </w:rPr>
                  </w:pPr>
                  <w:r>
                    <w:rPr>
                      <w:rFonts w:hint="eastAsia" w:ascii="Times New Roman" w:hAnsi="Times New Roman" w:cs="Times New Roman"/>
                      <w:color w:val="000000" w:themeColor="text1"/>
                      <w:lang w:val="en-US" w:eastAsia="zh-CN"/>
                    </w:rPr>
                    <w:t>脱模剂</w:t>
                  </w:r>
                </w:p>
              </w:tc>
              <w:tc>
                <w:tcPr>
                  <w:tcW w:w="3646" w:type="pct"/>
                  <w:tcBorders>
                    <w:top w:val="single" w:color="auto" w:sz="4" w:space="0"/>
                    <w:left w:val="single" w:color="auto" w:sz="4" w:space="0"/>
                    <w:bottom w:val="single" w:color="auto" w:sz="4" w:space="0"/>
                    <w:right w:val="single" w:color="auto" w:sz="4" w:space="0"/>
                  </w:tcBorders>
                  <w:vAlign w:val="center"/>
                </w:tcPr>
                <w:p w14:paraId="2EE430EC">
                  <w:pPr>
                    <w:pStyle w:val="17"/>
                    <w:adjustRightInd w:val="0"/>
                    <w:snapToGrid w:val="0"/>
                    <w:jc w:val="center"/>
                    <w:rPr>
                      <w:rFonts w:hint="default" w:ascii="Times New Roman" w:hAnsi="Times New Roman" w:eastAsia="宋体" w:cs="Times New Roman"/>
                      <w:color w:val="000000" w:themeColor="text1"/>
                      <w:lang w:val="en-US" w:eastAsia="zh-CN"/>
                    </w:rPr>
                  </w:pPr>
                  <w:r>
                    <w:rPr>
                      <w:rFonts w:hint="default" w:ascii="Times New Roman" w:hAnsi="Times New Roman" w:cs="Times New Roman"/>
                      <w:color w:val="000000" w:themeColor="text1"/>
                    </w:rPr>
                    <w:t>主要化学成分：硅树脂＜25%，硅油＜25%，聚合物＜2.5，环保异构溶剂≤50%。为透明液体，</w:t>
                  </w:r>
                  <w:r>
                    <w:rPr>
                      <w:rFonts w:hint="eastAsia" w:ascii="Times New Roman" w:hAnsi="Times New Roman" w:cs="Times New Roman"/>
                      <w:color w:val="000000" w:themeColor="text1"/>
                      <w:lang w:val="en-US" w:eastAsia="zh-CN"/>
                    </w:rPr>
                    <w:t>凝固点-18</w:t>
                  </w:r>
                  <w:r>
                    <w:rPr>
                      <w:rFonts w:hint="default" w:ascii="Times New Roman" w:hAnsi="Times New Roman" w:cs="Times New Roman"/>
                      <w:color w:val="000000" w:themeColor="text1"/>
                    </w:rPr>
                    <w:t>℃，闪点：≥65℃，相对密度：0.</w:t>
                  </w:r>
                  <w:r>
                    <w:rPr>
                      <w:rFonts w:hint="eastAsia" w:ascii="Times New Roman" w:hAnsi="Times New Roman" w:cs="Times New Roman"/>
                      <w:color w:val="000000" w:themeColor="text1"/>
                      <w:lang w:val="en-US" w:eastAsia="zh-CN"/>
                    </w:rPr>
                    <w:t>8</w:t>
                  </w:r>
                  <w:r>
                    <w:rPr>
                      <w:rFonts w:hint="default" w:ascii="Times New Roman" w:hAnsi="Times New Roman" w:cs="Times New Roman"/>
                      <w:color w:val="000000" w:themeColor="text1"/>
                    </w:rPr>
                    <w:t>kg/m</w:t>
                  </w:r>
                  <w:r>
                    <w:rPr>
                      <w:rFonts w:hint="default" w:ascii="Times New Roman" w:hAnsi="Times New Roman" w:cs="Times New Roman"/>
                      <w:color w:val="000000" w:themeColor="text1"/>
                      <w:vertAlign w:val="superscript"/>
                    </w:rPr>
                    <w:t>3</w:t>
                  </w:r>
                  <w:r>
                    <w:rPr>
                      <w:rFonts w:hint="default" w:ascii="Times New Roman" w:hAnsi="Times New Roman" w:cs="Times New Roman"/>
                      <w:color w:val="000000" w:themeColor="text1"/>
                    </w:rPr>
                    <w:t>，</w:t>
                  </w:r>
                  <w:r>
                    <w:rPr>
                      <w:rFonts w:hint="eastAsia" w:ascii="Times New Roman" w:hAnsi="Times New Roman" w:cs="Times New Roman"/>
                      <w:color w:val="000000" w:themeColor="text1"/>
                      <w:lang w:val="en-US" w:eastAsia="zh-CN"/>
                    </w:rPr>
                    <w:t>沸点约98.4</w:t>
                  </w:r>
                  <w:r>
                    <w:rPr>
                      <w:rFonts w:hint="default" w:ascii="Times New Roman" w:hAnsi="Times New Roman" w:cs="Times New Roman"/>
                      <w:color w:val="000000" w:themeColor="text1"/>
                    </w:rPr>
                    <w:t>℃</w:t>
                  </w:r>
                  <w:r>
                    <w:rPr>
                      <w:rFonts w:hint="eastAsia" w:ascii="Times New Roman" w:hAnsi="Times New Roman" w:cs="Times New Roman"/>
                      <w:color w:val="000000" w:themeColor="text1"/>
                      <w:lang w:eastAsia="zh-CN"/>
                    </w:rPr>
                    <w:t>，</w:t>
                  </w:r>
                  <w:r>
                    <w:rPr>
                      <w:rFonts w:hint="default" w:ascii="Times New Roman" w:hAnsi="Times New Roman" w:cs="Times New Roman"/>
                      <w:color w:val="000000" w:themeColor="text1"/>
                    </w:rPr>
                    <w:t>易溶解于常见的有机溶剂中。</w:t>
                  </w:r>
                  <w:r>
                    <w:rPr>
                      <w:rFonts w:hint="eastAsia" w:ascii="Times New Roman" w:hAnsi="Times New Roman" w:cs="Times New Roman"/>
                      <w:color w:val="000000" w:themeColor="text1"/>
                      <w:lang w:val="en-US" w:eastAsia="zh-CN"/>
                    </w:rPr>
                    <w:t>其中硅树脂为无色透明粘稠液体，可耐受300</w:t>
                  </w:r>
                  <w:r>
                    <w:rPr>
                      <w:rFonts w:hint="default" w:ascii="Times New Roman" w:hAnsi="Times New Roman" w:cs="Times New Roman"/>
                      <w:color w:val="000000" w:themeColor="text1"/>
                    </w:rPr>
                    <w:t>℃</w:t>
                  </w:r>
                  <w:r>
                    <w:rPr>
                      <w:rFonts w:hint="eastAsia" w:ascii="Times New Roman" w:hAnsi="Times New Roman" w:cs="Times New Roman"/>
                      <w:color w:val="000000" w:themeColor="text1"/>
                      <w:lang w:val="en-US" w:eastAsia="zh-CN"/>
                    </w:rPr>
                    <w:t>以上高温，具有热氧化稳定性；硅油为无色、无味、无毒、不易挥发的液体，熔点-59</w:t>
                  </w:r>
                  <w:r>
                    <w:rPr>
                      <w:rFonts w:hint="default" w:ascii="Times New Roman" w:hAnsi="Times New Roman" w:cs="Times New Roman"/>
                      <w:color w:val="000000" w:themeColor="text1"/>
                    </w:rPr>
                    <w:t>℃</w:t>
                  </w:r>
                  <w:r>
                    <w:rPr>
                      <w:rFonts w:hint="eastAsia" w:ascii="Times New Roman" w:hAnsi="Times New Roman" w:cs="Times New Roman"/>
                      <w:color w:val="000000" w:themeColor="text1"/>
                      <w:lang w:val="en-US" w:eastAsia="zh-CN"/>
                    </w:rPr>
                    <w:t>至-50</w:t>
                  </w:r>
                  <w:r>
                    <w:rPr>
                      <w:rFonts w:hint="default" w:ascii="Times New Roman" w:hAnsi="Times New Roman" w:cs="Times New Roman"/>
                      <w:color w:val="000000" w:themeColor="text1"/>
                    </w:rPr>
                    <w:t>℃</w:t>
                  </w:r>
                  <w:r>
                    <w:rPr>
                      <w:rFonts w:hint="eastAsia" w:ascii="Times New Roman" w:hAnsi="Times New Roman" w:cs="Times New Roman"/>
                      <w:color w:val="000000" w:themeColor="text1"/>
                      <w:lang w:eastAsia="zh-CN"/>
                    </w:rPr>
                    <w:t>，</w:t>
                  </w:r>
                  <w:r>
                    <w:rPr>
                      <w:rFonts w:hint="eastAsia" w:ascii="Times New Roman" w:hAnsi="Times New Roman" w:cs="Times New Roman"/>
                      <w:color w:val="000000" w:themeColor="text1"/>
                      <w:lang w:val="en-US" w:eastAsia="zh-CN"/>
                    </w:rPr>
                    <w:t>沸点101</w:t>
                  </w:r>
                  <w:r>
                    <w:rPr>
                      <w:rFonts w:hint="default" w:ascii="Times New Roman" w:hAnsi="Times New Roman" w:cs="Times New Roman"/>
                      <w:color w:val="000000" w:themeColor="text1"/>
                    </w:rPr>
                    <w:t>℃</w:t>
                  </w:r>
                  <w:r>
                    <w:rPr>
                      <w:rFonts w:hint="eastAsia" w:ascii="Times New Roman" w:hAnsi="Times New Roman" w:cs="Times New Roman"/>
                      <w:color w:val="000000" w:themeColor="text1"/>
                      <w:lang w:val="en-US" w:eastAsia="zh-CN"/>
                    </w:rPr>
                    <w:t>以上，闪点＞270</w:t>
                  </w:r>
                  <w:r>
                    <w:rPr>
                      <w:rFonts w:hint="default" w:ascii="Times New Roman" w:hAnsi="Times New Roman" w:cs="Times New Roman"/>
                      <w:color w:val="000000" w:themeColor="text1"/>
                    </w:rPr>
                    <w:t>℃</w:t>
                  </w:r>
                  <w:r>
                    <w:rPr>
                      <w:rFonts w:hint="eastAsia" w:ascii="Times New Roman" w:hAnsi="Times New Roman" w:cs="Times New Roman"/>
                      <w:color w:val="000000" w:themeColor="text1"/>
                      <w:lang w:eastAsia="zh-CN"/>
                    </w:rPr>
                    <w:t>；</w:t>
                  </w:r>
                  <w:r>
                    <w:rPr>
                      <w:rFonts w:hint="eastAsia" w:ascii="Times New Roman" w:hAnsi="Times New Roman" w:cs="Times New Roman"/>
                      <w:color w:val="000000" w:themeColor="text1"/>
                      <w:lang w:val="en-US" w:eastAsia="zh-CN"/>
                    </w:rPr>
                    <w:t>聚合物主要成分为硅橡胶，在180℃下可长期工作</w:t>
                  </w:r>
                </w:p>
              </w:tc>
            </w:tr>
            <w:tr w14:paraId="182DF9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420" w:type="pct"/>
                  <w:tcBorders>
                    <w:top w:val="single" w:color="auto" w:sz="4" w:space="0"/>
                    <w:left w:val="single" w:color="auto" w:sz="4" w:space="0"/>
                    <w:bottom w:val="single" w:color="auto" w:sz="4" w:space="0"/>
                    <w:right w:val="single" w:color="auto" w:sz="4" w:space="0"/>
                  </w:tcBorders>
                  <w:vAlign w:val="center"/>
                </w:tcPr>
                <w:p w14:paraId="6CBB54C2">
                  <w:pPr>
                    <w:jc w:val="center"/>
                    <w:rPr>
                      <w:rFonts w:hint="eastAsia" w:ascii="Times New Roman" w:hAnsi="Times New Roman" w:eastAsia="宋体" w:cs="Times New Roman"/>
                      <w:color w:val="000000" w:themeColor="text1"/>
                      <w:lang w:val="en-US" w:eastAsia="zh-CN"/>
                    </w:rPr>
                  </w:pPr>
                  <w:r>
                    <w:rPr>
                      <w:rFonts w:hint="eastAsia" w:cs="Times New Roman"/>
                      <w:color w:val="000000" w:themeColor="text1"/>
                      <w:lang w:val="en-US" w:eastAsia="zh-CN"/>
                    </w:rPr>
                    <w:t>4</w:t>
                  </w:r>
                </w:p>
              </w:tc>
              <w:tc>
                <w:tcPr>
                  <w:tcW w:w="933" w:type="pct"/>
                  <w:tcBorders>
                    <w:top w:val="single" w:color="auto" w:sz="4" w:space="0"/>
                    <w:left w:val="single" w:color="auto" w:sz="4" w:space="0"/>
                    <w:bottom w:val="single" w:color="auto" w:sz="4" w:space="0"/>
                    <w:right w:val="single" w:color="auto" w:sz="4" w:space="0"/>
                  </w:tcBorders>
                  <w:vAlign w:val="center"/>
                </w:tcPr>
                <w:p w14:paraId="79691727">
                  <w:pPr>
                    <w:pStyle w:val="17"/>
                    <w:adjustRightInd w:val="0"/>
                    <w:snapToGrid w:val="0"/>
                    <w:jc w:val="center"/>
                    <w:rPr>
                      <w:rFonts w:hint="default" w:ascii="Times New Roman" w:hAnsi="Times New Roman" w:eastAsia="宋体" w:cs="Times New Roman"/>
                      <w:color w:val="000000" w:themeColor="text1"/>
                      <w:lang w:val="en-US" w:eastAsia="zh-CN"/>
                    </w:rPr>
                  </w:pPr>
                  <w:r>
                    <w:rPr>
                      <w:rFonts w:hint="eastAsia" w:ascii="Times New Roman" w:hAnsi="Times New Roman" w:cs="Times New Roman"/>
                      <w:color w:val="000000" w:themeColor="text1"/>
                      <w:lang w:val="en-US" w:eastAsia="zh-CN"/>
                    </w:rPr>
                    <w:t>变压器油</w:t>
                  </w:r>
                </w:p>
              </w:tc>
              <w:tc>
                <w:tcPr>
                  <w:tcW w:w="3646" w:type="pct"/>
                  <w:tcBorders>
                    <w:top w:val="single" w:color="auto" w:sz="4" w:space="0"/>
                    <w:left w:val="single" w:color="auto" w:sz="4" w:space="0"/>
                    <w:bottom w:val="single" w:color="auto" w:sz="4" w:space="0"/>
                    <w:right w:val="single" w:color="auto" w:sz="4" w:space="0"/>
                  </w:tcBorders>
                  <w:vAlign w:val="center"/>
                </w:tcPr>
                <w:p w14:paraId="66C9B01B">
                  <w:pPr>
                    <w:pStyle w:val="17"/>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变压器油是石油的一种分馏产物，它的主要成分是烷烃,环烷族饱和烃，芳香族不饱和烃等化合物。俗称方棚油，浅黄色透明液体，相对密度0.89</w:t>
                  </w:r>
                  <w:r>
                    <w:rPr>
                      <w:rFonts w:hint="eastAsia" w:ascii="Times New Roman" w:hAnsi="Times New Roman" w:cs="Times New Roman"/>
                      <w:color w:val="000000" w:themeColor="text1"/>
                      <w:lang w:val="en-US" w:eastAsia="zh-CN"/>
                    </w:rPr>
                    <w:t>6，</w:t>
                  </w:r>
                  <w:r>
                    <w:rPr>
                      <w:rFonts w:hint="default" w:ascii="Times New Roman" w:hAnsi="Times New Roman" w:cs="Times New Roman"/>
                      <w:color w:val="000000" w:themeColor="text1"/>
                    </w:rPr>
                    <w:t>闪点≥1</w:t>
                  </w:r>
                  <w:r>
                    <w:rPr>
                      <w:rFonts w:hint="eastAsia" w:ascii="Times New Roman" w:hAnsi="Times New Roman" w:cs="Times New Roman"/>
                      <w:color w:val="000000" w:themeColor="text1"/>
                      <w:lang w:val="en-US" w:eastAsia="zh-CN"/>
                    </w:rPr>
                    <w:t>49</w:t>
                  </w:r>
                  <w:r>
                    <w:rPr>
                      <w:rFonts w:hint="default" w:ascii="Times New Roman" w:hAnsi="Times New Roman" w:cs="Times New Roman"/>
                      <w:color w:val="000000" w:themeColor="text1"/>
                    </w:rPr>
                    <w:t>℃</w:t>
                  </w:r>
                  <w:r>
                    <w:rPr>
                      <w:rFonts w:hint="eastAsia" w:ascii="Times New Roman" w:hAnsi="Times New Roman" w:cs="Times New Roman"/>
                      <w:color w:val="000000" w:themeColor="text1"/>
                      <w:lang w:eastAsia="zh-CN"/>
                    </w:rPr>
                    <w:t>，</w:t>
                  </w:r>
                  <w:r>
                    <w:rPr>
                      <w:rFonts w:hint="default" w:ascii="Times New Roman" w:hAnsi="Times New Roman" w:cs="Times New Roman"/>
                      <w:color w:val="000000" w:themeColor="text1"/>
                    </w:rPr>
                    <w:t>运动黏度(</w:t>
                  </w:r>
                  <w:r>
                    <w:rPr>
                      <w:rFonts w:hint="eastAsia" w:ascii="Times New Roman" w:hAnsi="Times New Roman" w:cs="Times New Roman"/>
                      <w:color w:val="000000" w:themeColor="text1"/>
                      <w:lang w:val="en-US" w:eastAsia="zh-CN"/>
                    </w:rPr>
                    <w:t>4</w:t>
                  </w:r>
                  <w:r>
                    <w:rPr>
                      <w:rFonts w:hint="default" w:ascii="Times New Roman" w:hAnsi="Times New Roman" w:cs="Times New Roman"/>
                      <w:color w:val="000000" w:themeColor="text1"/>
                    </w:rPr>
                    <w:t>0℃)≤9.</w:t>
                  </w:r>
                  <w:r>
                    <w:rPr>
                      <w:rFonts w:hint="eastAsia" w:ascii="Times New Roman" w:hAnsi="Times New Roman" w:cs="Times New Roman"/>
                      <w:color w:val="000000" w:themeColor="text1"/>
                      <w:lang w:val="en-US" w:eastAsia="zh-CN"/>
                    </w:rPr>
                    <w:t>2</w:t>
                  </w:r>
                  <w:r>
                    <w:rPr>
                      <w:rFonts w:hint="default" w:ascii="Times New Roman" w:hAnsi="Times New Roman" w:cs="Times New Roman"/>
                      <w:color w:val="000000" w:themeColor="text1"/>
                    </w:rPr>
                    <w:t>×10</w:t>
                  </w:r>
                  <w:r>
                    <w:rPr>
                      <w:rFonts w:hint="default" w:ascii="Times New Roman" w:hAnsi="Times New Roman" w:cs="Times New Roman"/>
                      <w:color w:val="000000" w:themeColor="text1"/>
                      <w:vertAlign w:val="superscript"/>
                    </w:rPr>
                    <w:t>-6</w:t>
                  </w:r>
                  <w:r>
                    <w:rPr>
                      <w:rFonts w:hint="default" w:ascii="Times New Roman" w:hAnsi="Times New Roman" w:cs="Times New Roman"/>
                      <w:color w:val="000000" w:themeColor="text1"/>
                    </w:rPr>
                    <w:t>m</w:t>
                  </w:r>
                  <w:r>
                    <w:rPr>
                      <w:rFonts w:hint="eastAsia" w:ascii="Times New Roman" w:hAnsi="Times New Roman" w:cs="Times New Roman"/>
                      <w:color w:val="000000" w:themeColor="text1"/>
                      <w:vertAlign w:val="superscript"/>
                      <w:lang w:val="en-US" w:eastAsia="zh-CN"/>
                    </w:rPr>
                    <w:t>2</w:t>
                  </w:r>
                  <w:r>
                    <w:rPr>
                      <w:rFonts w:hint="default" w:ascii="Times New Roman" w:hAnsi="Times New Roman" w:cs="Times New Roman"/>
                      <w:color w:val="000000" w:themeColor="text1"/>
                    </w:rPr>
                    <w:t xml:space="preserve"> /s，酸值</w:t>
                  </w:r>
                  <w:r>
                    <w:rPr>
                      <w:rFonts w:hint="eastAsia" w:ascii="Times New Roman" w:hAnsi="Times New Roman" w:cs="Times New Roman"/>
                      <w:color w:val="000000" w:themeColor="text1"/>
                      <w:lang w:eastAsia="zh-CN"/>
                    </w:rPr>
                    <w:t>（</w:t>
                  </w:r>
                  <w:r>
                    <w:rPr>
                      <w:rFonts w:hint="eastAsia" w:ascii="Times New Roman" w:hAnsi="Times New Roman" w:cs="Times New Roman"/>
                      <w:color w:val="000000" w:themeColor="text1"/>
                      <w:lang w:val="en-US" w:eastAsia="zh-CN"/>
                    </w:rPr>
                    <w:t>以KOH计</w:t>
                  </w:r>
                  <w:r>
                    <w:rPr>
                      <w:rFonts w:hint="eastAsia" w:ascii="Times New Roman" w:hAnsi="Times New Roman" w:cs="Times New Roman"/>
                      <w:color w:val="000000" w:themeColor="text1"/>
                      <w:lang w:eastAsia="zh-CN"/>
                    </w:rPr>
                    <w:t>）</w:t>
                  </w:r>
                  <w:r>
                    <w:rPr>
                      <w:rFonts w:hint="default" w:ascii="Times New Roman" w:hAnsi="Times New Roman" w:cs="Times New Roman"/>
                      <w:color w:val="000000" w:themeColor="text1"/>
                    </w:rPr>
                    <w:t>≤0.0</w:t>
                  </w:r>
                  <w:r>
                    <w:rPr>
                      <w:rFonts w:hint="eastAsia" w:ascii="Times New Roman" w:hAnsi="Times New Roman" w:cs="Times New Roman"/>
                      <w:color w:val="000000" w:themeColor="text1"/>
                      <w:lang w:val="en-US" w:eastAsia="zh-CN"/>
                    </w:rPr>
                    <w:t>01</w:t>
                  </w:r>
                  <w:r>
                    <w:rPr>
                      <w:rFonts w:hint="default" w:ascii="Times New Roman" w:hAnsi="Times New Roman" w:cs="Times New Roman"/>
                      <w:color w:val="000000" w:themeColor="text1"/>
                    </w:rPr>
                    <w:t>mg/g，倾点</w:t>
                  </w:r>
                  <w:r>
                    <w:rPr>
                      <w:rFonts w:hint="eastAsia" w:ascii="Times New Roman" w:hAnsi="Times New Roman" w:cs="Times New Roman"/>
                      <w:color w:val="000000" w:themeColor="text1"/>
                      <w:lang w:val="en-US" w:eastAsia="zh-CN"/>
                    </w:rPr>
                    <w:t>≤</w:t>
                  </w:r>
                  <w:r>
                    <w:rPr>
                      <w:rFonts w:hint="default" w:ascii="Times New Roman" w:hAnsi="Times New Roman" w:cs="Times New Roman"/>
                      <w:color w:val="000000" w:themeColor="text1"/>
                    </w:rPr>
                    <w:t>-</w:t>
                  </w:r>
                  <w:r>
                    <w:rPr>
                      <w:rFonts w:hint="eastAsia" w:ascii="Times New Roman" w:hAnsi="Times New Roman" w:cs="Times New Roman"/>
                      <w:color w:val="000000" w:themeColor="text1"/>
                      <w:lang w:val="en-US" w:eastAsia="zh-CN"/>
                    </w:rPr>
                    <w:t>39</w:t>
                  </w:r>
                  <w:r>
                    <w:rPr>
                      <w:rFonts w:hint="default" w:ascii="Times New Roman" w:hAnsi="Times New Roman" w:cs="Times New Roman"/>
                      <w:color w:val="000000" w:themeColor="text1"/>
                    </w:rPr>
                    <w:t>℃</w:t>
                  </w:r>
                  <w:r>
                    <w:rPr>
                      <w:rFonts w:hint="eastAsia" w:ascii="Times New Roman" w:hAnsi="Times New Roman" w:cs="Times New Roman"/>
                      <w:color w:val="000000" w:themeColor="text1"/>
                      <w:lang w:eastAsia="zh-CN"/>
                    </w:rPr>
                    <w:t>，沸点在250</w:t>
                  </w:r>
                  <w:r>
                    <w:rPr>
                      <w:rFonts w:hint="default" w:ascii="Times New Roman" w:hAnsi="Times New Roman" w:cs="Times New Roman"/>
                      <w:color w:val="000000" w:themeColor="text1"/>
                      <w:lang w:val="en-US" w:eastAsia="zh-CN"/>
                    </w:rPr>
                    <w:t>℃</w:t>
                  </w:r>
                  <w:r>
                    <w:rPr>
                      <w:rFonts w:hint="eastAsia" w:ascii="Times New Roman" w:hAnsi="Times New Roman" w:cs="Times New Roman"/>
                      <w:color w:val="000000" w:themeColor="text1"/>
                      <w:lang w:eastAsia="zh-CN"/>
                    </w:rPr>
                    <w:t>至360</w:t>
                  </w:r>
                  <w:r>
                    <w:rPr>
                      <w:rFonts w:hint="default" w:ascii="Times New Roman" w:hAnsi="Times New Roman" w:cs="Times New Roman"/>
                      <w:color w:val="000000" w:themeColor="text1"/>
                      <w:lang w:val="en-US" w:eastAsia="zh-CN"/>
                    </w:rPr>
                    <w:t>℃</w:t>
                  </w:r>
                  <w:r>
                    <w:rPr>
                      <w:rFonts w:hint="eastAsia" w:ascii="Times New Roman" w:hAnsi="Times New Roman" w:cs="Times New Roman"/>
                      <w:color w:val="000000" w:themeColor="text1"/>
                      <w:lang w:eastAsia="zh-CN"/>
                    </w:rPr>
                    <w:t>之间</w:t>
                  </w:r>
                  <w:r>
                    <w:rPr>
                      <w:rFonts w:hint="default" w:ascii="Times New Roman" w:hAnsi="Times New Roman" w:cs="Times New Roman"/>
                      <w:color w:val="000000" w:themeColor="text1"/>
                    </w:rPr>
                    <w:t>。变压器油是天然石油中经过蒸馏、精炼而获得的一种矿物油，是石油中的润滑油馏份经酸碱精制处理得到纯净稳定、粘度小、绝缘性好、冷却性好的液体天然碳氢化合物的混合物。</w:t>
                  </w:r>
                </w:p>
              </w:tc>
            </w:tr>
            <w:tr w14:paraId="2299A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420" w:type="pct"/>
                  <w:tcBorders>
                    <w:top w:val="single" w:color="auto" w:sz="4" w:space="0"/>
                    <w:left w:val="single" w:color="auto" w:sz="4" w:space="0"/>
                    <w:bottom w:val="single" w:color="auto" w:sz="4" w:space="0"/>
                    <w:right w:val="single" w:color="auto" w:sz="4" w:space="0"/>
                  </w:tcBorders>
                  <w:vAlign w:val="center"/>
                </w:tcPr>
                <w:p w14:paraId="3770EDAB">
                  <w:pPr>
                    <w:jc w:val="center"/>
                    <w:rPr>
                      <w:rFonts w:hint="eastAsia" w:ascii="Times New Roman" w:hAnsi="Times New Roman" w:eastAsia="宋体" w:cs="Times New Roman"/>
                      <w:color w:val="000000" w:themeColor="text1"/>
                      <w:lang w:val="en-US" w:eastAsia="zh-CN"/>
                    </w:rPr>
                  </w:pPr>
                  <w:r>
                    <w:rPr>
                      <w:rFonts w:hint="eastAsia" w:cs="Times New Roman"/>
                      <w:color w:val="000000" w:themeColor="text1"/>
                      <w:lang w:val="en-US" w:eastAsia="zh-CN"/>
                    </w:rPr>
                    <w:t>5</w:t>
                  </w:r>
                </w:p>
              </w:tc>
              <w:tc>
                <w:tcPr>
                  <w:tcW w:w="933" w:type="pct"/>
                  <w:tcBorders>
                    <w:top w:val="single" w:color="auto" w:sz="4" w:space="0"/>
                    <w:left w:val="single" w:color="auto" w:sz="4" w:space="0"/>
                    <w:bottom w:val="single" w:color="auto" w:sz="4" w:space="0"/>
                    <w:right w:val="single" w:color="auto" w:sz="4" w:space="0"/>
                  </w:tcBorders>
                  <w:vAlign w:val="center"/>
                </w:tcPr>
                <w:p w14:paraId="1B59BAA0">
                  <w:pPr>
                    <w:pStyle w:val="17"/>
                    <w:adjustRightInd w:val="0"/>
                    <w:snapToGrid w:val="0"/>
                    <w:jc w:val="center"/>
                    <w:rPr>
                      <w:rFonts w:hint="eastAsia" w:ascii="Times New Roman" w:hAnsi="Times New Roman" w:eastAsia="宋体" w:cs="Times New Roman"/>
                      <w:color w:val="000000" w:themeColor="text1"/>
                      <w:lang w:val="en-US" w:eastAsia="zh-CN"/>
                    </w:rPr>
                  </w:pPr>
                  <w:r>
                    <w:rPr>
                      <w:rFonts w:hint="eastAsia" w:ascii="Times New Roman" w:hAnsi="Times New Roman" w:cs="Times New Roman"/>
                      <w:color w:val="000000" w:themeColor="text1"/>
                      <w:lang w:val="en-US" w:eastAsia="zh-CN"/>
                    </w:rPr>
                    <w:t>氧气</w:t>
                  </w:r>
                </w:p>
              </w:tc>
              <w:tc>
                <w:tcPr>
                  <w:tcW w:w="3646" w:type="pct"/>
                  <w:tcBorders>
                    <w:top w:val="single" w:color="auto" w:sz="4" w:space="0"/>
                    <w:left w:val="single" w:color="auto" w:sz="4" w:space="0"/>
                    <w:bottom w:val="single" w:color="auto" w:sz="4" w:space="0"/>
                    <w:right w:val="single" w:color="auto" w:sz="4" w:space="0"/>
                  </w:tcBorders>
                  <w:vAlign w:val="center"/>
                </w:tcPr>
                <w:p w14:paraId="2A874BE9">
                  <w:pPr>
                    <w:pStyle w:val="17"/>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无色无味气体，在金属的切割和焊接中。是用纯度3.5%-99.2%的氧气与可燃气（如乙炔）混合，产生极高温度的火焰，从而使金属熔融。熔点218.8℃，沸点-183.1℃，相对密度1.14（-183℃，水=1），相对蒸气密度 1.43（空气=1）；饱和蒸气压506.62kPa(-164℃)。氧气的化学性质比较活泼。除了稀有气体、活性小的金居元素如金、铂、银之外，大部分的元素都能与氧气反应。氧气钢瓶不得沾污油脂。采用钢瓶运输时必须戴好钢瓶上的安全帽，钢瓶一般平放，并应将瓶口朝同一方向，不可交叉，高度不得超过车辆的防护栏板，并用三角木垫卡牢，防止滚动。严禁与易燃物或可燃物、活性金属粉末等混装混运。</w:t>
                  </w:r>
                </w:p>
              </w:tc>
            </w:tr>
            <w:tr w14:paraId="17603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420" w:type="pct"/>
                  <w:tcBorders>
                    <w:top w:val="single" w:color="auto" w:sz="4" w:space="0"/>
                    <w:left w:val="single" w:color="auto" w:sz="4" w:space="0"/>
                    <w:bottom w:val="single" w:color="auto" w:sz="4" w:space="0"/>
                    <w:right w:val="single" w:color="auto" w:sz="4" w:space="0"/>
                  </w:tcBorders>
                  <w:vAlign w:val="center"/>
                </w:tcPr>
                <w:p w14:paraId="56238F44">
                  <w:pPr>
                    <w:jc w:val="center"/>
                    <w:rPr>
                      <w:rFonts w:hint="eastAsia" w:ascii="Times New Roman" w:hAnsi="Times New Roman" w:eastAsia="宋体" w:cs="Times New Roman"/>
                      <w:color w:val="000000" w:themeColor="text1"/>
                      <w:lang w:val="en-US" w:eastAsia="zh-CN"/>
                    </w:rPr>
                  </w:pPr>
                  <w:r>
                    <w:rPr>
                      <w:rFonts w:hint="eastAsia" w:cs="Times New Roman"/>
                      <w:color w:val="000000" w:themeColor="text1"/>
                      <w:lang w:val="en-US" w:eastAsia="zh-CN"/>
                    </w:rPr>
                    <w:t>6</w:t>
                  </w:r>
                </w:p>
              </w:tc>
              <w:tc>
                <w:tcPr>
                  <w:tcW w:w="933" w:type="pct"/>
                  <w:tcBorders>
                    <w:top w:val="single" w:color="auto" w:sz="4" w:space="0"/>
                    <w:left w:val="single" w:color="auto" w:sz="4" w:space="0"/>
                    <w:bottom w:val="single" w:color="auto" w:sz="4" w:space="0"/>
                    <w:right w:val="single" w:color="auto" w:sz="4" w:space="0"/>
                  </w:tcBorders>
                  <w:vAlign w:val="center"/>
                </w:tcPr>
                <w:p w14:paraId="51D8216F">
                  <w:pPr>
                    <w:pStyle w:val="17"/>
                    <w:adjustRightInd w:val="0"/>
                    <w:snapToGrid w:val="0"/>
                    <w:jc w:val="center"/>
                    <w:rPr>
                      <w:rFonts w:hint="eastAsia" w:ascii="Times New Roman" w:hAnsi="Times New Roman" w:eastAsia="宋体" w:cs="Times New Roman"/>
                      <w:color w:val="000000" w:themeColor="text1"/>
                      <w:lang w:val="en-US" w:eastAsia="zh-CN"/>
                    </w:rPr>
                  </w:pPr>
                  <w:r>
                    <w:rPr>
                      <w:rFonts w:hint="eastAsia" w:ascii="Times New Roman" w:hAnsi="Times New Roman" w:cs="Times New Roman"/>
                      <w:color w:val="000000" w:themeColor="text1"/>
                      <w:lang w:val="en-US" w:eastAsia="zh-CN"/>
                    </w:rPr>
                    <w:t>乙炔</w:t>
                  </w:r>
                </w:p>
              </w:tc>
              <w:tc>
                <w:tcPr>
                  <w:tcW w:w="3646" w:type="pct"/>
                  <w:tcBorders>
                    <w:top w:val="single" w:color="auto" w:sz="4" w:space="0"/>
                    <w:left w:val="single" w:color="auto" w:sz="4" w:space="0"/>
                    <w:bottom w:val="single" w:color="auto" w:sz="4" w:space="0"/>
                    <w:right w:val="single" w:color="auto" w:sz="4" w:space="0"/>
                  </w:tcBorders>
                  <w:shd w:val="clear" w:color="auto" w:fill="auto"/>
                  <w:vAlign w:val="center"/>
                </w:tcPr>
                <w:p w14:paraId="56E7B8E9">
                  <w:pPr>
                    <w:pStyle w:val="17"/>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纯乙炔在常温常压下是无色无味的、易燃的气体，化学式为C</w:t>
                  </w:r>
                  <w:r>
                    <w:rPr>
                      <w:rFonts w:hint="default" w:ascii="Times New Roman" w:hAnsi="Times New Roman" w:cs="Times New Roman"/>
                      <w:color w:val="000000" w:themeColor="text1"/>
                      <w:vertAlign w:val="subscript"/>
                    </w:rPr>
                    <w:t>2</w:t>
                  </w:r>
                  <w:r>
                    <w:rPr>
                      <w:rFonts w:hint="default" w:ascii="Times New Roman" w:hAnsi="Times New Roman" w:cs="Times New Roman"/>
                      <w:color w:val="000000" w:themeColor="text1"/>
                    </w:rPr>
                    <w:t>H</w:t>
                  </w:r>
                  <w:r>
                    <w:rPr>
                      <w:rFonts w:hint="default" w:ascii="Times New Roman" w:hAnsi="Times New Roman" w:cs="Times New Roman"/>
                      <w:color w:val="000000" w:themeColor="text1"/>
                      <w:vertAlign w:val="subscript"/>
                    </w:rPr>
                    <w:t>2</w:t>
                  </w:r>
                  <w:r>
                    <w:rPr>
                      <w:rFonts w:hint="default" w:ascii="Times New Roman" w:hAnsi="Times New Roman" w:cs="Times New Roman"/>
                      <w:color w:val="000000" w:themeColor="text1"/>
                    </w:rPr>
                    <w:t>，</w:t>
                  </w:r>
                </w:p>
                <w:p w14:paraId="327A18BF">
                  <w:pPr>
                    <w:pStyle w:val="17"/>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在工业上主要用于金属切割和焊接，因为它燃烧时能产生高温。乙炔的化学性质较为活泼，可发生中和反应、氧化还原反应、亲电加成和亲核加成等反应，由于乙炔在氧气中燃烧释放强热和强光，因此还被用于氧炔焊接夜航照明。乙炔微溶于水，但易溶于乙醇、丙酮、氯仿、苯等有机溶剂，并且能混溶于乙醚。其熔点为-81.81℃，沸点为-84℃。乙炔在贮存和运输过程中必须严格遵守安全规定，避免受热、震动和电火花等因素的触发。由于乙炔的易燃易爆性，使用时应确保有足够的通风条件，并远离火源和热源。</w:t>
                  </w:r>
                </w:p>
              </w:tc>
            </w:tr>
          </w:tbl>
          <w:p w14:paraId="75F34FF5">
            <w:pPr>
              <w:spacing w:line="360" w:lineRule="auto"/>
              <w:rPr>
                <w:rFonts w:hint="default" w:ascii="Times New Roman" w:hAnsi="Times New Roman" w:cs="Times New Roman"/>
                <w:b w:val="0"/>
                <w:bCs w:val="0"/>
                <w:color w:val="000000" w:themeColor="text1"/>
                <w:sz w:val="24"/>
                <w:szCs w:val="24"/>
                <w:lang w:val="en-US" w:eastAsia="zh-CN"/>
              </w:rPr>
            </w:pPr>
            <w:r>
              <w:rPr>
                <w:rFonts w:hint="eastAsia" w:cs="Times New Roman"/>
                <w:b/>
                <w:bCs/>
                <w:color w:val="000000" w:themeColor="text1"/>
                <w:sz w:val="24"/>
                <w:szCs w:val="24"/>
                <w:lang w:val="en-US" w:eastAsia="zh-CN"/>
              </w:rPr>
              <w:t>注：</w:t>
            </w:r>
            <w:r>
              <w:rPr>
                <w:rFonts w:hint="eastAsia" w:cs="Times New Roman"/>
                <w:b w:val="0"/>
                <w:bCs w:val="0"/>
                <w:color w:val="000000" w:themeColor="text1"/>
                <w:sz w:val="24"/>
                <w:szCs w:val="24"/>
                <w:lang w:val="en-US" w:eastAsia="zh-CN"/>
              </w:rPr>
              <w:t>根据企业提供的环氧树脂A、B料工作液的VOCs检测报告，其VOCs含量为29.8g/kg，低于《胶粘剂挥发性有机化合物限量》GB33372-2020）中本体型胶黏剂VOCs含量要求（50g/kg）。</w:t>
            </w:r>
          </w:p>
          <w:p w14:paraId="0413FE84">
            <w:pPr>
              <w:spacing w:line="360" w:lineRule="auto"/>
              <w:ind w:firstLine="482" w:firstLineChars="200"/>
              <w:rPr>
                <w:rFonts w:hint="default" w:ascii="Times New Roman" w:hAnsi="Times New Roman" w:cs="Times New Roman"/>
                <w:b/>
                <w:bCs/>
                <w:color w:val="000000" w:themeColor="text1"/>
                <w:sz w:val="24"/>
                <w:szCs w:val="24"/>
                <w:lang w:val="en-US" w:eastAsia="zh-CN"/>
              </w:rPr>
            </w:pPr>
            <w:r>
              <w:rPr>
                <w:rFonts w:hint="eastAsia" w:ascii="Times New Roman" w:hAnsi="Times New Roman" w:cs="Times New Roman"/>
                <w:b/>
                <w:bCs/>
                <w:color w:val="000000" w:themeColor="text1"/>
                <w:sz w:val="24"/>
                <w:szCs w:val="24"/>
                <w:lang w:val="en-US" w:eastAsia="zh-CN"/>
              </w:rPr>
              <w:t>六、公用工程</w:t>
            </w:r>
          </w:p>
          <w:p w14:paraId="66E60EBF">
            <w:pPr>
              <w:spacing w:line="360" w:lineRule="auto"/>
              <w:ind w:firstLine="480" w:firstLineChars="200"/>
              <w:rPr>
                <w:rFonts w:hint="default" w:ascii="Times New Roman" w:hAnsi="Times New Roman" w:eastAsia="宋体" w:cs="Times New Roman"/>
                <w:bCs/>
                <w:color w:val="000000" w:themeColor="text1"/>
                <w:sz w:val="24"/>
                <w:lang w:val="en-US" w:eastAsia="zh-CN"/>
              </w:rPr>
            </w:pPr>
            <w:r>
              <w:rPr>
                <w:rFonts w:hint="eastAsia" w:ascii="Times New Roman" w:hAnsi="Times New Roman" w:eastAsia="宋体" w:cs="Times New Roman"/>
                <w:bCs/>
                <w:color w:val="000000" w:themeColor="text1"/>
                <w:sz w:val="24"/>
                <w:lang w:val="en-US" w:eastAsia="zh-CN"/>
              </w:rPr>
              <w:t>（1）</w:t>
            </w:r>
            <w:r>
              <w:rPr>
                <w:rFonts w:hint="default" w:ascii="Times New Roman" w:hAnsi="Times New Roman" w:eastAsia="宋体" w:cs="Times New Roman"/>
                <w:bCs/>
                <w:color w:val="000000" w:themeColor="text1"/>
                <w:sz w:val="24"/>
                <w:lang w:val="en-US" w:eastAsia="zh-CN"/>
              </w:rPr>
              <w:t>给水</w:t>
            </w:r>
          </w:p>
          <w:p w14:paraId="185EDF38">
            <w:pPr>
              <w:spacing w:line="360" w:lineRule="auto"/>
              <w:ind w:firstLine="480" w:firstLineChars="200"/>
              <w:rPr>
                <w:rFonts w:hint="default" w:ascii="Times New Roman" w:hAnsi="Times New Roman" w:eastAsia="宋体" w:cs="Times New Roman"/>
                <w:bCs/>
                <w:color w:val="000000" w:themeColor="text1"/>
                <w:sz w:val="24"/>
                <w:lang w:val="en-US" w:eastAsia="zh-CN"/>
              </w:rPr>
            </w:pPr>
            <w:r>
              <w:rPr>
                <w:rFonts w:hint="default" w:ascii="Times New Roman" w:hAnsi="Times New Roman" w:eastAsia="宋体" w:cs="Times New Roman"/>
                <w:bCs/>
                <w:color w:val="000000" w:themeColor="text1"/>
                <w:sz w:val="24"/>
                <w:lang w:val="en-US" w:eastAsia="zh-CN"/>
              </w:rPr>
              <w:t>项目供水依托</w:t>
            </w:r>
            <w:r>
              <w:rPr>
                <w:rFonts w:hint="eastAsia" w:ascii="Times New Roman" w:hAnsi="Times New Roman" w:eastAsia="宋体" w:cs="Times New Roman"/>
                <w:bCs/>
                <w:color w:val="000000" w:themeColor="text1"/>
                <w:sz w:val="24"/>
                <w:lang w:val="en-US" w:eastAsia="zh-CN"/>
              </w:rPr>
              <w:t>租赁厂区</w:t>
            </w:r>
            <w:r>
              <w:rPr>
                <w:rFonts w:hint="default" w:ascii="Times New Roman" w:hAnsi="Times New Roman" w:eastAsia="宋体" w:cs="Times New Roman"/>
                <w:bCs/>
                <w:color w:val="000000" w:themeColor="text1"/>
                <w:sz w:val="24"/>
                <w:lang w:val="en-US" w:eastAsia="zh-CN"/>
              </w:rPr>
              <w:t>，生活</w:t>
            </w:r>
            <w:r>
              <w:rPr>
                <w:rFonts w:hint="eastAsia" w:ascii="Times New Roman" w:hAnsi="Times New Roman" w:eastAsia="宋体" w:cs="Times New Roman"/>
                <w:bCs/>
                <w:color w:val="000000" w:themeColor="text1"/>
                <w:sz w:val="24"/>
                <w:lang w:val="en-US" w:eastAsia="zh-CN"/>
              </w:rPr>
              <w:t>用水来自杜集开发区市政自来水</w:t>
            </w:r>
            <w:r>
              <w:rPr>
                <w:rFonts w:hint="eastAsia" w:cs="Times New Roman"/>
                <w:bCs/>
                <w:color w:val="000000" w:themeColor="text1"/>
                <w:sz w:val="24"/>
                <w:lang w:val="en-US" w:eastAsia="zh-CN"/>
              </w:rPr>
              <w:t>，不涉及生产用水，车间保洁方式采用干式保洁</w:t>
            </w:r>
            <w:r>
              <w:rPr>
                <w:rFonts w:hint="default" w:ascii="Times New Roman" w:hAnsi="Times New Roman" w:eastAsia="宋体" w:cs="Times New Roman"/>
                <w:bCs/>
                <w:color w:val="000000" w:themeColor="text1"/>
                <w:sz w:val="24"/>
                <w:lang w:val="en-US" w:eastAsia="zh-CN"/>
              </w:rPr>
              <w:t>。</w:t>
            </w:r>
          </w:p>
          <w:p w14:paraId="47AB3A0E">
            <w:pPr>
              <w:pBdr>
                <w:top w:val="none" w:color="auto" w:sz="0" w:space="1"/>
                <w:bottom w:val="none" w:color="auto" w:sz="0" w:space="1"/>
              </w:pBdr>
              <w:spacing w:line="360" w:lineRule="auto"/>
              <w:ind w:firstLine="480" w:firstLineChars="200"/>
              <w:rPr>
                <w:rFonts w:ascii="Times New Roman" w:hAnsi="Times New Roman" w:cs="Times New Roman"/>
                <w:bCs/>
                <w:color w:val="000000" w:themeColor="text1"/>
                <w:sz w:val="24"/>
              </w:rPr>
            </w:pPr>
            <w:r>
              <w:rPr>
                <w:rFonts w:hint="eastAsia" w:ascii="Times New Roman" w:hAnsi="Times New Roman" w:cs="Times New Roman"/>
                <w:bCs/>
                <w:color w:val="000000" w:themeColor="text1"/>
                <w:sz w:val="24"/>
                <w:lang w:eastAsia="zh-CN"/>
              </w:rPr>
              <w:t>（</w:t>
            </w:r>
            <w:r>
              <w:rPr>
                <w:rFonts w:hint="eastAsia" w:ascii="Times New Roman" w:hAnsi="Times New Roman" w:cs="Times New Roman"/>
                <w:bCs/>
                <w:color w:val="000000" w:themeColor="text1"/>
                <w:sz w:val="24"/>
                <w:lang w:val="en-US" w:eastAsia="zh-CN"/>
              </w:rPr>
              <w:t>2</w:t>
            </w:r>
            <w:r>
              <w:rPr>
                <w:rFonts w:hint="eastAsia" w:ascii="Times New Roman" w:hAnsi="Times New Roman" w:cs="Times New Roman"/>
                <w:bCs/>
                <w:color w:val="000000" w:themeColor="text1"/>
                <w:sz w:val="24"/>
                <w:lang w:eastAsia="zh-CN"/>
              </w:rPr>
              <w:t>）</w:t>
            </w:r>
            <w:r>
              <w:rPr>
                <w:rFonts w:ascii="Times New Roman" w:hAnsi="Times New Roman" w:cs="Times New Roman"/>
                <w:bCs/>
                <w:color w:val="000000" w:themeColor="text1"/>
                <w:sz w:val="24"/>
              </w:rPr>
              <w:t>排水</w:t>
            </w:r>
          </w:p>
          <w:p w14:paraId="762FD3C8">
            <w:pPr>
              <w:spacing w:line="360" w:lineRule="auto"/>
              <w:ind w:firstLine="480" w:firstLineChars="200"/>
              <w:rPr>
                <w:rFonts w:hint="default" w:eastAsia="宋体" w:cs="宋体"/>
                <w:color w:val="000000" w:themeColor="text1"/>
                <w:sz w:val="24"/>
                <w:lang w:val="en-US" w:eastAsia="zh-CN"/>
              </w:rPr>
            </w:pPr>
            <w:r>
              <w:rPr>
                <w:rFonts w:hint="default" w:eastAsia="宋体" w:cs="宋体"/>
                <w:color w:val="000000" w:themeColor="text1"/>
                <w:sz w:val="24"/>
                <w:lang w:val="en-US" w:eastAsia="zh-CN"/>
              </w:rPr>
              <w:t>厂区排水采取</w:t>
            </w:r>
            <w:r>
              <w:rPr>
                <w:rFonts w:hint="eastAsia" w:eastAsia="宋体" w:cs="宋体"/>
                <w:color w:val="000000" w:themeColor="text1"/>
                <w:sz w:val="24"/>
                <w:lang w:val="en-US" w:eastAsia="zh-CN"/>
              </w:rPr>
              <w:t>“</w:t>
            </w:r>
            <w:r>
              <w:rPr>
                <w:rFonts w:hint="default" w:eastAsia="宋体" w:cs="宋体"/>
                <w:color w:val="000000" w:themeColor="text1"/>
                <w:sz w:val="24"/>
                <w:lang w:val="en-US" w:eastAsia="zh-CN"/>
              </w:rPr>
              <w:t>雨污分流</w:t>
            </w:r>
            <w:r>
              <w:rPr>
                <w:rFonts w:hint="eastAsia" w:eastAsia="宋体" w:cs="宋体"/>
                <w:color w:val="000000" w:themeColor="text1"/>
                <w:sz w:val="24"/>
                <w:lang w:val="en-US" w:eastAsia="zh-CN"/>
              </w:rPr>
              <w:t>”</w:t>
            </w:r>
            <w:r>
              <w:rPr>
                <w:rFonts w:hint="default" w:eastAsia="宋体" w:cs="宋体"/>
                <w:color w:val="000000" w:themeColor="text1"/>
                <w:sz w:val="24"/>
                <w:lang w:val="en-US" w:eastAsia="zh-CN"/>
              </w:rPr>
              <w:t>体制。雨水经厂区雨水管网收集后排入市政雨水管网</w:t>
            </w:r>
            <w:r>
              <w:rPr>
                <w:rFonts w:hint="eastAsia" w:eastAsia="宋体" w:cs="宋体"/>
                <w:color w:val="000000" w:themeColor="text1"/>
                <w:sz w:val="24"/>
                <w:lang w:val="en-US" w:eastAsia="zh-CN"/>
              </w:rPr>
              <w:t>；</w:t>
            </w:r>
            <w:r>
              <w:rPr>
                <w:rFonts w:hint="default" w:eastAsia="宋体" w:cs="宋体"/>
                <w:color w:val="000000" w:themeColor="text1"/>
                <w:sz w:val="24"/>
                <w:lang w:val="en-US" w:eastAsia="zh-CN"/>
              </w:rPr>
              <w:t>生活污水经化粪池预处理后</w:t>
            </w:r>
            <w:r>
              <w:rPr>
                <w:rFonts w:hint="eastAsia" w:eastAsia="宋体" w:cs="宋体"/>
                <w:color w:val="000000" w:themeColor="text1"/>
                <w:sz w:val="24"/>
                <w:lang w:val="en-US" w:eastAsia="zh-CN"/>
              </w:rPr>
              <w:t>通过市政污水管网</w:t>
            </w:r>
            <w:r>
              <w:rPr>
                <w:rFonts w:hint="default" w:eastAsia="宋体" w:cs="宋体"/>
                <w:color w:val="000000" w:themeColor="text1"/>
                <w:sz w:val="24"/>
                <w:lang w:val="en-US" w:eastAsia="zh-CN"/>
              </w:rPr>
              <w:t>排入</w:t>
            </w:r>
            <w:r>
              <w:rPr>
                <w:rFonts w:hint="eastAsia" w:eastAsia="宋体" w:cs="宋体"/>
                <w:color w:val="000000" w:themeColor="text1"/>
                <w:sz w:val="24"/>
                <w:lang w:val="en-US" w:eastAsia="zh-CN"/>
              </w:rPr>
              <w:t>龙湖污水处理厂，处理达标后的尾水排入龙河。</w:t>
            </w:r>
          </w:p>
          <w:p w14:paraId="56DBB226">
            <w:pPr>
              <w:spacing w:line="360" w:lineRule="auto"/>
              <w:ind w:firstLine="480" w:firstLineChars="200"/>
              <w:rPr>
                <w:rFonts w:ascii="Times New Roman" w:hAnsi="Times New Roman" w:eastAsia="宋体" w:cs="Times New Roman"/>
                <w:bCs/>
                <w:color w:val="000000" w:themeColor="text1"/>
                <w:sz w:val="24"/>
              </w:rPr>
            </w:pPr>
            <w:r>
              <w:rPr>
                <w:rFonts w:hint="eastAsia" w:ascii="Times New Roman" w:hAnsi="Times New Roman" w:eastAsia="宋体" w:cs="Times New Roman"/>
                <w:bCs/>
                <w:color w:val="000000" w:themeColor="text1"/>
                <w:sz w:val="24"/>
                <w:lang w:eastAsia="zh-CN"/>
              </w:rPr>
              <w:t>（</w:t>
            </w:r>
            <w:r>
              <w:rPr>
                <w:rFonts w:hint="eastAsia" w:ascii="Times New Roman" w:hAnsi="Times New Roman" w:eastAsia="宋体" w:cs="Times New Roman"/>
                <w:bCs/>
                <w:color w:val="000000" w:themeColor="text1"/>
                <w:sz w:val="24"/>
                <w:lang w:val="en-US" w:eastAsia="zh-CN"/>
              </w:rPr>
              <w:t>3</w:t>
            </w:r>
            <w:r>
              <w:rPr>
                <w:rFonts w:hint="eastAsia" w:ascii="Times New Roman" w:hAnsi="Times New Roman" w:eastAsia="宋体" w:cs="Times New Roman"/>
                <w:bCs/>
                <w:color w:val="000000" w:themeColor="text1"/>
                <w:sz w:val="24"/>
                <w:lang w:eastAsia="zh-CN"/>
              </w:rPr>
              <w:t>）</w:t>
            </w:r>
            <w:r>
              <w:rPr>
                <w:rFonts w:ascii="Times New Roman" w:hAnsi="Times New Roman" w:eastAsia="宋体" w:cs="Times New Roman"/>
                <w:bCs/>
                <w:color w:val="000000" w:themeColor="text1"/>
                <w:sz w:val="24"/>
              </w:rPr>
              <w:t>供电</w:t>
            </w:r>
          </w:p>
          <w:p w14:paraId="1E26493E">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eastAsia="宋体" w:cs="宋体"/>
                <w:color w:val="000000" w:themeColor="text1"/>
                <w:sz w:val="24"/>
                <w:lang w:val="en-US" w:eastAsia="zh-CN"/>
              </w:rPr>
            </w:pPr>
            <w:r>
              <w:rPr>
                <w:rFonts w:hint="eastAsia" w:eastAsia="宋体" w:cs="宋体"/>
                <w:color w:val="000000" w:themeColor="text1"/>
                <w:sz w:val="24"/>
                <w:lang w:val="en-US" w:eastAsia="zh-CN"/>
              </w:rPr>
              <w:t>项目用电来自杜集开发区</w:t>
            </w:r>
            <w:r>
              <w:rPr>
                <w:rFonts w:hint="default" w:eastAsia="宋体" w:cs="宋体"/>
                <w:color w:val="000000" w:themeColor="text1"/>
                <w:sz w:val="24"/>
                <w:lang w:val="en-US" w:eastAsia="zh-CN"/>
              </w:rPr>
              <w:t>市政供电管网。</w:t>
            </w:r>
          </w:p>
          <w:p w14:paraId="7DBC3F8E">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eastAsia" w:eastAsia="宋体" w:cs="宋体"/>
                <w:color w:val="000000" w:themeColor="text1"/>
                <w:sz w:val="24"/>
                <w:lang w:val="en-US" w:eastAsia="zh-CN"/>
              </w:rPr>
            </w:pPr>
            <w:r>
              <w:rPr>
                <w:rFonts w:hint="eastAsia" w:eastAsia="宋体" w:cs="宋体"/>
                <w:color w:val="000000" w:themeColor="text1"/>
                <w:sz w:val="24"/>
                <w:lang w:val="en-US" w:eastAsia="zh-CN"/>
              </w:rPr>
              <w:t>（4）项目供暖及制冷</w:t>
            </w:r>
          </w:p>
          <w:p w14:paraId="54541635">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eastAsia" w:eastAsia="宋体" w:cs="宋体"/>
                <w:color w:val="000000" w:themeColor="text1"/>
                <w:sz w:val="24"/>
              </w:rPr>
            </w:pPr>
            <w:r>
              <w:rPr>
                <w:rFonts w:hint="eastAsia" w:eastAsia="宋体" w:cs="宋体"/>
                <w:color w:val="000000" w:themeColor="text1"/>
                <w:sz w:val="24"/>
                <w:lang w:val="en-US" w:eastAsia="zh-CN"/>
              </w:rPr>
              <w:t>厂区办公区等处采用分体空调夏天制冷、冬季供热</w:t>
            </w:r>
            <w:r>
              <w:rPr>
                <w:rFonts w:hint="eastAsia" w:eastAsia="宋体" w:cs="宋体"/>
                <w:color w:val="000000" w:themeColor="text1"/>
                <w:sz w:val="24"/>
              </w:rPr>
              <w:t>。</w:t>
            </w:r>
          </w:p>
          <w:p w14:paraId="40C29336">
            <w:pPr>
              <w:spacing w:line="360" w:lineRule="auto"/>
              <w:ind w:firstLine="482" w:firstLineChars="200"/>
              <w:jc w:val="left"/>
              <w:rPr>
                <w:rFonts w:hint="default" w:ascii="Times New Roman" w:hAnsi="Times New Roman" w:cs="Times New Roman"/>
                <w:b/>
                <w:bCs/>
                <w:color w:val="000000" w:themeColor="text1"/>
                <w:sz w:val="24"/>
                <w:szCs w:val="24"/>
              </w:rPr>
            </w:pPr>
            <w:r>
              <w:rPr>
                <w:rFonts w:hint="default" w:ascii="Times New Roman" w:hAnsi="Times New Roman" w:cs="Times New Roman"/>
                <w:b/>
                <w:bCs/>
                <w:color w:val="000000" w:themeColor="text1"/>
                <w:sz w:val="24"/>
                <w:szCs w:val="24"/>
              </w:rPr>
              <w:t>七、劳动定员及工作制度</w:t>
            </w:r>
          </w:p>
          <w:p w14:paraId="5CD94EB4">
            <w:pPr>
              <w:pStyle w:val="107"/>
              <w:ind w:firstLine="480"/>
              <w:jc w:val="left"/>
              <w:rPr>
                <w:rFonts w:hint="default" w:ascii="Times New Roman" w:hAnsi="Times New Roman" w:cs="Times New Roman"/>
                <w:color w:val="000000" w:themeColor="text1"/>
              </w:rPr>
            </w:pPr>
            <w:r>
              <w:rPr>
                <w:rFonts w:hint="default" w:ascii="Times New Roman" w:hAnsi="Times New Roman" w:cs="Times New Roman"/>
                <w:color w:val="000000" w:themeColor="text1"/>
              </w:rPr>
              <w:t>项目劳动定员</w:t>
            </w:r>
            <w:r>
              <w:rPr>
                <w:rFonts w:hint="eastAsia" w:cs="Times New Roman"/>
                <w:color w:val="000000" w:themeColor="text1"/>
                <w:lang w:val="en-US" w:eastAsia="zh-CN"/>
              </w:rPr>
              <w:t>20</w:t>
            </w:r>
            <w:r>
              <w:rPr>
                <w:rFonts w:hint="default" w:ascii="Times New Roman" w:hAnsi="Times New Roman" w:cs="Times New Roman"/>
                <w:color w:val="000000" w:themeColor="text1"/>
              </w:rPr>
              <w:t>人</w:t>
            </w:r>
            <w:r>
              <w:rPr>
                <w:rFonts w:hint="eastAsia" w:cs="Times New Roman"/>
                <w:color w:val="000000" w:themeColor="text1"/>
                <w:lang w:eastAsia="zh-CN"/>
              </w:rPr>
              <w:t>（</w:t>
            </w:r>
            <w:r>
              <w:rPr>
                <w:rFonts w:hint="eastAsia" w:cs="Times New Roman"/>
                <w:color w:val="000000" w:themeColor="text1"/>
                <w:lang w:val="en-US" w:eastAsia="zh-CN"/>
              </w:rPr>
              <w:t>搬迁后人员不变</w:t>
            </w:r>
            <w:r>
              <w:rPr>
                <w:rFonts w:hint="eastAsia" w:cs="Times New Roman"/>
                <w:color w:val="000000" w:themeColor="text1"/>
                <w:lang w:eastAsia="zh-CN"/>
              </w:rPr>
              <w:t>）</w:t>
            </w:r>
            <w:r>
              <w:rPr>
                <w:rFonts w:hint="default" w:ascii="Times New Roman" w:hAnsi="Times New Roman" w:cs="Times New Roman"/>
                <w:color w:val="000000" w:themeColor="text1"/>
              </w:rPr>
              <w:t>，</w:t>
            </w:r>
            <w:r>
              <w:rPr>
                <w:rFonts w:hint="eastAsia" w:cs="Times New Roman"/>
                <w:color w:val="000000" w:themeColor="text1"/>
                <w:lang w:val="en-US" w:eastAsia="zh-CN"/>
              </w:rPr>
              <w:t>一</w:t>
            </w:r>
            <w:r>
              <w:rPr>
                <w:rFonts w:hint="default" w:ascii="Times New Roman" w:hAnsi="Times New Roman" w:cs="Times New Roman"/>
                <w:color w:val="000000" w:themeColor="text1"/>
              </w:rPr>
              <w:t>班制，每班8小时，年工作300天。</w:t>
            </w:r>
          </w:p>
          <w:p w14:paraId="0C4486A4">
            <w:pPr>
              <w:autoSpaceDE w:val="0"/>
              <w:autoSpaceDN w:val="0"/>
              <w:adjustRightInd w:val="0"/>
              <w:snapToGrid w:val="0"/>
              <w:spacing w:line="360" w:lineRule="auto"/>
              <w:ind w:firstLine="482" w:firstLineChars="200"/>
              <w:jc w:val="left"/>
              <w:rPr>
                <w:rFonts w:hint="default" w:ascii="Times New Roman" w:hAnsi="Times New Roman" w:cs="Times New Roman"/>
                <w:b/>
                <w:bCs/>
                <w:color w:val="000000" w:themeColor="text1"/>
                <w:sz w:val="24"/>
                <w:szCs w:val="24"/>
              </w:rPr>
            </w:pPr>
            <w:r>
              <w:rPr>
                <w:rFonts w:hint="default" w:ascii="Times New Roman" w:hAnsi="Times New Roman" w:cs="Times New Roman"/>
                <w:b/>
                <w:bCs/>
                <w:color w:val="000000" w:themeColor="text1"/>
                <w:kern w:val="0"/>
                <w:sz w:val="24"/>
                <w:szCs w:val="24"/>
              </w:rPr>
              <w:t>八、</w:t>
            </w:r>
            <w:r>
              <w:rPr>
                <w:rFonts w:hint="default" w:ascii="Times New Roman" w:hAnsi="Times New Roman" w:cs="Times New Roman"/>
                <w:b/>
                <w:bCs/>
                <w:color w:val="000000" w:themeColor="text1"/>
                <w:sz w:val="24"/>
                <w:szCs w:val="24"/>
              </w:rPr>
              <w:t>总平面布置合理性分析</w:t>
            </w:r>
          </w:p>
          <w:p w14:paraId="50AFC63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kern w:val="0"/>
                <w:sz w:val="24"/>
                <w:szCs w:val="24"/>
                <w:lang w:val="en-US" w:eastAsia="zh-CN"/>
              </w:rPr>
            </w:pPr>
            <w:r>
              <w:rPr>
                <w:rFonts w:hint="default" w:ascii="Times New Roman" w:hAnsi="Times New Roman" w:cs="Times New Roman"/>
                <w:color w:val="000000" w:themeColor="text1"/>
                <w:kern w:val="0"/>
                <w:sz w:val="24"/>
                <w:szCs w:val="24"/>
              </w:rPr>
              <w:t>本项目位于</w:t>
            </w:r>
            <w:r>
              <w:rPr>
                <w:rFonts w:hint="eastAsia" w:cs="Times New Roman"/>
                <w:color w:val="000000" w:themeColor="text1"/>
                <w:kern w:val="0"/>
                <w:sz w:val="24"/>
                <w:szCs w:val="24"/>
                <w:lang w:eastAsia="zh-CN"/>
              </w:rPr>
              <w:t>安徽省淮北市杜集区经济开发区发展路10号</w:t>
            </w:r>
            <w:r>
              <w:rPr>
                <w:rFonts w:hint="default" w:ascii="Times New Roman" w:hAnsi="Times New Roman" w:cs="Times New Roman"/>
                <w:color w:val="000000" w:themeColor="text1"/>
                <w:kern w:val="0"/>
                <w:sz w:val="24"/>
                <w:szCs w:val="24"/>
              </w:rPr>
              <w:t>，生产车间自</w:t>
            </w:r>
            <w:r>
              <w:rPr>
                <w:rFonts w:hint="eastAsia" w:cs="Times New Roman"/>
                <w:color w:val="000000" w:themeColor="text1"/>
                <w:kern w:val="0"/>
                <w:sz w:val="24"/>
                <w:szCs w:val="24"/>
                <w:lang w:val="en-US" w:eastAsia="zh-CN"/>
              </w:rPr>
              <w:t>东</w:t>
            </w:r>
            <w:r>
              <w:rPr>
                <w:rFonts w:hint="default" w:ascii="Times New Roman" w:hAnsi="Times New Roman" w:cs="Times New Roman"/>
                <w:color w:val="000000" w:themeColor="text1"/>
                <w:kern w:val="0"/>
                <w:sz w:val="24"/>
                <w:szCs w:val="24"/>
              </w:rPr>
              <w:t>往</w:t>
            </w:r>
            <w:r>
              <w:rPr>
                <w:rFonts w:hint="eastAsia" w:cs="Times New Roman"/>
                <w:color w:val="000000" w:themeColor="text1"/>
                <w:kern w:val="0"/>
                <w:sz w:val="24"/>
                <w:szCs w:val="24"/>
                <w:lang w:val="en-US" w:eastAsia="zh-CN"/>
              </w:rPr>
              <w:t>西</w:t>
            </w:r>
            <w:r>
              <w:rPr>
                <w:rFonts w:hint="default" w:ascii="Times New Roman" w:hAnsi="Times New Roman" w:cs="Times New Roman"/>
                <w:color w:val="000000" w:themeColor="text1"/>
                <w:kern w:val="0"/>
                <w:sz w:val="24"/>
                <w:szCs w:val="24"/>
              </w:rPr>
              <w:t>依次布置</w:t>
            </w:r>
            <w:r>
              <w:rPr>
                <w:rFonts w:hint="eastAsia" w:cs="Times New Roman"/>
                <w:color w:val="000000" w:themeColor="text1"/>
                <w:kern w:val="0"/>
                <w:sz w:val="24"/>
                <w:szCs w:val="24"/>
                <w:lang w:val="en-US" w:eastAsia="zh-CN"/>
              </w:rPr>
              <w:t>成品区、试验区</w:t>
            </w:r>
            <w:r>
              <w:rPr>
                <w:rFonts w:hint="default" w:ascii="Times New Roman" w:hAnsi="Times New Roman" w:cs="Times New Roman"/>
                <w:color w:val="000000" w:themeColor="text1"/>
                <w:kern w:val="0"/>
                <w:sz w:val="24"/>
                <w:szCs w:val="24"/>
              </w:rPr>
              <w:t>、</w:t>
            </w:r>
            <w:r>
              <w:rPr>
                <w:rFonts w:hint="eastAsia" w:cs="Times New Roman"/>
                <w:color w:val="000000" w:themeColor="text1"/>
                <w:kern w:val="0"/>
                <w:sz w:val="24"/>
                <w:szCs w:val="24"/>
                <w:lang w:val="en-US" w:eastAsia="zh-CN"/>
              </w:rPr>
              <w:t>绕线区、组装区、储油罐、浇筑固化区</w:t>
            </w:r>
            <w:r>
              <w:rPr>
                <w:rFonts w:hint="default" w:ascii="Times New Roman" w:hAnsi="Times New Roman" w:cs="Times New Roman"/>
                <w:color w:val="000000" w:themeColor="text1"/>
                <w:kern w:val="0"/>
                <w:sz w:val="24"/>
                <w:szCs w:val="24"/>
              </w:rPr>
              <w:t>等。</w:t>
            </w:r>
            <w:r>
              <w:rPr>
                <w:rFonts w:hint="eastAsia" w:cs="Times New Roman"/>
                <w:color w:val="000000" w:themeColor="text1"/>
                <w:kern w:val="0"/>
                <w:sz w:val="24"/>
                <w:szCs w:val="24"/>
                <w:lang w:val="en-US" w:eastAsia="zh-CN"/>
              </w:rPr>
              <w:t>项目设置一套干式过滤棉+二级活性炭废气治理措施，位于车间外南侧区域，租赁厂区的雨水排放口位于厂区东北角，污水排放口位于厂区的东南角。</w:t>
            </w:r>
          </w:p>
          <w:p w14:paraId="52430FB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kern w:val="0"/>
                <w:sz w:val="24"/>
                <w:szCs w:val="24"/>
              </w:rPr>
            </w:pPr>
            <w:r>
              <w:rPr>
                <w:rFonts w:hint="default" w:ascii="Times New Roman" w:hAnsi="Times New Roman" w:cs="Times New Roman"/>
                <w:color w:val="000000" w:themeColor="text1"/>
                <w:kern w:val="0"/>
                <w:sz w:val="24"/>
                <w:szCs w:val="24"/>
              </w:rPr>
              <w:t>项目生产区按生产工艺流程顺序进行合理布局，做到物顺其流，人行其畅。即物、料按生产流程顺序，以最短的路线传递，避免往返交叉，最大限度地减少差错</w:t>
            </w:r>
            <w:r>
              <w:rPr>
                <w:rFonts w:hint="default" w:ascii="Times New Roman" w:hAnsi="Times New Roman" w:eastAsia="宋体" w:cs="Times New Roman"/>
                <w:color w:val="000000" w:themeColor="text1"/>
                <w:kern w:val="0"/>
                <w:sz w:val="24"/>
                <w:szCs w:val="24"/>
              </w:rPr>
              <w:t>和交叉污染。厂区平面布置见附图2。</w:t>
            </w:r>
          </w:p>
          <w:p w14:paraId="7E6858D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themeColor="text1"/>
              </w:rPr>
            </w:pPr>
            <w:r>
              <w:rPr>
                <w:rFonts w:hint="default" w:ascii="Times New Roman" w:hAnsi="Times New Roman" w:eastAsia="宋体" w:cs="Times New Roman"/>
                <w:color w:val="000000" w:themeColor="text1"/>
                <w:kern w:val="0"/>
                <w:sz w:val="24"/>
                <w:szCs w:val="24"/>
              </w:rPr>
              <w:t>因此，本工程总平面布置合理。</w:t>
            </w:r>
          </w:p>
        </w:tc>
      </w:tr>
      <w:tr w14:paraId="0EC2C2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3" w:hRule="atLeast"/>
          <w:jc w:val="center"/>
        </w:trPr>
        <w:tc>
          <w:tcPr>
            <w:tcW w:w="241" w:type="pct"/>
            <w:tcBorders>
              <w:top w:val="single" w:color="auto" w:sz="8" w:space="0"/>
              <w:bottom w:val="single" w:color="auto" w:sz="8" w:space="0"/>
            </w:tcBorders>
            <w:vAlign w:val="center"/>
          </w:tcPr>
          <w:p w14:paraId="0714841A">
            <w:pPr>
              <w:pStyle w:val="31"/>
              <w:adjustRightInd w:val="0"/>
              <w:snapToGrid w:val="0"/>
              <w:spacing w:before="0" w:beforeAutospacing="0" w:after="0" w:afterAutospacing="0" w:line="460" w:lineRule="exact"/>
              <w:jc w:val="center"/>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lang w:val="en-US" w:eastAsia="zh-CN"/>
              </w:rPr>
              <w:t>工艺流程和产排污环节</w:t>
            </w:r>
          </w:p>
        </w:tc>
        <w:tc>
          <w:tcPr>
            <w:tcW w:w="4758" w:type="pct"/>
            <w:gridSpan w:val="2"/>
            <w:tcBorders>
              <w:top w:val="single" w:color="auto" w:sz="8" w:space="0"/>
              <w:bottom w:val="single" w:color="auto" w:sz="8" w:space="0"/>
            </w:tcBorders>
            <w:vAlign w:val="top"/>
          </w:tcPr>
          <w:p w14:paraId="6B0ABFB3">
            <w:pPr>
              <w:keepNext/>
              <w:keepLines/>
              <w:spacing w:line="360" w:lineRule="auto"/>
              <w:rPr>
                <w:rFonts w:hint="default" w:ascii="Times New Roman" w:hAnsi="Times New Roman" w:cs="Times New Roman"/>
                <w:b/>
                <w:bCs/>
                <w:color w:val="000000" w:themeColor="text1"/>
                <w:sz w:val="28"/>
                <w:szCs w:val="28"/>
              </w:rPr>
            </w:pPr>
            <w:r>
              <w:rPr>
                <w:rFonts w:hint="eastAsia" w:cs="Times New Roman"/>
                <w:b/>
                <w:bCs/>
                <w:color w:val="000000" w:themeColor="text1"/>
                <w:sz w:val="28"/>
                <w:szCs w:val="28"/>
                <w:lang w:val="en-US" w:eastAsia="zh-CN"/>
              </w:rPr>
              <w:t>1、</w:t>
            </w:r>
            <w:r>
              <w:rPr>
                <w:rFonts w:hint="default" w:ascii="Times New Roman" w:hAnsi="Times New Roman" w:cs="Times New Roman"/>
                <w:b/>
                <w:bCs/>
                <w:color w:val="000000" w:themeColor="text1"/>
                <w:sz w:val="28"/>
                <w:szCs w:val="28"/>
              </w:rPr>
              <w:t>施工期</w:t>
            </w:r>
          </w:p>
          <w:p w14:paraId="59192FEC">
            <w:pPr>
              <w:spacing w:line="360" w:lineRule="auto"/>
              <w:ind w:firstLine="480" w:firstLineChars="200"/>
              <w:textAlignment w:val="baseline"/>
              <w:rPr>
                <w:rFonts w:hint="default" w:ascii="Times New Roman" w:hAnsi="Times New Roman" w:eastAsia="宋体" w:cs="Times New Roman"/>
                <w:color w:val="000000" w:themeColor="text1"/>
                <w:sz w:val="24"/>
                <w:szCs w:val="24"/>
                <w:lang w:val="en-US" w:eastAsia="zh-CN"/>
              </w:rPr>
            </w:pPr>
            <w:r>
              <w:rPr>
                <w:rFonts w:hint="eastAsia" w:cs="Times New Roman"/>
                <w:color w:val="000000" w:themeColor="text1"/>
                <w:sz w:val="24"/>
                <w:szCs w:val="24"/>
                <w:lang w:val="en-US" w:eastAsia="zh-CN"/>
              </w:rPr>
              <w:t>本项目施工期仅涉及厂房内部改造，生产设备的安装调试及废气污染防治措施的安装等</w:t>
            </w:r>
            <w:r>
              <w:rPr>
                <w:rFonts w:hint="default" w:ascii="Times New Roman" w:hAnsi="Times New Roman" w:cs="Times New Roman"/>
                <w:color w:val="000000" w:themeColor="text1"/>
                <w:sz w:val="24"/>
                <w:szCs w:val="24"/>
              </w:rPr>
              <w:t>。</w:t>
            </w:r>
            <w:r>
              <w:rPr>
                <w:rFonts w:hint="eastAsia" w:cs="Times New Roman"/>
                <w:color w:val="000000" w:themeColor="text1"/>
                <w:sz w:val="24"/>
                <w:szCs w:val="24"/>
                <w:lang w:val="en-US" w:eastAsia="zh-CN"/>
              </w:rPr>
              <w:t>施工期时间短、影响小，本环评不另行评价。</w:t>
            </w:r>
          </w:p>
          <w:p w14:paraId="336C9897">
            <w:pPr>
              <w:spacing w:line="360" w:lineRule="auto"/>
              <w:outlineLvl w:val="1"/>
              <w:rPr>
                <w:rFonts w:hint="default" w:ascii="Times New Roman" w:hAnsi="Times New Roman" w:cs="Times New Roman"/>
                <w:b/>
                <w:bCs/>
                <w:color w:val="000000" w:themeColor="text1"/>
                <w:sz w:val="24"/>
                <w:szCs w:val="24"/>
              </w:rPr>
            </w:pPr>
            <w:r>
              <w:rPr>
                <w:rFonts w:hint="eastAsia" w:cs="Times New Roman"/>
                <w:b/>
                <w:bCs/>
                <w:color w:val="000000" w:themeColor="text1"/>
                <w:sz w:val="24"/>
                <w:szCs w:val="24"/>
                <w:lang w:val="en-US" w:eastAsia="zh-CN"/>
              </w:rPr>
              <w:t>2</w:t>
            </w:r>
            <w:r>
              <w:rPr>
                <w:rFonts w:hint="default" w:ascii="Times New Roman" w:hAnsi="Times New Roman" w:cs="Times New Roman"/>
                <w:b/>
                <w:bCs/>
                <w:color w:val="000000" w:themeColor="text1"/>
                <w:sz w:val="24"/>
                <w:szCs w:val="24"/>
              </w:rPr>
              <w:t>、营运期</w:t>
            </w:r>
          </w:p>
          <w:p w14:paraId="08F323DC">
            <w:pPr>
              <w:pStyle w:val="145"/>
              <w:ind w:firstLine="480"/>
              <w:rPr>
                <w:rFonts w:hint="default" w:ascii="Times New Roman" w:hAnsi="Times New Roman" w:cs="Times New Roman"/>
                <w:b/>
                <w:bCs/>
                <w:color w:val="000000" w:themeColor="text1"/>
              </w:rPr>
            </w:pPr>
            <w:r>
              <w:rPr>
                <w:rFonts w:hint="default" w:ascii="Times New Roman" w:hAnsi="Times New Roman" w:cs="Times New Roman"/>
                <w:b/>
                <w:bCs/>
                <w:color w:val="000000" w:themeColor="text1"/>
              </w:rPr>
              <w:t>2.1运营期工艺流程及产污环节</w:t>
            </w:r>
          </w:p>
          <w:p w14:paraId="64B01257">
            <w:pPr>
              <w:pStyle w:val="145"/>
              <w:ind w:firstLine="480"/>
              <w:rPr>
                <w:rFonts w:hint="default" w:ascii="Times New Roman" w:hAnsi="Times New Roman" w:cs="Times New Roman"/>
                <w:color w:val="000000" w:themeColor="text1"/>
                <w:kern w:val="0"/>
              </w:rPr>
            </w:pPr>
            <w:r>
              <w:rPr>
                <w:rFonts w:hint="default" w:ascii="Times New Roman" w:hAnsi="Times New Roman" w:cs="Times New Roman"/>
                <w:color w:val="000000" w:themeColor="text1"/>
              </w:rPr>
              <w:t>项目</w:t>
            </w:r>
            <w:r>
              <w:rPr>
                <w:rFonts w:hint="eastAsia" w:cs="Times New Roman"/>
                <w:color w:val="000000" w:themeColor="text1"/>
                <w:sz w:val="24"/>
                <w:szCs w:val="24"/>
                <w:lang w:val="en-US" w:eastAsia="zh-CN"/>
              </w:rPr>
              <w:t>年产油浸式变压器350台、干式变压器500台和配电控制设备150台</w:t>
            </w:r>
            <w:r>
              <w:rPr>
                <w:rFonts w:hint="default" w:ascii="Times New Roman" w:hAnsi="Times New Roman" w:cs="Times New Roman"/>
                <w:color w:val="000000" w:themeColor="text1"/>
              </w:rPr>
              <w:t>，主要工艺流程及产污节点见下图</w:t>
            </w:r>
            <w:r>
              <w:rPr>
                <w:rFonts w:hint="default" w:ascii="Times New Roman" w:hAnsi="Times New Roman" w:cs="Times New Roman"/>
                <w:color w:val="000000" w:themeColor="text1"/>
                <w:kern w:val="0"/>
              </w:rPr>
              <w:t>。</w:t>
            </w:r>
          </w:p>
          <w:p w14:paraId="628369C2">
            <w:pPr>
              <w:pStyle w:val="145"/>
              <w:ind w:firstLine="480"/>
              <w:rPr>
                <w:rFonts w:hint="default" w:ascii="Times New Roman" w:hAnsi="Times New Roman" w:eastAsia="宋体" w:cs="Times New Roman"/>
                <w:b/>
                <w:bCs/>
                <w:color w:val="000000" w:themeColor="text1"/>
                <w:kern w:val="0"/>
                <w:lang w:val="en-US" w:eastAsia="zh-CN"/>
              </w:rPr>
            </w:pPr>
            <w:r>
              <w:rPr>
                <w:rFonts w:hint="eastAsia" w:cs="Times New Roman"/>
                <w:b/>
                <w:bCs/>
                <w:color w:val="000000" w:themeColor="text1"/>
                <w:kern w:val="0"/>
                <w:lang w:val="en-US" w:eastAsia="zh-CN"/>
              </w:rPr>
              <w:t>2.1.1油浸式变压器生产工艺简述</w:t>
            </w:r>
          </w:p>
          <w:p w14:paraId="61250E53">
            <w:pPr>
              <w:pStyle w:val="141"/>
              <w:ind w:firstLine="0" w:firstLineChars="0"/>
              <w:jc w:val="center"/>
              <w:rPr>
                <w:rFonts w:hint="default" w:ascii="Times New Roman" w:hAnsi="Times New Roman" w:eastAsia="宋体" w:cs="Times New Roman"/>
                <w:color w:val="000000" w:themeColor="text1"/>
                <w:szCs w:val="24"/>
              </w:rPr>
            </w:pPr>
            <w:r>
              <w:rPr>
                <w:color w:val="000000" w:themeColor="text1"/>
                <w:sz w:val="24"/>
              </w:rPr>
              <w:pict>
                <v:shape id="_x0000_s1291" o:spid="_x0000_s1291" o:spt="202" type="#_x0000_t202" style="position:absolute;left:0pt;margin-left:245.35pt;margin-top:350.85pt;height:35.75pt;width:138.95pt;z-index:251692032;mso-width-relative:page;mso-height-relative:page;" filled="f" stroked="f" coordsize="21600,21600">
                  <v:path/>
                  <v:fill on="f" focussize="0,0"/>
                  <v:stroke on="f"/>
                  <v:imagedata o:title=""/>
                  <o:lock v:ext="edit" aspectratio="f"/>
                  <v:textbox>
                    <w:txbxContent>
                      <w:p w14:paraId="343435FD">
                        <w:pPr>
                          <w:rPr>
                            <w:rFonts w:hint="default"/>
                            <w:lang w:val="en-US" w:eastAsia="zh-CN"/>
                          </w:rPr>
                        </w:pPr>
                        <w:r>
                          <w:rPr>
                            <w:rFonts w:hint="default" w:ascii="Times New Roman" w:hAnsi="Times New Roman" w:cs="Times New Roman"/>
                            <w:color w:val="000000" w:themeColor="text1"/>
                            <w:lang w:eastAsia="zh-CN"/>
                          </w:rPr>
                          <w:t>废铜（铝）线、废铜（铝）箔、废绝缘材料</w:t>
                        </w:r>
                      </w:p>
                    </w:txbxContent>
                  </v:textbox>
                </v:shape>
              </w:pict>
            </w:r>
            <w:r>
              <w:rPr>
                <w:color w:val="000000" w:themeColor="text1"/>
                <w:sz w:val="24"/>
              </w:rPr>
              <w:pict>
                <v:line id="_x0000_s1292" o:spid="_x0000_s1292" o:spt="20" style="position:absolute;left:0pt;margin-left:303.05pt;margin-top:340.95pt;height:13.9pt;width:0.05pt;z-index:251691008;mso-width-relative:page;mso-height-relative:page;" fillcolor="#FFFFFF" filled="t" stroked="t" coordsize="21600,21600">
                  <v:path arrowok="t"/>
                  <v:fill on="t" color2="#FFFFFF" focussize="0,0"/>
                  <v:stroke color="#000000" dashstyle="dash" endarrow="block"/>
                  <v:imagedata o:title=""/>
                  <o:lock v:ext="edit" aspectratio="f"/>
                </v:line>
              </w:pict>
            </w:r>
            <w:r>
              <w:rPr>
                <w:color w:val="000000" w:themeColor="text1"/>
                <w:sz w:val="24"/>
              </w:rPr>
              <w:pict>
                <v:shape id="_x0000_s1293" o:spid="_x0000_s1293" o:spt="202" type="#_x0000_t202" style="position:absolute;left:0pt;margin-left:215.95pt;margin-top:341.9pt;height:41.7pt;width:120.75pt;z-index:251689984;mso-width-relative:page;mso-height-relative:page;" fillcolor="#FFFFFF" filled="t" stroked="t" coordsize="21600,21600">
                  <v:path/>
                  <v:fill on="t" color2="#FFFFFF" focussize="0,0"/>
                  <v:stroke color="#FFFFFF"/>
                  <v:imagedata o:title=""/>
                  <o:lock v:ext="edit" aspectratio="f"/>
                  <v:textbox>
                    <w:txbxContent>
                      <w:p w14:paraId="24E325E7"/>
                    </w:txbxContent>
                  </v:textbox>
                </v:shape>
              </w:pict>
            </w:r>
            <w:r>
              <w:rPr>
                <w:color w:val="000000" w:themeColor="text1"/>
                <w:sz w:val="24"/>
              </w:rPr>
              <w:pict>
                <v:shape id="_x0000_s1294" o:spid="_x0000_s1294" o:spt="202" type="#_x0000_t202" style="position:absolute;left:0pt;margin-left:271.55pt;margin-top:319.75pt;height:21.2pt;width:93.6pt;z-index:251688960;mso-width-relative:page;mso-height-relative:page;" fillcolor="#FFFFFF" filled="t" stroked="t" coordsize="21600,21600">
                  <v:path/>
                  <v:fill on="t" color2="#FFFFFF" focussize="0,0"/>
                  <v:stroke color="#000000"/>
                  <v:imagedata o:title=""/>
                  <o:lock v:ext="edit" aspectratio="f"/>
                  <v:textbox>
                    <w:txbxContent>
                      <w:p w14:paraId="21A6310E">
                        <w:pPr>
                          <w:jc w:val="center"/>
                          <w:rPr>
                            <w:rFonts w:hint="default" w:eastAsia="宋体"/>
                            <w:lang w:val="en-US" w:eastAsia="zh-CN"/>
                          </w:rPr>
                        </w:pPr>
                        <w:r>
                          <w:rPr>
                            <w:rFonts w:hint="eastAsia"/>
                            <w:lang w:val="en-US" w:eastAsia="zh-CN"/>
                          </w:rPr>
                          <w:t>检修/报废处置</w:t>
                        </w:r>
                      </w:p>
                    </w:txbxContent>
                  </v:textbox>
                </v:shape>
              </w:pict>
            </w:r>
            <w:r>
              <w:rPr>
                <w:color w:val="000000" w:themeColor="text1"/>
                <w:sz w:val="24"/>
              </w:rPr>
              <w:pict>
                <v:shape id="_x0000_s1295" o:spid="_x0000_s1295" o:spt="202" type="#_x0000_t202" style="position:absolute;left:0pt;margin-left:247.35pt;margin-top:279.9pt;height:22.5pt;width:88.3pt;z-index:251681792;mso-width-relative:page;mso-height-relative:page;" fillcolor="#FFFFFF" filled="t" stroked="f" coordsize="21600,21600">
                  <v:path/>
                  <v:fill on="t" color2="#FFFFFF" focussize="0,0"/>
                  <v:stroke on="f"/>
                  <v:imagedata o:title=""/>
                  <o:lock v:ext="edit" aspectratio="f"/>
                  <v:textbox>
                    <w:txbxContent>
                      <w:p w14:paraId="2AB07212">
                        <w:pPr>
                          <w:rPr>
                            <w:rFonts w:hint="default" w:eastAsia="宋体"/>
                            <w:b w:val="0"/>
                            <w:bCs w:val="0"/>
                            <w:color w:val="3F3F3F" w:themeColor="text1" w:themeTint="BF"/>
                            <w:sz w:val="22"/>
                            <w:szCs w:val="22"/>
                            <w:lang w:val="en-US" w:eastAsia="zh-CN"/>
                          </w:rPr>
                        </w:pPr>
                        <w:r>
                          <w:rPr>
                            <w:rFonts w:hint="eastAsia"/>
                            <w:b w:val="0"/>
                            <w:bCs w:val="0"/>
                            <w:color w:val="3F3F3F" w:themeColor="text1" w:themeTint="BF"/>
                            <w:sz w:val="22"/>
                            <w:szCs w:val="22"/>
                            <w:lang w:val="en-US" w:eastAsia="zh-CN"/>
                          </w:rPr>
                          <w:t>废滤芯、油渣</w:t>
                        </w:r>
                      </w:p>
                    </w:txbxContent>
                  </v:textbox>
                </v:shape>
              </w:pict>
            </w:r>
            <w:r>
              <w:rPr>
                <w:color w:val="000000" w:themeColor="text1"/>
              </w:rPr>
              <w:pict>
                <v:shape id="_x0000_i1027" o:spt="75" type="#_x0000_t75" style="height:385.3pt;width:427.25pt;" filled="f" stroked="f" coordsize="21600,21600">
                  <v:path/>
                  <v:fill on="f" focussize="0,0"/>
                  <v:stroke on="f"/>
                  <v:imagedata r:id="rId9" o:title=""/>
                  <o:lock v:ext="edit" aspectratio="t"/>
                  <w10:wrap type="none"/>
                  <w10:anchorlock/>
                </v:shape>
              </w:pict>
            </w:r>
          </w:p>
          <w:p w14:paraId="25116F86">
            <w:pPr>
              <w:pStyle w:val="141"/>
              <w:spacing w:line="360" w:lineRule="auto"/>
              <w:ind w:firstLine="0" w:firstLineChars="0"/>
              <w:jc w:val="center"/>
              <w:rPr>
                <w:rFonts w:hint="default" w:ascii="Times New Roman" w:hAnsi="Times New Roman" w:eastAsia="宋体" w:cs="Times New Roman"/>
                <w:b/>
                <w:bCs/>
                <w:color w:val="000000" w:themeColor="text1"/>
                <w:szCs w:val="24"/>
                <w:lang w:val="en-US" w:eastAsia="zh-CN"/>
              </w:rPr>
            </w:pPr>
            <w:r>
              <w:rPr>
                <w:rFonts w:hint="default" w:ascii="Times New Roman" w:hAnsi="Times New Roman" w:eastAsia="宋体" w:cs="Times New Roman"/>
                <w:b/>
                <w:bCs/>
                <w:color w:val="000000" w:themeColor="text1"/>
                <w:szCs w:val="24"/>
              </w:rPr>
              <w:t>图2-</w:t>
            </w:r>
            <w:r>
              <w:rPr>
                <w:rFonts w:hint="eastAsia" w:ascii="Times New Roman" w:hAnsi="Times New Roman" w:eastAsia="宋体" w:cs="Times New Roman"/>
                <w:b/>
                <w:bCs/>
                <w:color w:val="000000" w:themeColor="text1"/>
                <w:szCs w:val="24"/>
                <w:lang w:val="en-US" w:eastAsia="zh-CN"/>
              </w:rPr>
              <w:t>1  油浸式变压器生产工艺流程及产污节点图</w:t>
            </w:r>
          </w:p>
          <w:p w14:paraId="7BA851D5">
            <w:pPr>
              <w:pStyle w:val="125"/>
              <w:adjustRightInd w:val="0"/>
              <w:snapToGrid w:val="0"/>
              <w:spacing w:line="360" w:lineRule="auto"/>
              <w:ind w:firstLine="482" w:firstLineChars="200"/>
              <w:rPr>
                <w:rFonts w:hint="eastAsia" w:cs="Times New Roman"/>
                <w:b/>
                <w:bCs/>
                <w:color w:val="000000" w:themeColor="text1"/>
                <w:szCs w:val="24"/>
                <w:lang w:val="en-US" w:eastAsia="zh-CN"/>
              </w:rPr>
            </w:pPr>
            <w:r>
              <w:rPr>
                <w:rFonts w:hint="eastAsia" w:cs="Times New Roman"/>
                <w:b/>
                <w:bCs/>
                <w:color w:val="000000" w:themeColor="text1"/>
                <w:szCs w:val="24"/>
                <w:lang w:val="en-US" w:eastAsia="zh-CN"/>
              </w:rPr>
              <w:t>工艺流程说明：</w:t>
            </w:r>
          </w:p>
          <w:p w14:paraId="102C8D1F">
            <w:pPr>
              <w:pStyle w:val="125"/>
              <w:adjustRightInd w:val="0"/>
              <w:snapToGrid w:val="0"/>
              <w:spacing w:line="360" w:lineRule="auto"/>
              <w:ind w:firstLine="480" w:firstLineChars="200"/>
              <w:rPr>
                <w:rFonts w:hint="default" w:ascii="Times New Roman" w:hAnsi="Times New Roman" w:cs="Times New Roman"/>
                <w:color w:val="000000" w:themeColor="text1"/>
                <w:lang w:eastAsia="zh-CN"/>
              </w:rPr>
            </w:pPr>
            <w:r>
              <w:rPr>
                <w:rFonts w:hint="default" w:ascii="Times New Roman" w:hAnsi="Times New Roman" w:cs="Times New Roman"/>
                <w:color w:val="000000" w:themeColor="text1"/>
                <w:lang w:eastAsia="zh-CN"/>
              </w:rPr>
              <w:t>①线圈绕制：使用绕线机和箔绕机分别将铜（铝）线和铜（铝）箔绕制在绝缘材料上，绕线过程少量线圈需要进行焊接，项目采用氧气焊，氧气焊利用高温使焊接件熔化从而形成连接，此工序会产生焊接烟尘、焊渣、废铜（铝）线、废铜（铝）箔、废绝缘材料、噪声。</w:t>
            </w:r>
          </w:p>
          <w:p w14:paraId="5823C803">
            <w:pPr>
              <w:pStyle w:val="125"/>
              <w:adjustRightInd w:val="0"/>
              <w:snapToGrid w:val="0"/>
              <w:spacing w:line="360" w:lineRule="auto"/>
              <w:ind w:firstLine="480" w:firstLineChars="200"/>
              <w:rPr>
                <w:rFonts w:hint="default" w:ascii="Times New Roman" w:hAnsi="Times New Roman" w:cs="Times New Roman"/>
                <w:color w:val="000000" w:themeColor="text1"/>
                <w:lang w:eastAsia="zh-CN"/>
              </w:rPr>
            </w:pPr>
            <w:r>
              <w:rPr>
                <w:rFonts w:hint="default" w:ascii="Times New Roman" w:hAnsi="Times New Roman" w:cs="Times New Roman"/>
                <w:color w:val="000000" w:themeColor="text1"/>
                <w:lang w:eastAsia="zh-CN"/>
              </w:rPr>
              <w:t>②半成品检验：用变压器综合测试系统对高低压线圈检测气导电性能。</w:t>
            </w:r>
          </w:p>
          <w:p w14:paraId="42E62CC1">
            <w:pPr>
              <w:pStyle w:val="125"/>
              <w:adjustRightInd w:val="0"/>
              <w:snapToGrid w:val="0"/>
              <w:spacing w:line="360" w:lineRule="auto"/>
              <w:ind w:firstLine="480" w:firstLineChars="200"/>
              <w:rPr>
                <w:rFonts w:hint="default" w:ascii="Times New Roman" w:hAnsi="Times New Roman" w:cs="Times New Roman"/>
                <w:color w:val="000000" w:themeColor="text1"/>
                <w:lang w:eastAsia="zh-CN"/>
              </w:rPr>
            </w:pPr>
            <w:r>
              <w:rPr>
                <w:rFonts w:hint="default" w:ascii="Times New Roman" w:hAnsi="Times New Roman" w:cs="Times New Roman"/>
                <w:color w:val="000000" w:themeColor="text1"/>
                <w:lang w:eastAsia="zh-CN"/>
              </w:rPr>
              <w:t>③装配：将外购的铁芯与线圈等零配件进行人工手动组装，组装过程主要为螺丝固定。</w:t>
            </w:r>
          </w:p>
          <w:p w14:paraId="53253592">
            <w:pPr>
              <w:pStyle w:val="125"/>
              <w:adjustRightInd w:val="0"/>
              <w:snapToGrid w:val="0"/>
              <w:spacing w:line="360" w:lineRule="auto"/>
              <w:ind w:firstLine="480" w:firstLineChars="200"/>
              <w:rPr>
                <w:rFonts w:hint="default" w:ascii="Times New Roman" w:hAnsi="Times New Roman" w:cs="Times New Roman"/>
                <w:color w:val="000000" w:themeColor="text1"/>
                <w:lang w:eastAsia="zh-CN"/>
              </w:rPr>
            </w:pPr>
            <w:r>
              <w:rPr>
                <w:rFonts w:hint="default" w:ascii="Times New Roman" w:hAnsi="Times New Roman" w:cs="Times New Roman"/>
                <w:color w:val="000000" w:themeColor="text1"/>
                <w:lang w:eastAsia="zh-CN"/>
              </w:rPr>
              <w:t>④真空干燥：将铁芯与线圈放入真空浇注罐内抽真空30分钟后再转入电热鼓风恒温干燥箱进行</w:t>
            </w:r>
            <w:r>
              <w:rPr>
                <w:rFonts w:hint="eastAsia" w:cs="Times New Roman"/>
                <w:color w:val="000000" w:themeColor="text1"/>
                <w:lang w:val="en-US" w:eastAsia="zh-CN"/>
              </w:rPr>
              <w:t>干燥</w:t>
            </w:r>
            <w:r>
              <w:rPr>
                <w:rFonts w:hint="default" w:ascii="Times New Roman" w:hAnsi="Times New Roman" w:cs="Times New Roman"/>
                <w:color w:val="000000" w:themeColor="text1"/>
                <w:lang w:eastAsia="zh-CN"/>
              </w:rPr>
              <w:t>以去除工件上的水分</w:t>
            </w:r>
            <w:r>
              <w:rPr>
                <w:rFonts w:hint="eastAsia" w:cs="Times New Roman"/>
                <w:color w:val="000000" w:themeColor="text1"/>
                <w:lang w:eastAsia="zh-CN"/>
              </w:rPr>
              <w:t>，</w:t>
            </w:r>
            <w:r>
              <w:rPr>
                <w:rFonts w:hint="eastAsia" w:cs="Times New Roman"/>
                <w:color w:val="000000" w:themeColor="text1"/>
                <w:lang w:val="en-US" w:eastAsia="zh-CN"/>
              </w:rPr>
              <w:t>干燥温度约为120℃，时间为6~8h</w:t>
            </w:r>
            <w:r>
              <w:rPr>
                <w:rFonts w:hint="default" w:ascii="Times New Roman" w:hAnsi="Times New Roman" w:cs="Times New Roman"/>
                <w:color w:val="000000" w:themeColor="text1"/>
                <w:lang w:eastAsia="zh-CN"/>
              </w:rPr>
              <w:t>。由于变压器器身主要由铁心和线圈以及绝缘材料装配组成，装配好之后，在加入变压器油之前，一定要经过干燥处理工艺，以去除绝缘材料中的水分和气体，使其含水量控制在产品质量要求的限度之内，以保证变压器有足够的绝缘强度和运行寿命。</w:t>
            </w:r>
          </w:p>
          <w:p w14:paraId="62515966">
            <w:pPr>
              <w:pStyle w:val="125"/>
              <w:adjustRightInd w:val="0"/>
              <w:snapToGrid w:val="0"/>
              <w:spacing w:line="360" w:lineRule="auto"/>
              <w:ind w:firstLine="480" w:firstLineChars="200"/>
              <w:rPr>
                <w:rFonts w:hint="default" w:ascii="Times New Roman" w:hAnsi="Times New Roman" w:cs="Times New Roman"/>
                <w:color w:val="000000" w:themeColor="text1"/>
                <w:lang w:eastAsia="zh-CN"/>
              </w:rPr>
            </w:pPr>
            <w:r>
              <w:rPr>
                <w:rFonts w:hint="default" w:ascii="Times New Roman" w:hAnsi="Times New Roman" w:cs="Times New Roman"/>
                <w:color w:val="000000" w:themeColor="text1"/>
                <w:lang w:eastAsia="zh-CN"/>
              </w:rPr>
              <w:t>⑤总装配：将真空干燥后半成品与油箱、其他配件（分接开关、散热器、温控器、导电杆、瓷瓶等）进行人工组装成变压器，组装过程主要为螺丝固定。</w:t>
            </w:r>
          </w:p>
          <w:p w14:paraId="37A34F2B">
            <w:pPr>
              <w:pStyle w:val="125"/>
              <w:adjustRightInd w:val="0"/>
              <w:snapToGrid w:val="0"/>
              <w:spacing w:line="360" w:lineRule="auto"/>
              <w:ind w:firstLine="480" w:firstLineChars="200"/>
              <w:rPr>
                <w:rFonts w:hint="default" w:ascii="Times New Roman" w:hAnsi="Times New Roman" w:cs="Times New Roman"/>
                <w:color w:val="000000" w:themeColor="text1"/>
                <w:lang w:eastAsia="zh-CN"/>
              </w:rPr>
            </w:pPr>
            <w:r>
              <w:rPr>
                <w:rFonts w:hint="default" w:ascii="Times New Roman" w:hAnsi="Times New Roman" w:cs="Times New Roman"/>
                <w:color w:val="000000" w:themeColor="text1"/>
                <w:lang w:eastAsia="zh-CN"/>
              </w:rPr>
              <w:t>⑥真空注油：油变产品总装配完成后，对油箱箱体按工艺要求抽真空，保持0.5~1h。打开油路管道注油阀门，将变压器油注入变压器油箱内，注满油后关闭注油阀门，继续按工艺要求保持真空，保持≥30min。使用滤油机将变压器油过滤后注入变压器油箱，滤油机与油箱之间通过密闭的输油管连接，确保注油过程中无变压器油泄漏和有机气体挥发。油箱注满后静置12-48小时。</w:t>
            </w:r>
          </w:p>
          <w:p w14:paraId="21A57043">
            <w:pPr>
              <w:pStyle w:val="125"/>
              <w:adjustRightInd w:val="0"/>
              <w:snapToGrid w:val="0"/>
              <w:spacing w:line="360" w:lineRule="auto"/>
              <w:ind w:firstLine="480" w:firstLineChars="200"/>
              <w:rPr>
                <w:rFonts w:hint="default" w:ascii="Times New Roman" w:hAnsi="Times New Roman" w:cs="Times New Roman"/>
                <w:color w:val="000000" w:themeColor="text1"/>
                <w:lang w:eastAsia="zh-CN"/>
              </w:rPr>
            </w:pPr>
            <w:r>
              <w:rPr>
                <w:rFonts w:hint="default" w:ascii="Times New Roman" w:hAnsi="Times New Roman" w:cs="Times New Roman"/>
                <w:color w:val="000000" w:themeColor="text1"/>
                <w:lang w:eastAsia="zh-CN"/>
              </w:rPr>
              <w:t>变压器油使用前需经滤油机过滤后使用，滤芯定期更换，一般为6-12个月更换一次。此过程会产生少量废滤芯</w:t>
            </w:r>
            <w:r>
              <w:rPr>
                <w:rFonts w:hint="eastAsia" w:cs="Times New Roman"/>
                <w:color w:val="000000" w:themeColor="text1"/>
                <w:lang w:eastAsia="zh-CN"/>
              </w:rPr>
              <w:t>、</w:t>
            </w:r>
            <w:r>
              <w:rPr>
                <w:rFonts w:hint="eastAsia" w:cs="Times New Roman"/>
                <w:color w:val="000000" w:themeColor="text1"/>
                <w:lang w:val="en-US" w:eastAsia="zh-CN"/>
              </w:rPr>
              <w:t>废油渣</w:t>
            </w:r>
            <w:r>
              <w:rPr>
                <w:rFonts w:hint="default" w:ascii="Times New Roman" w:hAnsi="Times New Roman" w:cs="Times New Roman"/>
                <w:color w:val="000000" w:themeColor="text1"/>
                <w:lang w:eastAsia="zh-CN"/>
              </w:rPr>
              <w:t>，此外变压器油贮存会产生少量油品挥发有机废气。</w:t>
            </w:r>
          </w:p>
          <w:p w14:paraId="5E3A0FD1">
            <w:pPr>
              <w:pStyle w:val="125"/>
              <w:adjustRightInd w:val="0"/>
              <w:snapToGrid w:val="0"/>
              <w:spacing w:line="360" w:lineRule="auto"/>
              <w:ind w:firstLine="480" w:firstLineChars="200"/>
              <w:rPr>
                <w:rFonts w:hint="default" w:ascii="Times New Roman" w:hAnsi="Times New Roman" w:cs="Times New Roman"/>
                <w:color w:val="000000" w:themeColor="text1"/>
                <w:lang w:eastAsia="zh-CN"/>
              </w:rPr>
            </w:pPr>
            <w:r>
              <w:rPr>
                <w:rFonts w:hint="default" w:ascii="Times New Roman" w:hAnsi="Times New Roman" w:cs="Times New Roman"/>
                <w:color w:val="000000" w:themeColor="text1"/>
                <w:lang w:eastAsia="zh-CN"/>
              </w:rPr>
              <w:t>⑦测试：采用变压器综合测试系统设备对产品进行试验，此过程均为通电试验过程，不产生废水、废气等污染。</w:t>
            </w:r>
          </w:p>
          <w:p w14:paraId="7D60EDC8">
            <w:pPr>
              <w:pStyle w:val="125"/>
              <w:adjustRightInd w:val="0"/>
              <w:snapToGrid w:val="0"/>
              <w:spacing w:line="360" w:lineRule="auto"/>
              <w:ind w:firstLine="480" w:firstLineChars="200"/>
              <w:rPr>
                <w:rFonts w:hint="default" w:ascii="Times New Roman" w:hAnsi="Times New Roman" w:cs="Times New Roman"/>
                <w:color w:val="000000" w:themeColor="text1"/>
                <w:lang w:eastAsia="zh-CN"/>
              </w:rPr>
            </w:pPr>
            <w:r>
              <w:rPr>
                <w:rFonts w:hint="default" w:ascii="Times New Roman" w:hAnsi="Times New Roman" w:cs="Times New Roman"/>
                <w:color w:val="000000" w:themeColor="text1"/>
                <w:lang w:eastAsia="zh-CN"/>
              </w:rPr>
              <w:t>⑧检修：根据检验结果分析原因，</w:t>
            </w:r>
            <w:r>
              <w:rPr>
                <w:rFonts w:hint="eastAsia" w:cs="Times New Roman"/>
                <w:color w:val="000000" w:themeColor="text1"/>
                <w:lang w:val="en-US" w:eastAsia="zh-CN"/>
              </w:rPr>
              <w:t>合格产品入库代售，</w:t>
            </w:r>
            <w:r>
              <w:rPr>
                <w:rFonts w:hint="default" w:ascii="Times New Roman" w:hAnsi="Times New Roman" w:cs="Times New Roman"/>
                <w:color w:val="000000" w:themeColor="text1"/>
                <w:lang w:eastAsia="zh-CN"/>
              </w:rPr>
              <w:t>对不合格品</w:t>
            </w:r>
            <w:r>
              <w:rPr>
                <w:rFonts w:hint="eastAsia" w:ascii="Times New Roman" w:hAnsi="Times New Roman" w:cs="Times New Roman"/>
                <w:color w:val="000000" w:themeColor="text1"/>
                <w:lang w:eastAsia="zh-CN"/>
              </w:rPr>
              <w:t>，</w:t>
            </w:r>
            <w:r>
              <w:rPr>
                <w:rFonts w:hint="eastAsia" w:ascii="Times New Roman" w:hAnsi="Times New Roman" w:cs="Times New Roman"/>
                <w:color w:val="000000" w:themeColor="text1"/>
                <w:lang w:val="en-US" w:eastAsia="zh-CN"/>
              </w:rPr>
              <w:t>可进行返修的进行返修，无法返修的</w:t>
            </w:r>
            <w:r>
              <w:rPr>
                <w:rFonts w:hint="default" w:ascii="Times New Roman" w:hAnsi="Times New Roman" w:cs="Times New Roman"/>
                <w:color w:val="000000" w:themeColor="text1"/>
                <w:lang w:eastAsia="zh-CN"/>
              </w:rPr>
              <w:t>进行</w:t>
            </w:r>
            <w:r>
              <w:rPr>
                <w:rFonts w:hint="eastAsia" w:cs="Times New Roman"/>
                <w:color w:val="000000" w:themeColor="text1"/>
                <w:lang w:val="en-US" w:eastAsia="zh-CN"/>
              </w:rPr>
              <w:t>拆解，回收有价值部件。油箱、变压器油、铁芯等材料进行回收，不可回收的如少量铜（铝）线、铜（铝）箔、绝缘材料等作为固废处置</w:t>
            </w:r>
            <w:r>
              <w:rPr>
                <w:rFonts w:hint="default" w:ascii="Times New Roman" w:hAnsi="Times New Roman" w:cs="Times New Roman"/>
                <w:color w:val="000000" w:themeColor="text1"/>
                <w:lang w:eastAsia="zh-CN"/>
              </w:rPr>
              <w:t>。</w:t>
            </w:r>
          </w:p>
          <w:p w14:paraId="1D591E2B">
            <w:pPr>
              <w:pStyle w:val="141"/>
              <w:keepNext w:val="0"/>
              <w:keepLines w:val="0"/>
              <w:pageBreakBefore w:val="0"/>
              <w:widowControl w:val="0"/>
              <w:kinsoku/>
              <w:wordWrap/>
              <w:overflowPunct/>
              <w:topLinePunct w:val="0"/>
              <w:autoSpaceDE/>
              <w:autoSpaceDN/>
              <w:bidi w:val="0"/>
              <w:adjustRightInd/>
              <w:snapToGrid/>
              <w:ind w:firstLine="482" w:firstLineChars="200"/>
              <w:jc w:val="left"/>
              <w:textAlignment w:val="auto"/>
              <w:rPr>
                <w:rFonts w:hint="eastAsia" w:ascii="Times New Roman" w:hAnsi="Times New Roman" w:eastAsia="宋体" w:cs="Times New Roman"/>
                <w:b/>
                <w:bCs/>
                <w:color w:val="000000" w:themeColor="text1"/>
                <w:kern w:val="0"/>
                <w:sz w:val="24"/>
                <w:szCs w:val="24"/>
                <w:lang w:val="en-US" w:eastAsia="zh-CN" w:bidi="ar-SA"/>
              </w:rPr>
            </w:pPr>
            <w:r>
              <w:rPr>
                <w:rFonts w:hint="eastAsia" w:ascii="Times New Roman" w:hAnsi="Times New Roman" w:eastAsia="宋体" w:cs="Times New Roman"/>
                <w:b/>
                <w:bCs/>
                <w:color w:val="000000" w:themeColor="text1"/>
                <w:kern w:val="0"/>
                <w:sz w:val="24"/>
                <w:szCs w:val="24"/>
                <w:lang w:val="en-US" w:eastAsia="zh-CN" w:bidi="ar-SA"/>
              </w:rPr>
              <w:t>2.1.2干式变压器生产工艺简述</w:t>
            </w:r>
          </w:p>
          <w:p w14:paraId="3F8520D7">
            <w:pPr>
              <w:pStyle w:val="141"/>
              <w:keepNext w:val="0"/>
              <w:keepLines w:val="0"/>
              <w:pageBreakBefore w:val="0"/>
              <w:widowControl w:val="0"/>
              <w:kinsoku/>
              <w:wordWrap/>
              <w:overflowPunct/>
              <w:topLinePunct w:val="0"/>
              <w:autoSpaceDE/>
              <w:autoSpaceDN/>
              <w:bidi w:val="0"/>
              <w:adjustRightInd/>
              <w:snapToGrid/>
              <w:ind w:firstLine="480" w:firstLineChars="200"/>
              <w:jc w:val="center"/>
              <w:textAlignment w:val="auto"/>
              <w:rPr>
                <w:rFonts w:hint="eastAsia" w:ascii="Times New Roman" w:hAnsi="Times New Roman" w:eastAsia="宋体" w:cs="Times New Roman"/>
                <w:b/>
                <w:bCs/>
                <w:color w:val="000000" w:themeColor="text1"/>
                <w:kern w:val="0"/>
                <w:sz w:val="24"/>
                <w:szCs w:val="24"/>
                <w:lang w:val="en-US" w:eastAsia="zh-CN" w:bidi="ar-SA"/>
              </w:rPr>
            </w:pPr>
            <w:r>
              <w:rPr>
                <w:color w:val="000000" w:themeColor="text1"/>
                <w:sz w:val="24"/>
              </w:rPr>
              <w:pict>
                <v:shape id="_x0000_s1296" o:spid="_x0000_s1296" o:spt="202" type="#_x0000_t202" style="position:absolute;left:0pt;margin-left:326.55pt;margin-top:337.2pt;height:66.45pt;width:85.7pt;z-index:251687936;mso-width-relative:page;mso-height-relative:page;" filled="f" stroked="f" coordsize="21600,21600">
                  <v:path/>
                  <v:fill on="f" focussize="0,0"/>
                  <v:stroke on="f"/>
                  <v:imagedata o:title=""/>
                  <o:lock v:ext="edit" aspectratio="f"/>
                  <v:textbox>
                    <w:txbxContent>
                      <w:p w14:paraId="5E6BB441">
                        <w:pPr>
                          <w:rPr>
                            <w:rFonts w:hint="default"/>
                            <w:lang w:val="en-US" w:eastAsia="zh-CN"/>
                          </w:rPr>
                        </w:pPr>
                        <w:r>
                          <w:rPr>
                            <w:rFonts w:hint="default" w:ascii="Times New Roman" w:hAnsi="Times New Roman" w:cs="Times New Roman"/>
                            <w:color w:val="000000" w:themeColor="text1"/>
                            <w:lang w:eastAsia="zh-CN"/>
                          </w:rPr>
                          <w:t>废铜（铝）线、废铜（铝）箔、废绝缘材料</w:t>
                        </w:r>
                        <w:r>
                          <w:rPr>
                            <w:rFonts w:hint="eastAsia" w:ascii="Times New Roman" w:hAnsi="Times New Roman" w:cs="Times New Roman"/>
                            <w:color w:val="000000" w:themeColor="text1"/>
                            <w:lang w:eastAsia="zh-CN"/>
                          </w:rPr>
                          <w:t>、</w:t>
                        </w:r>
                        <w:r>
                          <w:rPr>
                            <w:rFonts w:hint="eastAsia" w:ascii="Times New Roman" w:hAnsi="Times New Roman" w:cs="Times New Roman"/>
                            <w:color w:val="000000" w:themeColor="text1"/>
                            <w:lang w:val="en-US" w:eastAsia="zh-CN"/>
                          </w:rPr>
                          <w:t>废树脂料</w:t>
                        </w:r>
                      </w:p>
                    </w:txbxContent>
                  </v:textbox>
                </v:shape>
              </w:pict>
            </w:r>
            <w:r>
              <w:rPr>
                <w:color w:val="000000" w:themeColor="text1"/>
                <w:sz w:val="24"/>
              </w:rPr>
              <w:pict>
                <v:line id="_x0000_s1297" o:spid="_x0000_s1297" o:spt="20" style="position:absolute;left:0pt;margin-left:303.05pt;margin-top:368.6pt;height:0.05pt;width:23.45pt;z-index:251686912;mso-width-relative:page;mso-height-relative:page;" fillcolor="#FFFFFF" filled="t" stroked="t" coordsize="21600,21600">
                  <v:path arrowok="t"/>
                  <v:fill on="t" color2="#FFFFFF" focussize="0,0"/>
                  <v:stroke color="#000000" dashstyle="dash" endarrow="block"/>
                  <v:imagedata o:title=""/>
                  <o:lock v:ext="edit" aspectratio="f"/>
                </v:line>
              </w:pict>
            </w:r>
            <w:r>
              <w:rPr>
                <w:color w:val="000000" w:themeColor="text1"/>
                <w:sz w:val="24"/>
              </w:rPr>
              <w:pict>
                <v:shape id="_x0000_s1298" o:spid="_x0000_s1298" o:spt="202" type="#_x0000_t202" style="position:absolute;left:0pt;margin-left:170.65pt;margin-top:378.35pt;height:40.2pt;width:122.85pt;z-index:251685888;mso-width-relative:page;mso-height-relative:page;" fillcolor="#FFFFFF" filled="t" stroked="t" coordsize="21600,21600">
                  <v:path/>
                  <v:fill on="t" color2="#FFFFFF" focussize="0,0"/>
                  <v:stroke color="#FFFFFF"/>
                  <v:imagedata o:title=""/>
                  <o:lock v:ext="edit" aspectratio="f"/>
                  <v:textbox>
                    <w:txbxContent>
                      <w:p w14:paraId="54B4D751"/>
                    </w:txbxContent>
                  </v:textbox>
                </v:shape>
              </w:pict>
            </w:r>
            <w:r>
              <w:rPr>
                <w:color w:val="000000" w:themeColor="text1"/>
                <w:sz w:val="24"/>
              </w:rPr>
              <w:pict>
                <v:shape id="_x0000_s1299" o:spid="_x0000_s1299" o:spt="202" type="#_x0000_t202" style="position:absolute;left:0pt;margin-left:220.35pt;margin-top:357.75pt;height:19.45pt;width:82.7pt;z-index:251684864;mso-width-relative:page;mso-height-relative:page;" fillcolor="#FFFFFF" filled="t" stroked="t" coordsize="21600,21600">
                  <v:path/>
                  <v:fill on="t" color2="#FFFFFF" focussize="0,0"/>
                  <v:stroke color="#000000"/>
                  <v:imagedata o:title=""/>
                  <o:lock v:ext="edit" aspectratio="f"/>
                  <v:textbox>
                    <w:txbxContent>
                      <w:p w14:paraId="10B32E78">
                        <w:pPr>
                          <w:jc w:val="center"/>
                          <w:rPr>
                            <w:rFonts w:hint="default" w:eastAsia="宋体"/>
                            <w:lang w:val="en-US" w:eastAsia="zh-CN"/>
                          </w:rPr>
                        </w:pPr>
                        <w:r>
                          <w:rPr>
                            <w:rFonts w:hint="eastAsia"/>
                            <w:lang w:val="en-US" w:eastAsia="zh-CN"/>
                          </w:rPr>
                          <w:t>检修/报废处置</w:t>
                        </w:r>
                      </w:p>
                    </w:txbxContent>
                  </v:textbox>
                </v:shape>
              </w:pict>
            </w:r>
            <w:r>
              <w:rPr>
                <w:color w:val="000000" w:themeColor="text1"/>
                <w:sz w:val="24"/>
              </w:rPr>
              <w:pict>
                <v:shape id="_x0000_s1300" o:spid="_x0000_s1300" o:spt="202" type="#_x0000_t202" style="position:absolute;left:0pt;margin-left:283.05pt;margin-top:263.75pt;height:54.85pt;width:88.3pt;z-index:251682816;mso-width-relative:page;mso-height-relative:page;" fillcolor="#FFFFFF" filled="t" stroked="f" coordsize="21600,21600">
                  <v:path/>
                  <v:fill on="t" color2="#FFFFFF" focussize="0,0"/>
                  <v:stroke on="f"/>
                  <v:imagedata o:title=""/>
                  <o:lock v:ext="edit" aspectratio="f"/>
                  <v:textbox>
                    <w:txbxContent>
                      <w:p w14:paraId="04FAC7B6">
                        <w:pPr>
                          <w:rPr>
                            <w:rFonts w:hint="eastAsia"/>
                            <w:b w:val="0"/>
                            <w:bCs w:val="0"/>
                            <w:color w:val="3F3F3F" w:themeColor="text1" w:themeTint="BF"/>
                            <w:sz w:val="22"/>
                            <w:szCs w:val="22"/>
                            <w:lang w:val="en-US" w:eastAsia="zh-CN"/>
                          </w:rPr>
                        </w:pPr>
                      </w:p>
                      <w:p w14:paraId="0934D567">
                        <w:pPr>
                          <w:rPr>
                            <w:rFonts w:hint="default" w:eastAsia="宋体"/>
                            <w:b w:val="0"/>
                            <w:bCs w:val="0"/>
                            <w:color w:val="3F3F3F" w:themeColor="text1" w:themeTint="BF"/>
                            <w:sz w:val="22"/>
                            <w:szCs w:val="22"/>
                            <w:lang w:val="en-US" w:eastAsia="zh-CN"/>
                          </w:rPr>
                        </w:pPr>
                        <w:r>
                          <w:rPr>
                            <w:rFonts w:hint="eastAsia"/>
                            <w:b w:val="0"/>
                            <w:bCs w:val="0"/>
                            <w:color w:val="3F3F3F" w:themeColor="text1" w:themeTint="BF"/>
                            <w:sz w:val="22"/>
                            <w:szCs w:val="22"/>
                            <w:lang w:val="en-US" w:eastAsia="zh-CN"/>
                          </w:rPr>
                          <w:t>废边角料</w:t>
                        </w:r>
                      </w:p>
                    </w:txbxContent>
                  </v:textbox>
                </v:shape>
              </w:pict>
            </w:r>
            <w:r>
              <w:rPr>
                <w:color w:val="000000" w:themeColor="text1"/>
                <w:sz w:val="24"/>
              </w:rPr>
              <w:pict>
                <v:shape id="_x0000_s1301" o:spid="_x0000_s1301" o:spt="202" type="#_x0000_t202" style="position:absolute;left:0pt;margin-left:282.95pt;margin-top:116.8pt;height:20.85pt;width:88.3pt;z-index:251683840;mso-width-relative:page;mso-height-relative:page;" fillcolor="#FFFFFF" filled="t" stroked="f" coordsize="21600,21600">
                  <v:path/>
                  <v:fill on="t" color2="#FFFFFF" focussize="0,0"/>
                  <v:stroke on="f"/>
                  <v:imagedata o:title=""/>
                  <o:lock v:ext="edit" aspectratio="f"/>
                  <v:textbox>
                    <w:txbxContent>
                      <w:p w14:paraId="4ED985BC">
                        <w:pPr>
                          <w:rPr>
                            <w:rFonts w:hint="default" w:eastAsia="宋体"/>
                            <w:b w:val="0"/>
                            <w:bCs w:val="0"/>
                            <w:color w:val="3F3F3F" w:themeColor="text1" w:themeTint="BF"/>
                            <w:sz w:val="22"/>
                            <w:szCs w:val="22"/>
                            <w:lang w:val="en-US" w:eastAsia="zh-CN"/>
                          </w:rPr>
                        </w:pPr>
                        <w:r>
                          <w:rPr>
                            <w:rFonts w:hint="eastAsia"/>
                            <w:b w:val="0"/>
                            <w:bCs w:val="0"/>
                            <w:color w:val="3F3F3F" w:themeColor="text1" w:themeTint="BF"/>
                            <w:sz w:val="22"/>
                            <w:szCs w:val="22"/>
                            <w:lang w:val="en-US" w:eastAsia="zh-CN"/>
                          </w:rPr>
                          <w:t>废脱模剂桶</w:t>
                        </w:r>
                      </w:p>
                    </w:txbxContent>
                  </v:textbox>
                </v:shape>
              </w:pict>
            </w:r>
            <w:r>
              <w:rPr>
                <w:color w:val="000000" w:themeColor="text1"/>
              </w:rPr>
              <w:pict>
                <v:shape id="_x0000_i1028" o:spt="75" type="#_x0000_t75" style="height:421.9pt;width:382.45pt;" filled="f" o:preferrelative="t" stroked="f" coordsize="21600,21600">
                  <v:path/>
                  <v:fill on="f" focussize="0,0"/>
                  <v:stroke on="f"/>
                  <v:imagedata r:id="rId10" o:title=""/>
                  <o:lock v:ext="edit" aspectratio="t"/>
                  <w10:wrap type="none"/>
                  <w10:anchorlock/>
                </v:shape>
              </w:pict>
            </w:r>
          </w:p>
          <w:p w14:paraId="2EF33FAD">
            <w:pPr>
              <w:pStyle w:val="141"/>
              <w:spacing w:line="360" w:lineRule="auto"/>
              <w:ind w:firstLine="0" w:firstLineChars="0"/>
              <w:jc w:val="center"/>
              <w:rPr>
                <w:rFonts w:hint="eastAsia" w:ascii="Times New Roman" w:hAnsi="Times New Roman" w:eastAsia="宋体" w:cs="Times New Roman"/>
                <w:b/>
                <w:bCs/>
                <w:color w:val="000000" w:themeColor="text1"/>
                <w:szCs w:val="24"/>
                <w:lang w:val="en-US" w:eastAsia="zh-CN"/>
              </w:rPr>
            </w:pPr>
            <w:r>
              <w:rPr>
                <w:rFonts w:hint="default" w:ascii="Times New Roman" w:hAnsi="Times New Roman" w:eastAsia="宋体" w:cs="Times New Roman"/>
                <w:b/>
                <w:bCs/>
                <w:color w:val="000000" w:themeColor="text1"/>
                <w:szCs w:val="24"/>
              </w:rPr>
              <w:t>图2-</w:t>
            </w:r>
            <w:r>
              <w:rPr>
                <w:rFonts w:hint="eastAsia" w:ascii="Times New Roman" w:hAnsi="Times New Roman" w:eastAsia="宋体" w:cs="Times New Roman"/>
                <w:b/>
                <w:bCs/>
                <w:color w:val="000000" w:themeColor="text1"/>
                <w:szCs w:val="24"/>
                <w:lang w:val="en-US" w:eastAsia="zh-CN"/>
              </w:rPr>
              <w:t>2</w:t>
            </w:r>
            <w:r>
              <w:rPr>
                <w:rFonts w:hint="default" w:ascii="Times New Roman" w:hAnsi="Times New Roman" w:eastAsia="宋体" w:cs="Times New Roman"/>
                <w:b/>
                <w:bCs/>
                <w:color w:val="000000" w:themeColor="text1"/>
                <w:szCs w:val="24"/>
              </w:rPr>
              <w:t xml:space="preserve"> </w:t>
            </w:r>
            <w:r>
              <w:rPr>
                <w:rFonts w:hint="eastAsia" w:ascii="Times New Roman" w:hAnsi="Times New Roman" w:eastAsia="宋体" w:cs="Times New Roman"/>
                <w:b/>
                <w:bCs/>
                <w:color w:val="000000" w:themeColor="text1"/>
                <w:szCs w:val="24"/>
                <w:lang w:val="en-US" w:eastAsia="zh-CN"/>
              </w:rPr>
              <w:t>干式变压器</w:t>
            </w:r>
            <w:r>
              <w:rPr>
                <w:rFonts w:hint="default" w:ascii="Times New Roman" w:hAnsi="Times New Roman" w:eastAsia="宋体" w:cs="Times New Roman"/>
                <w:b/>
                <w:bCs/>
                <w:color w:val="000000" w:themeColor="text1"/>
                <w:szCs w:val="24"/>
              </w:rPr>
              <w:t>生产工艺及产污节点</w:t>
            </w:r>
            <w:r>
              <w:rPr>
                <w:rFonts w:hint="eastAsia" w:ascii="Times New Roman" w:hAnsi="Times New Roman" w:eastAsia="宋体" w:cs="Times New Roman"/>
                <w:b/>
                <w:bCs/>
                <w:color w:val="000000" w:themeColor="text1"/>
                <w:szCs w:val="24"/>
                <w:lang w:val="en-US" w:eastAsia="zh-CN"/>
              </w:rPr>
              <w:t>图</w:t>
            </w:r>
          </w:p>
          <w:p w14:paraId="1FDE4E3A">
            <w:pPr>
              <w:pStyle w:val="125"/>
              <w:adjustRightInd w:val="0"/>
              <w:snapToGrid w:val="0"/>
              <w:spacing w:line="360" w:lineRule="auto"/>
              <w:ind w:firstLine="482" w:firstLineChars="200"/>
              <w:rPr>
                <w:rFonts w:hint="eastAsia" w:cs="Times New Roman"/>
                <w:b/>
                <w:bCs/>
                <w:color w:val="000000" w:themeColor="text1"/>
                <w:szCs w:val="24"/>
                <w:lang w:val="en-US" w:eastAsia="zh-CN"/>
              </w:rPr>
            </w:pPr>
            <w:r>
              <w:rPr>
                <w:rFonts w:hint="eastAsia" w:cs="Times New Roman"/>
                <w:b/>
                <w:bCs/>
                <w:color w:val="000000" w:themeColor="text1"/>
                <w:szCs w:val="24"/>
                <w:lang w:val="en-US" w:eastAsia="zh-CN"/>
              </w:rPr>
              <w:t>工艺流程说明：</w:t>
            </w:r>
          </w:p>
          <w:p w14:paraId="043836DB">
            <w:pPr>
              <w:pStyle w:val="125"/>
              <w:adjustRightInd w:val="0"/>
              <w:snapToGrid w:val="0"/>
              <w:spacing w:line="360" w:lineRule="auto"/>
              <w:ind w:firstLine="480" w:firstLineChars="200"/>
              <w:rPr>
                <w:rFonts w:hint="default" w:ascii="Times New Roman" w:hAnsi="Times New Roman" w:cs="Times New Roman"/>
                <w:color w:val="000000" w:themeColor="text1"/>
                <w:lang w:eastAsia="zh-CN"/>
              </w:rPr>
            </w:pPr>
            <w:r>
              <w:rPr>
                <w:rFonts w:hint="default" w:ascii="Times New Roman" w:hAnsi="Times New Roman" w:cs="Times New Roman"/>
                <w:color w:val="000000" w:themeColor="text1"/>
                <w:lang w:eastAsia="zh-CN"/>
              </w:rPr>
              <w:t>①线圈绕制：使用绕线机和箔绕机分别将铜（铝）线和铜（铝）箔绕制在绝缘材料上，绕线过程少量线圈需要进行焊接，项目采用氧气焊，氧气焊利用高温使焊接件熔化从而形成连接，此工序会产生焊接烟尘、焊渣、废铜（铝）线、废铜（铝）箔、废绝缘材料、噪声。</w:t>
            </w:r>
          </w:p>
          <w:p w14:paraId="749482C7">
            <w:pPr>
              <w:pStyle w:val="125"/>
              <w:adjustRightInd w:val="0"/>
              <w:snapToGrid w:val="0"/>
              <w:spacing w:line="360" w:lineRule="auto"/>
              <w:ind w:firstLine="480" w:firstLineChars="200"/>
              <w:rPr>
                <w:rFonts w:hint="default" w:ascii="Times New Roman" w:hAnsi="Times New Roman" w:cs="Times New Roman"/>
                <w:color w:val="000000" w:themeColor="text1"/>
                <w:lang w:val="en-US" w:eastAsia="zh-CN"/>
              </w:rPr>
            </w:pPr>
            <w:r>
              <w:rPr>
                <w:rFonts w:hint="eastAsia" w:cs="Times New Roman"/>
                <w:color w:val="000000" w:themeColor="text1"/>
                <w:lang w:val="en-US" w:eastAsia="zh-CN"/>
              </w:rPr>
              <w:t>②低压线圈干燥：将绕制好的低压线圈装入模具中，转移至固化炉中，固化炉采用电加热的方式，保持温度120℃。固化过程持续约6~8小时，完成后拆除模具。</w:t>
            </w:r>
          </w:p>
          <w:p w14:paraId="43D9E6C0">
            <w:pPr>
              <w:pStyle w:val="125"/>
              <w:adjustRightInd w:val="0"/>
              <w:snapToGrid w:val="0"/>
              <w:spacing w:line="360" w:lineRule="auto"/>
              <w:ind w:firstLine="480" w:firstLineChars="200"/>
              <w:rPr>
                <w:rFonts w:hint="default" w:ascii="Times New Roman" w:hAnsi="Times New Roman" w:cs="Times New Roman"/>
                <w:color w:val="000000" w:themeColor="text1"/>
                <w:lang w:eastAsia="zh-CN"/>
              </w:rPr>
            </w:pPr>
            <w:r>
              <w:rPr>
                <w:rFonts w:hint="eastAsia" w:cs="Times New Roman"/>
                <w:color w:val="000000" w:themeColor="text1"/>
                <w:lang w:val="en-US" w:eastAsia="zh-CN"/>
              </w:rPr>
              <w:t>③</w:t>
            </w:r>
            <w:r>
              <w:rPr>
                <w:rFonts w:hint="default" w:ascii="Times New Roman" w:hAnsi="Times New Roman" w:cs="Times New Roman"/>
                <w:color w:val="000000" w:themeColor="text1"/>
                <w:lang w:eastAsia="zh-CN"/>
              </w:rPr>
              <w:t>合模：将绕线后的</w:t>
            </w:r>
            <w:r>
              <w:rPr>
                <w:rFonts w:hint="eastAsia" w:cs="Times New Roman"/>
                <w:color w:val="000000" w:themeColor="text1"/>
                <w:lang w:val="en-US" w:eastAsia="zh-CN"/>
              </w:rPr>
              <w:t>高压</w:t>
            </w:r>
            <w:r>
              <w:rPr>
                <w:rFonts w:hint="default" w:ascii="Times New Roman" w:hAnsi="Times New Roman" w:cs="Times New Roman"/>
                <w:color w:val="000000" w:themeColor="text1"/>
                <w:lang w:eastAsia="zh-CN"/>
              </w:rPr>
              <w:t>线圈装入模具中，放入</w:t>
            </w:r>
            <w:r>
              <w:rPr>
                <w:rFonts w:hint="eastAsia" w:cs="Times New Roman"/>
                <w:color w:val="000000" w:themeColor="text1"/>
                <w:lang w:val="en-US" w:eastAsia="zh-CN"/>
              </w:rPr>
              <w:t>烘箱中</w:t>
            </w:r>
            <w:r>
              <w:rPr>
                <w:rFonts w:hint="default" w:ascii="Times New Roman" w:hAnsi="Times New Roman" w:cs="Times New Roman"/>
                <w:color w:val="000000" w:themeColor="text1"/>
                <w:lang w:eastAsia="zh-CN"/>
              </w:rPr>
              <w:t>进行预烘处理，防止工件变潮。预烘需在105℃至110℃条件下干燥10h（不含升温时间）。待浇注模具温度降到70℃～80℃后将其转入浇注罐中。为了后续的顺利脱模，需在模具上涂刷一层脱模剂，由于所使用的脱模剂主要为树脂聚合物及环保溶剂油，在常温下稳定不挥发，</w:t>
            </w:r>
            <w:r>
              <w:rPr>
                <w:rFonts w:hint="eastAsia" w:cs="Times New Roman"/>
                <w:color w:val="000000" w:themeColor="text1"/>
                <w:lang w:val="en-US" w:eastAsia="zh-CN"/>
              </w:rPr>
              <w:t>其沸点约98.4</w:t>
            </w:r>
            <w:r>
              <w:rPr>
                <w:rFonts w:hint="default" w:ascii="Times New Roman" w:hAnsi="Times New Roman" w:cs="Times New Roman"/>
                <w:color w:val="000000" w:themeColor="text1"/>
                <w:lang w:eastAsia="zh-CN"/>
              </w:rPr>
              <w:t>℃</w:t>
            </w:r>
            <w:r>
              <w:rPr>
                <w:rFonts w:hint="eastAsia" w:ascii="Times New Roman" w:hAnsi="Times New Roman" w:cs="Times New Roman"/>
                <w:color w:val="000000" w:themeColor="text1"/>
                <w:lang w:eastAsia="zh-CN"/>
              </w:rPr>
              <w:t>，</w:t>
            </w:r>
            <w:r>
              <w:rPr>
                <w:rFonts w:hint="default" w:ascii="Times New Roman" w:hAnsi="Times New Roman" w:cs="Times New Roman"/>
                <w:color w:val="000000" w:themeColor="text1"/>
                <w:lang w:eastAsia="zh-CN"/>
              </w:rPr>
              <w:t>因此此过程</w:t>
            </w:r>
            <w:r>
              <w:rPr>
                <w:rFonts w:hint="eastAsia" w:cs="Times New Roman"/>
                <w:color w:val="000000" w:themeColor="text1"/>
                <w:lang w:val="en-US" w:eastAsia="zh-CN"/>
              </w:rPr>
              <w:t>仅</w:t>
            </w:r>
            <w:r>
              <w:rPr>
                <w:rFonts w:hint="default" w:ascii="Times New Roman" w:hAnsi="Times New Roman" w:cs="Times New Roman"/>
                <w:color w:val="000000" w:themeColor="text1"/>
                <w:lang w:eastAsia="zh-CN"/>
              </w:rPr>
              <w:t>产生脱模剂包装</w:t>
            </w:r>
            <w:r>
              <w:rPr>
                <w:rFonts w:hint="eastAsia" w:cs="Times New Roman"/>
                <w:color w:val="000000" w:themeColor="text1"/>
                <w:lang w:val="en-US" w:eastAsia="zh-CN"/>
              </w:rPr>
              <w:t>桶</w:t>
            </w:r>
            <w:r>
              <w:rPr>
                <w:rFonts w:hint="default" w:ascii="Times New Roman" w:hAnsi="Times New Roman" w:cs="Times New Roman"/>
                <w:color w:val="000000" w:themeColor="text1"/>
                <w:lang w:eastAsia="zh-CN"/>
              </w:rPr>
              <w:t>。</w:t>
            </w:r>
          </w:p>
          <w:p w14:paraId="771539E3">
            <w:pPr>
              <w:pStyle w:val="125"/>
              <w:adjustRightInd w:val="0"/>
              <w:snapToGrid w:val="0"/>
              <w:spacing w:line="360" w:lineRule="auto"/>
              <w:ind w:firstLine="480" w:firstLineChars="200"/>
              <w:rPr>
                <w:rFonts w:hint="default" w:ascii="Times New Roman" w:hAnsi="Times New Roman" w:cs="Times New Roman"/>
                <w:color w:val="000000" w:themeColor="text1"/>
                <w:lang w:eastAsia="zh-CN"/>
              </w:rPr>
            </w:pPr>
            <w:r>
              <w:rPr>
                <w:rFonts w:hint="default" w:ascii="Times New Roman" w:hAnsi="Times New Roman" w:cs="Times New Roman"/>
                <w:color w:val="000000" w:themeColor="text1"/>
                <w:lang w:eastAsia="zh-CN"/>
              </w:rPr>
              <w:t>③</w:t>
            </w:r>
            <w:r>
              <w:rPr>
                <w:rFonts w:hint="eastAsia" w:cs="Times New Roman"/>
                <w:color w:val="000000" w:themeColor="text1"/>
                <w:lang w:val="en-US" w:eastAsia="zh-CN"/>
              </w:rPr>
              <w:t>线圈真空</w:t>
            </w:r>
            <w:r>
              <w:rPr>
                <w:rFonts w:hint="default" w:ascii="Times New Roman" w:hAnsi="Times New Roman" w:cs="Times New Roman"/>
                <w:color w:val="000000" w:themeColor="text1"/>
                <w:lang w:eastAsia="zh-CN"/>
              </w:rPr>
              <w:t>浇注</w:t>
            </w:r>
          </w:p>
          <w:p w14:paraId="53C153AB">
            <w:pPr>
              <w:pStyle w:val="125"/>
              <w:adjustRightInd w:val="0"/>
              <w:snapToGrid w:val="0"/>
              <w:spacing w:line="360" w:lineRule="auto"/>
              <w:ind w:firstLine="480" w:firstLineChars="200"/>
              <w:rPr>
                <w:rFonts w:hint="default" w:ascii="Times New Roman" w:hAnsi="Times New Roman" w:cs="Times New Roman"/>
                <w:color w:val="000000" w:themeColor="text1"/>
                <w:lang w:eastAsia="zh-CN"/>
              </w:rPr>
            </w:pPr>
            <w:r>
              <w:rPr>
                <w:rFonts w:hint="default" w:ascii="Times New Roman" w:hAnsi="Times New Roman" w:cs="Times New Roman"/>
                <w:color w:val="000000" w:themeColor="text1"/>
                <w:lang w:eastAsia="zh-CN"/>
              </w:rPr>
              <w:t>把线圈放入真空浇注罐内浇注混合环氧树脂，</w:t>
            </w:r>
            <w:r>
              <w:rPr>
                <w:rFonts w:hint="eastAsia" w:cs="Times New Roman"/>
                <w:color w:val="000000" w:themeColor="text1"/>
                <w:lang w:val="en-US" w:eastAsia="zh-CN"/>
              </w:rPr>
              <w:t>环氧树脂A、B料</w:t>
            </w:r>
            <w:r>
              <w:rPr>
                <w:rFonts w:hint="default" w:ascii="Times New Roman" w:hAnsi="Times New Roman" w:cs="Times New Roman"/>
                <w:color w:val="000000" w:themeColor="text1"/>
                <w:lang w:eastAsia="zh-CN"/>
              </w:rPr>
              <w:t>由计量泵系统分别输送至浇注设备的静态混料器中，并通过浇注枪口将混合胶料(真空下)注入线圈模具中。浇注罐内真空度约3mbar，通过电加热将浇注罐内温度升至</w:t>
            </w:r>
            <w:r>
              <w:rPr>
                <w:rFonts w:hint="eastAsia" w:cs="Times New Roman"/>
                <w:color w:val="000000" w:themeColor="text1"/>
                <w:lang w:val="en-US" w:eastAsia="zh-CN"/>
              </w:rPr>
              <w:t>80</w:t>
            </w:r>
            <w:r>
              <w:rPr>
                <w:rFonts w:hint="default" w:ascii="Times New Roman" w:hAnsi="Times New Roman" w:cs="Times New Roman"/>
                <w:color w:val="000000" w:themeColor="text1"/>
                <w:lang w:eastAsia="zh-CN"/>
              </w:rPr>
              <w:t>℃，进行真空密闭浇注，浇注完毕后在密闭罐内恒温静置1h。浇注过程为浇注罐内密闭进行，会产生一定的有机废气、废环氧树脂桶。</w:t>
            </w:r>
          </w:p>
          <w:p w14:paraId="0BBBCF6E">
            <w:pPr>
              <w:pStyle w:val="125"/>
              <w:adjustRightInd w:val="0"/>
              <w:snapToGrid w:val="0"/>
              <w:spacing w:line="360" w:lineRule="auto"/>
              <w:ind w:firstLine="480" w:firstLineChars="200"/>
              <w:rPr>
                <w:rFonts w:hint="default" w:ascii="Times New Roman" w:hAnsi="Times New Roman" w:cs="Times New Roman"/>
                <w:color w:val="000000" w:themeColor="text1"/>
                <w:lang w:eastAsia="zh-CN"/>
              </w:rPr>
            </w:pPr>
            <w:r>
              <w:rPr>
                <w:rFonts w:hint="default" w:ascii="Times New Roman" w:hAnsi="Times New Roman" w:cs="Times New Roman"/>
                <w:color w:val="000000" w:themeColor="text1"/>
                <w:lang w:eastAsia="zh-CN"/>
              </w:rPr>
              <w:t>④固化：将浇注好的高压线圈从浇注罐内取出，送进电热鼓风干燥箱（电加热）内先进行预固化（温度75℃，保持</w:t>
            </w:r>
            <w:r>
              <w:rPr>
                <w:rFonts w:hint="eastAsia" w:cs="Times New Roman"/>
                <w:color w:val="000000" w:themeColor="text1"/>
                <w:lang w:val="en-US" w:eastAsia="zh-CN"/>
              </w:rPr>
              <w:t>5</w:t>
            </w:r>
            <w:r>
              <w:rPr>
                <w:rFonts w:hint="default" w:ascii="Times New Roman" w:hAnsi="Times New Roman" w:cs="Times New Roman"/>
                <w:color w:val="000000" w:themeColor="text1"/>
                <w:lang w:eastAsia="zh-CN"/>
              </w:rPr>
              <w:t>h；再升温至90℃，保持</w:t>
            </w:r>
            <w:r>
              <w:rPr>
                <w:rFonts w:hint="eastAsia" w:cs="Times New Roman"/>
                <w:color w:val="000000" w:themeColor="text1"/>
                <w:lang w:val="en-US" w:eastAsia="zh-CN"/>
              </w:rPr>
              <w:t>5</w:t>
            </w:r>
            <w:r>
              <w:rPr>
                <w:rFonts w:hint="default" w:ascii="Times New Roman" w:hAnsi="Times New Roman" w:cs="Times New Roman"/>
                <w:color w:val="000000" w:themeColor="text1"/>
                <w:lang w:eastAsia="zh-CN"/>
              </w:rPr>
              <w:t>h）</w:t>
            </w:r>
            <w:r>
              <w:rPr>
                <w:rFonts w:hint="eastAsia" w:cs="Times New Roman"/>
                <w:color w:val="000000" w:themeColor="text1"/>
                <w:lang w:eastAsia="zh-CN"/>
              </w:rPr>
              <w:t>，</w:t>
            </w:r>
            <w:r>
              <w:rPr>
                <w:rFonts w:hint="default" w:ascii="Times New Roman" w:hAnsi="Times New Roman" w:cs="Times New Roman"/>
                <w:color w:val="000000" w:themeColor="text1"/>
                <w:lang w:eastAsia="zh-CN"/>
              </w:rPr>
              <w:t>待树脂达到凝胶状态后，再进行固化（温度</w:t>
            </w:r>
            <w:r>
              <w:rPr>
                <w:rFonts w:hint="eastAsia" w:cs="Times New Roman"/>
                <w:color w:val="000000" w:themeColor="text1"/>
                <w:lang w:val="en-US" w:eastAsia="zh-CN"/>
              </w:rPr>
              <w:t>120</w:t>
            </w:r>
            <w:r>
              <w:rPr>
                <w:rFonts w:hint="default" w:ascii="Times New Roman" w:hAnsi="Times New Roman" w:cs="Times New Roman"/>
                <w:color w:val="000000" w:themeColor="text1"/>
                <w:lang w:eastAsia="zh-CN"/>
              </w:rPr>
              <w:t>℃，保持</w:t>
            </w:r>
            <w:r>
              <w:rPr>
                <w:rFonts w:hint="eastAsia" w:cs="Times New Roman"/>
                <w:color w:val="000000" w:themeColor="text1"/>
                <w:lang w:val="en-US" w:eastAsia="zh-CN"/>
              </w:rPr>
              <w:t>6~8</w:t>
            </w:r>
            <w:r>
              <w:rPr>
                <w:rFonts w:hint="default" w:ascii="Times New Roman" w:hAnsi="Times New Roman" w:cs="Times New Roman"/>
                <w:color w:val="000000" w:themeColor="text1"/>
                <w:lang w:eastAsia="zh-CN"/>
              </w:rPr>
              <w:t>h）；固化结束后降温至75℃，线圈出炉。因环氧树脂在无氧条件下的热分解温度通常在300℃以上，而在有氧条件下的热分解温度则在180～200℃之间。本项目浇注固化为真空环境，项目最高温度为12</w:t>
            </w:r>
            <w:r>
              <w:rPr>
                <w:rFonts w:hint="eastAsia" w:cs="Times New Roman"/>
                <w:color w:val="000000" w:themeColor="text1"/>
                <w:lang w:val="en-US" w:eastAsia="zh-CN"/>
              </w:rPr>
              <w:t>0</w:t>
            </w:r>
            <w:r>
              <w:rPr>
                <w:rFonts w:hint="default" w:ascii="Times New Roman" w:hAnsi="Times New Roman" w:cs="Times New Roman"/>
                <w:color w:val="000000" w:themeColor="text1"/>
                <w:lang w:eastAsia="zh-CN"/>
              </w:rPr>
              <w:t>℃，环氧树脂不会分解</w:t>
            </w:r>
            <w:r>
              <w:rPr>
                <w:rFonts w:hint="eastAsia" w:cs="Times New Roman"/>
                <w:color w:val="000000" w:themeColor="text1"/>
                <w:lang w:eastAsia="zh-CN"/>
              </w:rPr>
              <w:t>，</w:t>
            </w:r>
            <w:r>
              <w:rPr>
                <w:rFonts w:hint="default" w:ascii="Times New Roman" w:hAnsi="Times New Roman" w:cs="Times New Roman"/>
                <w:color w:val="000000" w:themeColor="text1"/>
                <w:lang w:eastAsia="zh-CN"/>
              </w:rPr>
              <w:t>固化过程会产生有机废气。</w:t>
            </w:r>
          </w:p>
          <w:p w14:paraId="79B97190">
            <w:pPr>
              <w:pStyle w:val="125"/>
              <w:adjustRightInd w:val="0"/>
              <w:snapToGrid w:val="0"/>
              <w:spacing w:line="360" w:lineRule="auto"/>
              <w:ind w:firstLine="480" w:firstLineChars="200"/>
              <w:rPr>
                <w:rFonts w:hint="default" w:ascii="Times New Roman" w:hAnsi="Times New Roman" w:cs="Times New Roman"/>
                <w:color w:val="000000" w:themeColor="text1"/>
                <w:lang w:eastAsia="zh-CN"/>
              </w:rPr>
            </w:pPr>
            <w:r>
              <w:rPr>
                <w:rFonts w:hint="default" w:ascii="Times New Roman" w:hAnsi="Times New Roman" w:cs="Times New Roman"/>
                <w:color w:val="000000" w:themeColor="text1"/>
                <w:lang w:eastAsia="zh-CN"/>
              </w:rPr>
              <w:t>⑤拆模：将模具从固化后的线圈上拆除。</w:t>
            </w:r>
          </w:p>
          <w:p w14:paraId="3AF4C28D">
            <w:pPr>
              <w:pStyle w:val="125"/>
              <w:adjustRightInd w:val="0"/>
              <w:snapToGrid w:val="0"/>
              <w:spacing w:line="360" w:lineRule="auto"/>
              <w:ind w:firstLine="480" w:firstLineChars="200"/>
              <w:rPr>
                <w:rFonts w:hint="default" w:ascii="Times New Roman" w:hAnsi="Times New Roman" w:cs="Times New Roman"/>
                <w:color w:val="000000" w:themeColor="text1"/>
                <w:lang w:eastAsia="zh-CN"/>
              </w:rPr>
            </w:pPr>
            <w:r>
              <w:rPr>
                <w:rFonts w:hint="default" w:ascii="Times New Roman" w:hAnsi="Times New Roman" w:cs="Times New Roman"/>
                <w:color w:val="000000" w:themeColor="text1"/>
                <w:lang w:eastAsia="zh-CN"/>
              </w:rPr>
              <w:t>⑥修整：用美工刀将固化后环氧树脂外的毛刺、不平整处进行手工修整。此过程中产生少量废边角料。</w:t>
            </w:r>
          </w:p>
          <w:p w14:paraId="612FE54C">
            <w:pPr>
              <w:pStyle w:val="125"/>
              <w:adjustRightInd w:val="0"/>
              <w:snapToGrid w:val="0"/>
              <w:spacing w:line="360" w:lineRule="auto"/>
              <w:ind w:firstLine="480" w:firstLineChars="200"/>
              <w:rPr>
                <w:rFonts w:hint="default" w:ascii="Times New Roman" w:hAnsi="Times New Roman" w:cs="Times New Roman"/>
                <w:color w:val="000000" w:themeColor="text1"/>
                <w:lang w:eastAsia="zh-CN"/>
              </w:rPr>
            </w:pPr>
            <w:r>
              <w:rPr>
                <w:rFonts w:hint="default" w:ascii="Times New Roman" w:hAnsi="Times New Roman" w:cs="Times New Roman"/>
                <w:color w:val="000000" w:themeColor="text1"/>
                <w:lang w:eastAsia="zh-CN"/>
              </w:rPr>
              <w:t>⑦装配：将外购的铁芯与线圈等零配件进行人工手动组装，组装过程主要为螺丝固定。</w:t>
            </w:r>
          </w:p>
          <w:p w14:paraId="734A2879">
            <w:pPr>
              <w:pStyle w:val="125"/>
              <w:adjustRightInd w:val="0"/>
              <w:snapToGrid w:val="0"/>
              <w:spacing w:line="360" w:lineRule="auto"/>
              <w:ind w:firstLine="480" w:firstLineChars="200"/>
              <w:rPr>
                <w:rFonts w:hint="default" w:ascii="Times New Roman" w:hAnsi="Times New Roman" w:cs="Times New Roman"/>
                <w:color w:val="000000" w:themeColor="text1"/>
                <w:lang w:eastAsia="zh-CN"/>
              </w:rPr>
            </w:pPr>
            <w:r>
              <w:rPr>
                <w:rFonts w:hint="default" w:ascii="Times New Roman" w:hAnsi="Times New Roman" w:cs="Times New Roman"/>
                <w:color w:val="000000" w:themeColor="text1"/>
                <w:lang w:eastAsia="zh-CN"/>
              </w:rPr>
              <w:t>⑧测试：根据检验结果分析原因，</w:t>
            </w:r>
            <w:r>
              <w:rPr>
                <w:rFonts w:hint="eastAsia" w:cs="Times New Roman"/>
                <w:color w:val="000000" w:themeColor="text1"/>
                <w:lang w:val="en-US" w:eastAsia="zh-CN"/>
              </w:rPr>
              <w:t>合格产品入库代售。</w:t>
            </w:r>
            <w:r>
              <w:rPr>
                <w:rFonts w:hint="default" w:ascii="Times New Roman" w:hAnsi="Times New Roman" w:cs="Times New Roman"/>
                <w:color w:val="000000" w:themeColor="text1"/>
                <w:lang w:eastAsia="zh-CN"/>
              </w:rPr>
              <w:t>对不合格品</w:t>
            </w:r>
            <w:r>
              <w:rPr>
                <w:rFonts w:hint="eastAsia" w:cs="Times New Roman"/>
                <w:color w:val="000000" w:themeColor="text1"/>
                <w:lang w:eastAsia="zh-CN"/>
              </w:rPr>
              <w:t>，</w:t>
            </w:r>
            <w:r>
              <w:rPr>
                <w:rFonts w:hint="eastAsia" w:cs="Times New Roman"/>
                <w:color w:val="000000" w:themeColor="text1"/>
                <w:lang w:val="en-US" w:eastAsia="zh-CN"/>
              </w:rPr>
              <w:t>可进行返修的进行返修，无法返修的进行报废处置，回收有价值部件。不可回收的如少量铜（铝）线、铜（铝）箔、绝缘材料和树脂等作为固废处置</w:t>
            </w:r>
            <w:r>
              <w:rPr>
                <w:rFonts w:hint="default" w:ascii="Times New Roman" w:hAnsi="Times New Roman" w:cs="Times New Roman"/>
                <w:color w:val="000000" w:themeColor="text1"/>
                <w:lang w:eastAsia="zh-CN"/>
              </w:rPr>
              <w:t>。</w:t>
            </w:r>
          </w:p>
          <w:p w14:paraId="6D01C249">
            <w:pPr>
              <w:pStyle w:val="125"/>
              <w:adjustRightInd w:val="0"/>
              <w:snapToGrid w:val="0"/>
              <w:spacing w:line="360" w:lineRule="auto"/>
              <w:ind w:firstLine="482" w:firstLineChars="200"/>
              <w:rPr>
                <w:rFonts w:hint="eastAsia" w:cs="Times New Roman"/>
                <w:b/>
                <w:bCs/>
                <w:color w:val="000000" w:themeColor="text1"/>
                <w:lang w:val="en-US" w:eastAsia="zh-CN"/>
              </w:rPr>
            </w:pPr>
            <w:r>
              <w:rPr>
                <w:rFonts w:hint="eastAsia" w:cs="Times New Roman"/>
                <w:b/>
                <w:bCs/>
                <w:color w:val="000000" w:themeColor="text1"/>
                <w:lang w:val="en-US" w:eastAsia="zh-CN"/>
              </w:rPr>
              <w:t>2.1.3配电控制设备生产工艺简述</w:t>
            </w:r>
          </w:p>
          <w:p w14:paraId="25376729">
            <w:pPr>
              <w:pStyle w:val="125"/>
              <w:adjustRightInd w:val="0"/>
              <w:snapToGrid w:val="0"/>
              <w:spacing w:line="360" w:lineRule="auto"/>
              <w:ind w:firstLine="480" w:firstLineChars="200"/>
              <w:rPr>
                <w:rFonts w:hint="eastAsia" w:cs="Times New Roman"/>
                <w:color w:val="000000" w:themeColor="text1"/>
                <w:lang w:val="en-US" w:eastAsia="zh-CN"/>
              </w:rPr>
            </w:pPr>
            <w:r>
              <w:rPr>
                <w:rFonts w:hint="eastAsia" w:cs="Times New Roman"/>
                <w:color w:val="000000" w:themeColor="text1"/>
                <w:lang w:val="en-US" w:eastAsia="zh-CN"/>
              </w:rPr>
              <w:t>本项目将外购的箱体与生产的干式变压器或油浸式变压器等配件进行组装，即可得到配电控制设备，该过程无污染物产生。</w:t>
            </w:r>
          </w:p>
          <w:p w14:paraId="4D35157F">
            <w:pPr>
              <w:pStyle w:val="145"/>
              <w:ind w:firstLine="480"/>
              <w:rPr>
                <w:rFonts w:hint="default" w:ascii="Times New Roman" w:hAnsi="Times New Roman" w:eastAsia="宋体" w:cs="Times New Roman"/>
                <w:b/>
                <w:bCs/>
                <w:color w:val="000000" w:themeColor="text1"/>
                <w:lang w:val="en-US" w:eastAsia="zh-CN"/>
              </w:rPr>
            </w:pPr>
            <w:r>
              <w:rPr>
                <w:rFonts w:hint="eastAsia" w:ascii="Times New Roman" w:hAnsi="Times New Roman" w:eastAsia="宋体" w:cs="Times New Roman"/>
                <w:b/>
                <w:bCs/>
                <w:color w:val="000000" w:themeColor="text1"/>
                <w:lang w:val="en-US" w:eastAsia="zh-CN"/>
              </w:rPr>
              <w:t>2.2本项目产物环节汇总</w:t>
            </w:r>
          </w:p>
          <w:p w14:paraId="683001DF">
            <w:pPr>
              <w:spacing w:line="360" w:lineRule="auto"/>
              <w:ind w:firstLine="480" w:firstLineChars="200"/>
              <w:rPr>
                <w:rFonts w:hint="default" w:ascii="Times New Roman" w:hAnsi="Times New Roman" w:cs="Times New Roman"/>
                <w:color w:val="000000" w:themeColor="text1"/>
                <w:sz w:val="24"/>
              </w:rPr>
            </w:pPr>
            <w:r>
              <w:rPr>
                <w:rFonts w:hint="default" w:ascii="Times New Roman" w:hAnsi="Times New Roman" w:cs="Times New Roman"/>
                <w:color w:val="000000" w:themeColor="text1"/>
                <w:sz w:val="24"/>
              </w:rPr>
              <w:t>根据以上工艺流程分析，本项目运营期主要污染因子、产生环节及拟定的环保措施分析见下表所示。</w:t>
            </w:r>
          </w:p>
          <w:p w14:paraId="0214B0C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000000" w:themeColor="text1"/>
                <w:sz w:val="24"/>
                <w:szCs w:val="24"/>
                <w:lang w:val="en-US" w:eastAsia="zh-CN"/>
              </w:rPr>
            </w:pPr>
            <w:r>
              <w:rPr>
                <w:rFonts w:hint="eastAsia" w:ascii="Times New Roman" w:hAnsi="Times New Roman" w:cs="Times New Roman"/>
                <w:b/>
                <w:bCs/>
                <w:color w:val="000000" w:themeColor="text1"/>
                <w:sz w:val="24"/>
                <w:szCs w:val="24"/>
                <w:lang w:val="en-US" w:eastAsia="zh-CN"/>
              </w:rPr>
              <w:t>表2-10  本项目运营期主要污染因子及防治措施汇总一览表</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8"/>
              <w:gridCol w:w="2179"/>
              <w:gridCol w:w="1388"/>
              <w:gridCol w:w="4262"/>
            </w:tblGrid>
            <w:tr w14:paraId="769661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36" w:type="pct"/>
                  <w:gridSpan w:val="2"/>
                  <w:noWrap w:val="0"/>
                  <w:vAlign w:val="center"/>
                </w:tcPr>
                <w:p w14:paraId="7688B989">
                  <w:pPr>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产污环节</w:t>
                  </w:r>
                </w:p>
              </w:tc>
              <w:tc>
                <w:tcPr>
                  <w:tcW w:w="826" w:type="pct"/>
                  <w:noWrap w:val="0"/>
                  <w:vAlign w:val="center"/>
                </w:tcPr>
                <w:p w14:paraId="4187B995">
                  <w:pPr>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污染物</w:t>
                  </w:r>
                </w:p>
              </w:tc>
              <w:tc>
                <w:tcPr>
                  <w:tcW w:w="2537" w:type="pct"/>
                  <w:noWrap w:val="0"/>
                  <w:vAlign w:val="center"/>
                </w:tcPr>
                <w:p w14:paraId="3EFB06F1">
                  <w:pPr>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处理、处置措施</w:t>
                  </w:r>
                </w:p>
              </w:tc>
            </w:tr>
            <w:tr w14:paraId="23839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339" w:type="pct"/>
                  <w:vMerge w:val="restart"/>
                  <w:noWrap w:val="0"/>
                  <w:vAlign w:val="center"/>
                </w:tcPr>
                <w:p w14:paraId="05F7711A">
                  <w:pPr>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废气</w:t>
                  </w:r>
                </w:p>
              </w:tc>
              <w:tc>
                <w:tcPr>
                  <w:tcW w:w="1297" w:type="pct"/>
                  <w:noWrap w:val="0"/>
                  <w:vAlign w:val="center"/>
                </w:tcPr>
                <w:p w14:paraId="47A52F83">
                  <w:pPr>
                    <w:jc w:val="center"/>
                    <w:rPr>
                      <w:rFonts w:hint="default" w:ascii="Times New Roman" w:hAnsi="Times New Roman" w:cs="Times New Roman"/>
                      <w:color w:val="000000" w:themeColor="text1"/>
                      <w:szCs w:val="21"/>
                      <w:lang w:val="en-US" w:eastAsia="zh-CN"/>
                    </w:rPr>
                  </w:pPr>
                  <w:r>
                    <w:rPr>
                      <w:rFonts w:hint="eastAsia" w:ascii="Times New Roman" w:hAnsi="Times New Roman" w:cs="Times New Roman"/>
                      <w:color w:val="000000" w:themeColor="text1"/>
                      <w:szCs w:val="21"/>
                      <w:lang w:val="en-US" w:eastAsia="zh-CN"/>
                    </w:rPr>
                    <w:t>组装焊接</w:t>
                  </w:r>
                </w:p>
              </w:tc>
              <w:tc>
                <w:tcPr>
                  <w:tcW w:w="826" w:type="pct"/>
                  <w:noWrap w:val="0"/>
                  <w:vAlign w:val="center"/>
                </w:tcPr>
                <w:p w14:paraId="182F8E67">
                  <w:pPr>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颗粒物</w:t>
                  </w:r>
                </w:p>
              </w:tc>
              <w:tc>
                <w:tcPr>
                  <w:tcW w:w="2537" w:type="pct"/>
                  <w:noWrap w:val="0"/>
                  <w:vAlign w:val="center"/>
                </w:tcPr>
                <w:p w14:paraId="7BBBD784">
                  <w:pPr>
                    <w:jc w:val="center"/>
                    <w:rPr>
                      <w:rFonts w:hint="default" w:ascii="Times New Roman" w:hAnsi="Times New Roman" w:eastAsia="宋体" w:cs="Times New Roman"/>
                      <w:color w:val="000000" w:themeColor="text1"/>
                      <w:szCs w:val="21"/>
                      <w:lang w:val="en-US" w:eastAsia="zh-CN"/>
                    </w:rPr>
                  </w:pPr>
                  <w:r>
                    <w:rPr>
                      <w:rFonts w:hint="eastAsia" w:cs="Times New Roman"/>
                      <w:color w:val="000000" w:themeColor="text1"/>
                      <w:szCs w:val="21"/>
                      <w:lang w:val="en-US" w:eastAsia="zh-CN"/>
                    </w:rPr>
                    <w:t>移动式净化器处理后无组织排放</w:t>
                  </w:r>
                </w:p>
              </w:tc>
            </w:tr>
            <w:tr w14:paraId="6F2347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9" w:hRule="atLeast"/>
                <w:jc w:val="center"/>
              </w:trPr>
              <w:tc>
                <w:tcPr>
                  <w:tcW w:w="339" w:type="pct"/>
                  <w:vMerge w:val="continue"/>
                  <w:noWrap w:val="0"/>
                  <w:vAlign w:val="center"/>
                </w:tcPr>
                <w:p w14:paraId="32B284BC">
                  <w:pPr>
                    <w:jc w:val="center"/>
                    <w:rPr>
                      <w:rFonts w:hint="default" w:ascii="Times New Roman" w:hAnsi="Times New Roman" w:cs="Times New Roman"/>
                      <w:color w:val="000000" w:themeColor="text1"/>
                      <w:szCs w:val="21"/>
                    </w:rPr>
                  </w:pPr>
                </w:p>
              </w:tc>
              <w:tc>
                <w:tcPr>
                  <w:tcW w:w="1297" w:type="pct"/>
                  <w:noWrap w:val="0"/>
                  <w:vAlign w:val="center"/>
                </w:tcPr>
                <w:p w14:paraId="5FDAB45F">
                  <w:pPr>
                    <w:jc w:val="center"/>
                    <w:rPr>
                      <w:rFonts w:hint="default" w:ascii="Times New Roman" w:hAnsi="Times New Roman" w:cs="Times New Roman"/>
                      <w:color w:val="000000" w:themeColor="text1"/>
                      <w:szCs w:val="21"/>
                      <w:lang w:val="en-US" w:eastAsia="zh-CN"/>
                    </w:rPr>
                  </w:pPr>
                  <w:r>
                    <w:rPr>
                      <w:rFonts w:hint="eastAsia" w:ascii="Times New Roman" w:hAnsi="Times New Roman" w:cs="Times New Roman"/>
                      <w:color w:val="000000" w:themeColor="text1"/>
                      <w:szCs w:val="21"/>
                      <w:lang w:val="en-US" w:eastAsia="zh-CN"/>
                    </w:rPr>
                    <w:t>浇筑、固化</w:t>
                  </w:r>
                </w:p>
              </w:tc>
              <w:tc>
                <w:tcPr>
                  <w:tcW w:w="826" w:type="pct"/>
                  <w:noWrap w:val="0"/>
                  <w:vAlign w:val="center"/>
                </w:tcPr>
                <w:p w14:paraId="21A78679">
                  <w:pPr>
                    <w:jc w:val="center"/>
                    <w:rPr>
                      <w:rFonts w:hint="default" w:ascii="Times New Roman" w:hAnsi="Times New Roman" w:eastAsia="宋体" w:cs="Times New Roman"/>
                      <w:color w:val="000000" w:themeColor="text1"/>
                      <w:szCs w:val="21"/>
                      <w:lang w:val="en-US" w:eastAsia="zh-CN"/>
                    </w:rPr>
                  </w:pPr>
                  <w:r>
                    <w:rPr>
                      <w:rFonts w:hint="eastAsia" w:ascii="Times New Roman" w:hAnsi="Times New Roman" w:cs="Times New Roman"/>
                      <w:color w:val="000000" w:themeColor="text1"/>
                      <w:szCs w:val="21"/>
                      <w:lang w:val="en-US" w:eastAsia="zh-CN"/>
                    </w:rPr>
                    <w:t>非甲烷总烃</w:t>
                  </w:r>
                </w:p>
              </w:tc>
              <w:tc>
                <w:tcPr>
                  <w:tcW w:w="2537" w:type="pct"/>
                  <w:noWrap w:val="0"/>
                  <w:vAlign w:val="center"/>
                </w:tcPr>
                <w:p w14:paraId="5039E277">
                  <w:pPr>
                    <w:jc w:val="center"/>
                    <w:rPr>
                      <w:rFonts w:hint="default" w:ascii="Times New Roman" w:hAnsi="Times New Roman" w:eastAsia="宋体" w:cs="Times New Roman"/>
                      <w:color w:val="000000" w:themeColor="text1"/>
                      <w:szCs w:val="21"/>
                      <w:lang w:val="en-US" w:eastAsia="zh-CN"/>
                    </w:rPr>
                  </w:pPr>
                  <w:r>
                    <w:rPr>
                      <w:rFonts w:hint="eastAsia" w:cs="Times New Roman"/>
                      <w:color w:val="000000" w:themeColor="text1"/>
                      <w:szCs w:val="21"/>
                      <w:lang w:val="en-US" w:eastAsia="zh-CN"/>
                    </w:rPr>
                    <w:t>浇筑废气经集气罩收集，固化废气经密封管道收集后经干式过滤棉+二级活性炭处理后经15m高排气筒DA001排放</w:t>
                  </w:r>
                </w:p>
              </w:tc>
            </w:tr>
            <w:tr w14:paraId="416C4A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9" w:hRule="atLeast"/>
                <w:jc w:val="center"/>
              </w:trPr>
              <w:tc>
                <w:tcPr>
                  <w:tcW w:w="339" w:type="pct"/>
                  <w:vMerge w:val="continue"/>
                  <w:noWrap w:val="0"/>
                  <w:vAlign w:val="center"/>
                </w:tcPr>
                <w:p w14:paraId="56DF6CBD">
                  <w:pPr>
                    <w:jc w:val="center"/>
                    <w:rPr>
                      <w:rFonts w:hint="default" w:ascii="Times New Roman" w:hAnsi="Times New Roman" w:cs="Times New Roman"/>
                      <w:color w:val="000000" w:themeColor="text1"/>
                      <w:szCs w:val="21"/>
                    </w:rPr>
                  </w:pPr>
                </w:p>
              </w:tc>
              <w:tc>
                <w:tcPr>
                  <w:tcW w:w="1297" w:type="pct"/>
                  <w:noWrap w:val="0"/>
                  <w:vAlign w:val="center"/>
                </w:tcPr>
                <w:p w14:paraId="2AA5A096">
                  <w:pPr>
                    <w:jc w:val="center"/>
                    <w:rPr>
                      <w:rFonts w:hint="default" w:ascii="Times New Roman" w:hAnsi="Times New Roman" w:cs="Times New Roman"/>
                      <w:color w:val="000000" w:themeColor="text1"/>
                      <w:szCs w:val="21"/>
                      <w:lang w:val="en-US" w:eastAsia="zh-CN"/>
                    </w:rPr>
                  </w:pPr>
                  <w:r>
                    <w:rPr>
                      <w:rFonts w:hint="eastAsia" w:cs="Times New Roman"/>
                      <w:color w:val="000000" w:themeColor="text1"/>
                      <w:szCs w:val="21"/>
                      <w:lang w:val="en-US" w:eastAsia="zh-CN"/>
                    </w:rPr>
                    <w:t>变压器油储罐呼吸废气</w:t>
                  </w:r>
                </w:p>
              </w:tc>
              <w:tc>
                <w:tcPr>
                  <w:tcW w:w="826" w:type="pct"/>
                  <w:noWrap w:val="0"/>
                  <w:vAlign w:val="center"/>
                </w:tcPr>
                <w:p w14:paraId="083C618F">
                  <w:pPr>
                    <w:jc w:val="center"/>
                    <w:rPr>
                      <w:rFonts w:hint="default" w:ascii="Times New Roman" w:hAnsi="Times New Roman" w:cs="Times New Roman"/>
                      <w:color w:val="000000" w:themeColor="text1"/>
                      <w:szCs w:val="21"/>
                      <w:lang w:val="en-US" w:eastAsia="zh-CN"/>
                    </w:rPr>
                  </w:pPr>
                  <w:r>
                    <w:rPr>
                      <w:rFonts w:hint="eastAsia" w:cs="Times New Roman"/>
                      <w:color w:val="000000" w:themeColor="text1"/>
                      <w:szCs w:val="21"/>
                      <w:lang w:val="en-US" w:eastAsia="zh-CN"/>
                    </w:rPr>
                    <w:t>非甲烷总烃</w:t>
                  </w:r>
                </w:p>
              </w:tc>
              <w:tc>
                <w:tcPr>
                  <w:tcW w:w="2537" w:type="pct"/>
                  <w:noWrap w:val="0"/>
                  <w:vAlign w:val="center"/>
                </w:tcPr>
                <w:p w14:paraId="7805CDD8">
                  <w:pPr>
                    <w:jc w:val="center"/>
                    <w:rPr>
                      <w:rFonts w:hint="default" w:cs="Times New Roman"/>
                      <w:color w:val="000000" w:themeColor="text1"/>
                      <w:szCs w:val="21"/>
                      <w:lang w:val="en-US" w:eastAsia="zh-CN"/>
                    </w:rPr>
                  </w:pPr>
                  <w:r>
                    <w:rPr>
                      <w:rFonts w:hint="eastAsia" w:cs="Times New Roman"/>
                      <w:color w:val="000000" w:themeColor="text1"/>
                      <w:szCs w:val="21"/>
                      <w:lang w:val="en-US" w:eastAsia="zh-CN"/>
                    </w:rPr>
                    <w:t>废气经集气罩收集后，引至干式过滤棉+二级活性炭处理后，经15m高排气筒DA001排放</w:t>
                  </w:r>
                </w:p>
              </w:tc>
            </w:tr>
            <w:tr w14:paraId="37894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noWrap w:val="0"/>
                  <w:vAlign w:val="center"/>
                </w:tcPr>
                <w:p w14:paraId="50362DE0">
                  <w:pPr>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废水</w:t>
                  </w:r>
                </w:p>
              </w:tc>
              <w:tc>
                <w:tcPr>
                  <w:tcW w:w="1297" w:type="pct"/>
                  <w:noWrap w:val="0"/>
                  <w:vAlign w:val="center"/>
                </w:tcPr>
                <w:p w14:paraId="77D10029">
                  <w:pPr>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生活污水</w:t>
                  </w:r>
                </w:p>
              </w:tc>
              <w:tc>
                <w:tcPr>
                  <w:tcW w:w="826" w:type="pct"/>
                  <w:noWrap w:val="0"/>
                  <w:vAlign w:val="center"/>
                </w:tcPr>
                <w:p w14:paraId="519CFD3A">
                  <w:pPr>
                    <w:jc w:val="center"/>
                    <w:rPr>
                      <w:rFonts w:hint="default" w:ascii="Times New Roman" w:hAnsi="Times New Roman" w:eastAsia="宋体" w:cs="Times New Roman"/>
                      <w:color w:val="000000" w:themeColor="text1"/>
                      <w:szCs w:val="21"/>
                      <w:lang w:val="en-US" w:eastAsia="zh-CN"/>
                    </w:rPr>
                  </w:pPr>
                  <w:r>
                    <w:rPr>
                      <w:rFonts w:hint="default" w:ascii="Times New Roman" w:hAnsi="Times New Roman" w:cs="Times New Roman"/>
                      <w:color w:val="000000" w:themeColor="text1"/>
                      <w:szCs w:val="21"/>
                    </w:rPr>
                    <w:t>COD、氨氮</w:t>
                  </w:r>
                  <w:r>
                    <w:rPr>
                      <w:rFonts w:hint="eastAsia" w:cs="Times New Roman"/>
                      <w:color w:val="000000" w:themeColor="text1"/>
                      <w:szCs w:val="21"/>
                      <w:lang w:eastAsia="zh-CN"/>
                    </w:rPr>
                    <w:t>、</w:t>
                  </w:r>
                  <w:r>
                    <w:rPr>
                      <w:rFonts w:hint="eastAsia" w:cs="Times New Roman"/>
                      <w:color w:val="000000" w:themeColor="text1"/>
                      <w:szCs w:val="21"/>
                      <w:lang w:val="en-US" w:eastAsia="zh-CN"/>
                    </w:rPr>
                    <w:t>BOD</w:t>
                  </w:r>
                  <w:r>
                    <w:rPr>
                      <w:rFonts w:hint="eastAsia" w:cs="Times New Roman"/>
                      <w:color w:val="000000" w:themeColor="text1"/>
                      <w:szCs w:val="21"/>
                      <w:vertAlign w:val="subscript"/>
                      <w:lang w:val="en-US" w:eastAsia="zh-CN"/>
                    </w:rPr>
                    <w:t>5</w:t>
                  </w:r>
                  <w:r>
                    <w:rPr>
                      <w:rFonts w:hint="eastAsia" w:cs="Times New Roman"/>
                      <w:color w:val="000000" w:themeColor="text1"/>
                      <w:szCs w:val="21"/>
                      <w:lang w:val="en-US" w:eastAsia="zh-CN"/>
                    </w:rPr>
                    <w:t>、SS</w:t>
                  </w:r>
                </w:p>
              </w:tc>
              <w:tc>
                <w:tcPr>
                  <w:tcW w:w="2537" w:type="pct"/>
                  <w:noWrap w:val="0"/>
                  <w:vAlign w:val="center"/>
                </w:tcPr>
                <w:p w14:paraId="62231B1C">
                  <w:pPr>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化粪池</w:t>
                  </w:r>
                </w:p>
              </w:tc>
            </w:tr>
            <w:tr w14:paraId="61AB7F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noWrap w:val="0"/>
                  <w:vAlign w:val="center"/>
                </w:tcPr>
                <w:p w14:paraId="3A03BE85">
                  <w:pPr>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噪声</w:t>
                  </w:r>
                </w:p>
              </w:tc>
              <w:tc>
                <w:tcPr>
                  <w:tcW w:w="1297" w:type="pct"/>
                  <w:noWrap w:val="0"/>
                  <w:vAlign w:val="center"/>
                </w:tcPr>
                <w:p w14:paraId="1C0E341F">
                  <w:pPr>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设备</w:t>
                  </w:r>
                </w:p>
              </w:tc>
              <w:tc>
                <w:tcPr>
                  <w:tcW w:w="826" w:type="pct"/>
                  <w:noWrap w:val="0"/>
                  <w:vAlign w:val="center"/>
                </w:tcPr>
                <w:p w14:paraId="10880A7E">
                  <w:pPr>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w:t>
                  </w:r>
                </w:p>
              </w:tc>
              <w:tc>
                <w:tcPr>
                  <w:tcW w:w="2537" w:type="pct"/>
                  <w:noWrap w:val="0"/>
                  <w:vAlign w:val="center"/>
                </w:tcPr>
                <w:p w14:paraId="7A1E8941">
                  <w:pPr>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基础减振、隔声、消声等措施</w:t>
                  </w:r>
                </w:p>
              </w:tc>
            </w:tr>
            <w:tr w14:paraId="4BABE1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vMerge w:val="restart"/>
                  <w:noWrap w:val="0"/>
                  <w:vAlign w:val="center"/>
                </w:tcPr>
                <w:p w14:paraId="5CE5B542">
                  <w:pPr>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固废</w:t>
                  </w:r>
                </w:p>
              </w:tc>
              <w:tc>
                <w:tcPr>
                  <w:tcW w:w="1297" w:type="pct"/>
                  <w:noWrap w:val="0"/>
                  <w:vAlign w:val="center"/>
                </w:tcPr>
                <w:p w14:paraId="1BD7CF07">
                  <w:pPr>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生活垃圾</w:t>
                  </w:r>
                </w:p>
              </w:tc>
              <w:tc>
                <w:tcPr>
                  <w:tcW w:w="826" w:type="pct"/>
                  <w:noWrap w:val="0"/>
                  <w:vAlign w:val="center"/>
                </w:tcPr>
                <w:p w14:paraId="5FA937CA">
                  <w:pPr>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w:t>
                  </w:r>
                </w:p>
              </w:tc>
              <w:tc>
                <w:tcPr>
                  <w:tcW w:w="2537" w:type="pct"/>
                  <w:noWrap w:val="0"/>
                  <w:vAlign w:val="center"/>
                </w:tcPr>
                <w:p w14:paraId="37C37848">
                  <w:pPr>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收集后交由环卫部门统一清运</w:t>
                  </w:r>
                </w:p>
              </w:tc>
            </w:tr>
            <w:tr w14:paraId="36B7C1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vMerge w:val="continue"/>
                  <w:noWrap w:val="0"/>
                  <w:vAlign w:val="center"/>
                </w:tcPr>
                <w:p w14:paraId="44BF861B">
                  <w:pPr>
                    <w:jc w:val="center"/>
                    <w:rPr>
                      <w:rFonts w:hint="default" w:ascii="Times New Roman" w:hAnsi="Times New Roman" w:cs="Times New Roman"/>
                      <w:color w:val="000000" w:themeColor="text1"/>
                      <w:szCs w:val="21"/>
                    </w:rPr>
                  </w:pPr>
                </w:p>
              </w:tc>
              <w:tc>
                <w:tcPr>
                  <w:tcW w:w="1297" w:type="pct"/>
                  <w:noWrap w:val="0"/>
                  <w:vAlign w:val="center"/>
                </w:tcPr>
                <w:p w14:paraId="3B9DB94B">
                  <w:pPr>
                    <w:widowControl/>
                    <w:adjustRightInd w:val="0"/>
                    <w:jc w:val="center"/>
                    <w:textAlignment w:val="baseline"/>
                    <w:rPr>
                      <w:rFonts w:hint="default" w:ascii="Times New Roman" w:hAnsi="Times New Roman" w:cs="Times New Roman"/>
                      <w:color w:val="000000" w:themeColor="text1"/>
                      <w:kern w:val="0"/>
                      <w:szCs w:val="21"/>
                      <w:lang w:val="en-US" w:eastAsia="zh-CN"/>
                    </w:rPr>
                  </w:pPr>
                  <w:r>
                    <w:rPr>
                      <w:rFonts w:hint="eastAsia" w:ascii="Times New Roman" w:hAnsi="Times New Roman" w:cs="Times New Roman"/>
                      <w:color w:val="000000" w:themeColor="text1"/>
                      <w:kern w:val="0"/>
                      <w:szCs w:val="21"/>
                      <w:lang w:val="en-US" w:eastAsia="zh-CN"/>
                    </w:rPr>
                    <w:t>废铜（铝）线</w:t>
                  </w:r>
                </w:p>
              </w:tc>
              <w:tc>
                <w:tcPr>
                  <w:tcW w:w="826" w:type="pct"/>
                  <w:vMerge w:val="restart"/>
                  <w:noWrap w:val="0"/>
                  <w:vAlign w:val="center"/>
                </w:tcPr>
                <w:p w14:paraId="3BDECFA0">
                  <w:pPr>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一般固废</w:t>
                  </w:r>
                </w:p>
              </w:tc>
              <w:tc>
                <w:tcPr>
                  <w:tcW w:w="2537" w:type="pct"/>
                  <w:vMerge w:val="restart"/>
                  <w:noWrap w:val="0"/>
                  <w:vAlign w:val="center"/>
                </w:tcPr>
                <w:p w14:paraId="32BE3E5E">
                  <w:pPr>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一般固废处置单位进行处置</w:t>
                  </w:r>
                </w:p>
              </w:tc>
            </w:tr>
            <w:tr w14:paraId="15539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39" w:type="pct"/>
                  <w:vMerge w:val="continue"/>
                  <w:noWrap w:val="0"/>
                  <w:vAlign w:val="center"/>
                </w:tcPr>
                <w:p w14:paraId="3E930ECA">
                  <w:pPr>
                    <w:jc w:val="center"/>
                    <w:rPr>
                      <w:rFonts w:hint="default" w:ascii="Times New Roman" w:hAnsi="Times New Roman" w:cs="Times New Roman"/>
                      <w:color w:val="000000" w:themeColor="text1"/>
                      <w:szCs w:val="21"/>
                    </w:rPr>
                  </w:pPr>
                </w:p>
              </w:tc>
              <w:tc>
                <w:tcPr>
                  <w:tcW w:w="1297" w:type="pct"/>
                  <w:noWrap w:val="0"/>
                  <w:vAlign w:val="center"/>
                </w:tcPr>
                <w:p w14:paraId="1423DF59">
                  <w:pPr>
                    <w:widowControl/>
                    <w:adjustRightInd w:val="0"/>
                    <w:jc w:val="center"/>
                    <w:textAlignment w:val="baseline"/>
                    <w:rPr>
                      <w:rFonts w:hint="default" w:ascii="Times New Roman" w:hAnsi="Times New Roman" w:cs="Times New Roman"/>
                      <w:color w:val="000000" w:themeColor="text1"/>
                      <w:kern w:val="0"/>
                      <w:szCs w:val="21"/>
                      <w:lang w:val="en-US" w:eastAsia="zh-CN"/>
                    </w:rPr>
                  </w:pPr>
                  <w:r>
                    <w:rPr>
                      <w:rFonts w:hint="eastAsia" w:ascii="Times New Roman" w:hAnsi="Times New Roman" w:cs="Times New Roman"/>
                      <w:color w:val="000000" w:themeColor="text1"/>
                      <w:kern w:val="0"/>
                      <w:szCs w:val="21"/>
                      <w:lang w:val="en-US" w:eastAsia="zh-CN"/>
                    </w:rPr>
                    <w:t>废铜（铝）箔</w:t>
                  </w:r>
                </w:p>
              </w:tc>
              <w:tc>
                <w:tcPr>
                  <w:tcW w:w="826" w:type="pct"/>
                  <w:vMerge w:val="continue"/>
                  <w:noWrap w:val="0"/>
                  <w:vAlign w:val="center"/>
                </w:tcPr>
                <w:p w14:paraId="19CAA656">
                  <w:pPr>
                    <w:jc w:val="center"/>
                    <w:rPr>
                      <w:rFonts w:hint="default" w:ascii="Times New Roman" w:hAnsi="Times New Roman" w:cs="Times New Roman"/>
                      <w:color w:val="000000" w:themeColor="text1"/>
                      <w:szCs w:val="21"/>
                    </w:rPr>
                  </w:pPr>
                </w:p>
              </w:tc>
              <w:tc>
                <w:tcPr>
                  <w:tcW w:w="2537" w:type="pct"/>
                  <w:vMerge w:val="continue"/>
                  <w:noWrap w:val="0"/>
                  <w:vAlign w:val="center"/>
                </w:tcPr>
                <w:p w14:paraId="2DAC6C82">
                  <w:pPr>
                    <w:jc w:val="center"/>
                    <w:rPr>
                      <w:rFonts w:hint="default" w:ascii="Times New Roman" w:hAnsi="Times New Roman" w:cs="Times New Roman"/>
                      <w:color w:val="000000" w:themeColor="text1"/>
                      <w:szCs w:val="21"/>
                    </w:rPr>
                  </w:pPr>
                </w:p>
              </w:tc>
            </w:tr>
            <w:tr w14:paraId="0C9D08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vMerge w:val="continue"/>
                  <w:noWrap w:val="0"/>
                  <w:vAlign w:val="center"/>
                </w:tcPr>
                <w:p w14:paraId="5BDA3A7D">
                  <w:pPr>
                    <w:jc w:val="center"/>
                    <w:rPr>
                      <w:rFonts w:hint="default" w:ascii="Times New Roman" w:hAnsi="Times New Roman" w:cs="Times New Roman"/>
                      <w:color w:val="000000" w:themeColor="text1"/>
                      <w:szCs w:val="21"/>
                    </w:rPr>
                  </w:pPr>
                </w:p>
              </w:tc>
              <w:tc>
                <w:tcPr>
                  <w:tcW w:w="1297" w:type="pct"/>
                  <w:noWrap w:val="0"/>
                  <w:vAlign w:val="center"/>
                </w:tcPr>
                <w:p w14:paraId="57847923">
                  <w:pPr>
                    <w:widowControl/>
                    <w:adjustRightInd w:val="0"/>
                    <w:jc w:val="center"/>
                    <w:textAlignment w:val="baseline"/>
                    <w:rPr>
                      <w:rFonts w:hint="default" w:ascii="Times New Roman" w:hAnsi="Times New Roman" w:cs="Times New Roman"/>
                      <w:color w:val="000000" w:themeColor="text1"/>
                      <w:kern w:val="0"/>
                      <w:szCs w:val="21"/>
                      <w:lang w:val="en-US" w:eastAsia="zh-CN"/>
                    </w:rPr>
                  </w:pPr>
                  <w:r>
                    <w:rPr>
                      <w:rFonts w:hint="eastAsia" w:ascii="Times New Roman" w:hAnsi="Times New Roman" w:cs="Times New Roman"/>
                      <w:color w:val="000000" w:themeColor="text1"/>
                      <w:kern w:val="0"/>
                      <w:szCs w:val="21"/>
                      <w:lang w:val="en-US" w:eastAsia="zh-CN"/>
                    </w:rPr>
                    <w:t>废绝缘材料</w:t>
                  </w:r>
                </w:p>
              </w:tc>
              <w:tc>
                <w:tcPr>
                  <w:tcW w:w="826" w:type="pct"/>
                  <w:vMerge w:val="continue"/>
                  <w:noWrap w:val="0"/>
                  <w:vAlign w:val="center"/>
                </w:tcPr>
                <w:p w14:paraId="3D227F18">
                  <w:pPr>
                    <w:jc w:val="center"/>
                    <w:rPr>
                      <w:rFonts w:hint="default" w:ascii="Times New Roman" w:hAnsi="Times New Roman" w:cs="Times New Roman"/>
                      <w:color w:val="000000" w:themeColor="text1"/>
                      <w:szCs w:val="21"/>
                    </w:rPr>
                  </w:pPr>
                </w:p>
              </w:tc>
              <w:tc>
                <w:tcPr>
                  <w:tcW w:w="2537" w:type="pct"/>
                  <w:vMerge w:val="continue"/>
                  <w:noWrap w:val="0"/>
                  <w:vAlign w:val="center"/>
                </w:tcPr>
                <w:p w14:paraId="666104D7">
                  <w:pPr>
                    <w:jc w:val="center"/>
                    <w:rPr>
                      <w:rFonts w:hint="default" w:ascii="Times New Roman" w:hAnsi="Times New Roman" w:cs="Times New Roman"/>
                      <w:color w:val="000000" w:themeColor="text1"/>
                      <w:szCs w:val="21"/>
                    </w:rPr>
                  </w:pPr>
                </w:p>
              </w:tc>
            </w:tr>
            <w:tr w14:paraId="655822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vMerge w:val="continue"/>
                  <w:noWrap w:val="0"/>
                  <w:vAlign w:val="center"/>
                </w:tcPr>
                <w:p w14:paraId="50922245">
                  <w:pPr>
                    <w:jc w:val="center"/>
                    <w:rPr>
                      <w:rFonts w:hint="default" w:ascii="Times New Roman" w:hAnsi="Times New Roman" w:cs="Times New Roman"/>
                      <w:color w:val="000000" w:themeColor="text1"/>
                      <w:szCs w:val="21"/>
                    </w:rPr>
                  </w:pPr>
                </w:p>
              </w:tc>
              <w:tc>
                <w:tcPr>
                  <w:tcW w:w="1297" w:type="pct"/>
                  <w:noWrap w:val="0"/>
                  <w:vAlign w:val="center"/>
                </w:tcPr>
                <w:p w14:paraId="09D2D830">
                  <w:pPr>
                    <w:widowControl/>
                    <w:adjustRightInd w:val="0"/>
                    <w:jc w:val="center"/>
                    <w:textAlignment w:val="baseline"/>
                    <w:rPr>
                      <w:rFonts w:hint="default" w:ascii="Times New Roman" w:hAnsi="Times New Roman" w:cs="Times New Roman"/>
                      <w:color w:val="000000" w:themeColor="text1"/>
                      <w:kern w:val="0"/>
                      <w:szCs w:val="21"/>
                      <w:lang w:val="en-US" w:eastAsia="zh-CN"/>
                    </w:rPr>
                  </w:pPr>
                  <w:r>
                    <w:rPr>
                      <w:rFonts w:hint="eastAsia" w:ascii="Times New Roman" w:hAnsi="Times New Roman" w:cs="Times New Roman"/>
                      <w:color w:val="000000" w:themeColor="text1"/>
                      <w:kern w:val="0"/>
                      <w:szCs w:val="21"/>
                      <w:lang w:val="en-US" w:eastAsia="zh-CN"/>
                    </w:rPr>
                    <w:t>焊渣</w:t>
                  </w:r>
                </w:p>
              </w:tc>
              <w:tc>
                <w:tcPr>
                  <w:tcW w:w="826" w:type="pct"/>
                  <w:vMerge w:val="continue"/>
                  <w:noWrap w:val="0"/>
                  <w:vAlign w:val="center"/>
                </w:tcPr>
                <w:p w14:paraId="4AC69FA7">
                  <w:pPr>
                    <w:jc w:val="center"/>
                    <w:rPr>
                      <w:rFonts w:hint="default" w:ascii="Times New Roman" w:hAnsi="Times New Roman" w:cs="Times New Roman"/>
                      <w:color w:val="000000" w:themeColor="text1"/>
                      <w:szCs w:val="21"/>
                    </w:rPr>
                  </w:pPr>
                </w:p>
              </w:tc>
              <w:tc>
                <w:tcPr>
                  <w:tcW w:w="2537" w:type="pct"/>
                  <w:vMerge w:val="continue"/>
                  <w:noWrap w:val="0"/>
                  <w:vAlign w:val="center"/>
                </w:tcPr>
                <w:p w14:paraId="50994210">
                  <w:pPr>
                    <w:jc w:val="center"/>
                    <w:rPr>
                      <w:rFonts w:hint="default" w:ascii="Times New Roman" w:hAnsi="Times New Roman" w:cs="Times New Roman"/>
                      <w:color w:val="000000" w:themeColor="text1"/>
                      <w:szCs w:val="21"/>
                    </w:rPr>
                  </w:pPr>
                </w:p>
              </w:tc>
            </w:tr>
            <w:tr w14:paraId="2ADBA2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vMerge w:val="continue"/>
                  <w:noWrap w:val="0"/>
                  <w:vAlign w:val="center"/>
                </w:tcPr>
                <w:p w14:paraId="50BBB3C7">
                  <w:pPr>
                    <w:jc w:val="center"/>
                    <w:rPr>
                      <w:rFonts w:hint="default" w:ascii="Times New Roman" w:hAnsi="Times New Roman" w:cs="Times New Roman"/>
                      <w:color w:val="000000" w:themeColor="text1"/>
                      <w:szCs w:val="21"/>
                    </w:rPr>
                  </w:pPr>
                </w:p>
              </w:tc>
              <w:tc>
                <w:tcPr>
                  <w:tcW w:w="1297" w:type="pct"/>
                  <w:noWrap w:val="0"/>
                  <w:vAlign w:val="center"/>
                </w:tcPr>
                <w:p w14:paraId="3B486D24">
                  <w:pPr>
                    <w:widowControl/>
                    <w:adjustRightInd w:val="0"/>
                    <w:jc w:val="center"/>
                    <w:textAlignment w:val="baseline"/>
                    <w:rPr>
                      <w:rFonts w:hint="default" w:ascii="Times New Roman" w:hAnsi="Times New Roman" w:cs="Times New Roman"/>
                      <w:color w:val="000000" w:themeColor="text1"/>
                      <w:kern w:val="0"/>
                      <w:szCs w:val="21"/>
                      <w:lang w:val="en-US" w:eastAsia="zh-CN"/>
                    </w:rPr>
                  </w:pPr>
                  <w:r>
                    <w:rPr>
                      <w:rFonts w:hint="eastAsia" w:ascii="Times New Roman" w:hAnsi="Times New Roman" w:cs="Times New Roman"/>
                      <w:color w:val="000000" w:themeColor="text1"/>
                      <w:kern w:val="0"/>
                      <w:szCs w:val="21"/>
                      <w:lang w:val="en-US" w:eastAsia="zh-CN"/>
                    </w:rPr>
                    <w:t>废边角料</w:t>
                  </w:r>
                </w:p>
              </w:tc>
              <w:tc>
                <w:tcPr>
                  <w:tcW w:w="826" w:type="pct"/>
                  <w:vMerge w:val="continue"/>
                  <w:noWrap w:val="0"/>
                  <w:vAlign w:val="center"/>
                </w:tcPr>
                <w:p w14:paraId="5325D607">
                  <w:pPr>
                    <w:jc w:val="center"/>
                    <w:rPr>
                      <w:rFonts w:hint="default" w:ascii="Times New Roman" w:hAnsi="Times New Roman" w:cs="Times New Roman"/>
                      <w:color w:val="000000" w:themeColor="text1"/>
                      <w:szCs w:val="21"/>
                    </w:rPr>
                  </w:pPr>
                </w:p>
              </w:tc>
              <w:tc>
                <w:tcPr>
                  <w:tcW w:w="2537" w:type="pct"/>
                  <w:vMerge w:val="continue"/>
                  <w:noWrap w:val="0"/>
                  <w:vAlign w:val="center"/>
                </w:tcPr>
                <w:p w14:paraId="0392F49A">
                  <w:pPr>
                    <w:jc w:val="center"/>
                    <w:rPr>
                      <w:rFonts w:hint="default" w:ascii="Times New Roman" w:hAnsi="Times New Roman" w:cs="Times New Roman"/>
                      <w:color w:val="000000" w:themeColor="text1"/>
                      <w:szCs w:val="21"/>
                    </w:rPr>
                  </w:pPr>
                </w:p>
              </w:tc>
            </w:tr>
            <w:tr w14:paraId="29066D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vMerge w:val="continue"/>
                  <w:noWrap w:val="0"/>
                  <w:vAlign w:val="center"/>
                </w:tcPr>
                <w:p w14:paraId="3919C2AF">
                  <w:pPr>
                    <w:jc w:val="center"/>
                    <w:rPr>
                      <w:rFonts w:hint="default" w:ascii="Times New Roman" w:hAnsi="Times New Roman" w:cs="Times New Roman"/>
                      <w:color w:val="000000" w:themeColor="text1"/>
                      <w:szCs w:val="21"/>
                    </w:rPr>
                  </w:pPr>
                </w:p>
              </w:tc>
              <w:tc>
                <w:tcPr>
                  <w:tcW w:w="1297" w:type="pct"/>
                  <w:noWrap w:val="0"/>
                  <w:vAlign w:val="center"/>
                </w:tcPr>
                <w:p w14:paraId="070CD020">
                  <w:pPr>
                    <w:widowControl/>
                    <w:adjustRightInd w:val="0"/>
                    <w:jc w:val="center"/>
                    <w:textAlignment w:val="baseline"/>
                    <w:rPr>
                      <w:rFonts w:hint="default" w:ascii="Times New Roman" w:hAnsi="Times New Roman" w:cs="Times New Roman"/>
                      <w:color w:val="000000" w:themeColor="text1"/>
                      <w:kern w:val="0"/>
                      <w:szCs w:val="21"/>
                      <w:lang w:val="en-US" w:eastAsia="zh-CN"/>
                    </w:rPr>
                  </w:pPr>
                  <w:r>
                    <w:rPr>
                      <w:rFonts w:hint="eastAsia" w:cs="Times New Roman"/>
                      <w:color w:val="000000" w:themeColor="text1"/>
                      <w:kern w:val="0"/>
                      <w:szCs w:val="21"/>
                      <w:lang w:val="en-US" w:eastAsia="zh-CN"/>
                    </w:rPr>
                    <w:t>废包装材料（不含化学品包装桶）</w:t>
                  </w:r>
                </w:p>
              </w:tc>
              <w:tc>
                <w:tcPr>
                  <w:tcW w:w="826" w:type="pct"/>
                  <w:vMerge w:val="continue"/>
                  <w:noWrap w:val="0"/>
                  <w:vAlign w:val="center"/>
                </w:tcPr>
                <w:p w14:paraId="11FA0778">
                  <w:pPr>
                    <w:jc w:val="center"/>
                    <w:rPr>
                      <w:rFonts w:hint="default" w:ascii="Times New Roman" w:hAnsi="Times New Roman" w:cs="Times New Roman"/>
                      <w:color w:val="000000" w:themeColor="text1"/>
                      <w:szCs w:val="21"/>
                    </w:rPr>
                  </w:pPr>
                </w:p>
              </w:tc>
              <w:tc>
                <w:tcPr>
                  <w:tcW w:w="2537" w:type="pct"/>
                  <w:vMerge w:val="continue"/>
                  <w:noWrap w:val="0"/>
                  <w:vAlign w:val="center"/>
                </w:tcPr>
                <w:p w14:paraId="4B5BD76D">
                  <w:pPr>
                    <w:jc w:val="center"/>
                    <w:rPr>
                      <w:rFonts w:hint="default" w:ascii="Times New Roman" w:hAnsi="Times New Roman" w:cs="Times New Roman"/>
                      <w:color w:val="000000" w:themeColor="text1"/>
                      <w:szCs w:val="21"/>
                    </w:rPr>
                  </w:pPr>
                </w:p>
              </w:tc>
            </w:tr>
            <w:tr w14:paraId="2BB753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vMerge w:val="continue"/>
                  <w:noWrap w:val="0"/>
                  <w:vAlign w:val="center"/>
                </w:tcPr>
                <w:p w14:paraId="675C5F3E">
                  <w:pPr>
                    <w:jc w:val="center"/>
                    <w:rPr>
                      <w:rFonts w:hint="default" w:ascii="Times New Roman" w:hAnsi="Times New Roman" w:cs="Times New Roman"/>
                      <w:color w:val="000000" w:themeColor="text1"/>
                      <w:szCs w:val="21"/>
                    </w:rPr>
                  </w:pPr>
                </w:p>
              </w:tc>
              <w:tc>
                <w:tcPr>
                  <w:tcW w:w="1297" w:type="pct"/>
                  <w:noWrap w:val="0"/>
                  <w:vAlign w:val="center"/>
                </w:tcPr>
                <w:p w14:paraId="6CC934B4">
                  <w:pPr>
                    <w:widowControl/>
                    <w:adjustRightInd w:val="0"/>
                    <w:jc w:val="center"/>
                    <w:textAlignment w:val="baseline"/>
                    <w:rPr>
                      <w:rFonts w:hint="default" w:ascii="Times New Roman" w:hAnsi="Times New Roman" w:cs="Times New Roman"/>
                      <w:color w:val="000000" w:themeColor="text1"/>
                      <w:szCs w:val="21"/>
                      <w:lang w:val="en-US"/>
                    </w:rPr>
                  </w:pPr>
                  <w:r>
                    <w:rPr>
                      <w:rFonts w:hint="eastAsia" w:ascii="Times New Roman" w:hAnsi="Times New Roman" w:cs="Times New Roman"/>
                      <w:color w:val="000000" w:themeColor="text1"/>
                      <w:kern w:val="0"/>
                      <w:szCs w:val="21"/>
                      <w:lang w:val="en-US" w:eastAsia="zh-CN"/>
                    </w:rPr>
                    <w:t>废滤芯</w:t>
                  </w:r>
                </w:p>
              </w:tc>
              <w:tc>
                <w:tcPr>
                  <w:tcW w:w="826" w:type="pct"/>
                  <w:vMerge w:val="restart"/>
                  <w:noWrap w:val="0"/>
                  <w:vAlign w:val="center"/>
                </w:tcPr>
                <w:p w14:paraId="3FDDA251">
                  <w:pPr>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危险废物</w:t>
                  </w:r>
                </w:p>
              </w:tc>
              <w:tc>
                <w:tcPr>
                  <w:tcW w:w="2537" w:type="pct"/>
                  <w:vMerge w:val="restart"/>
                  <w:noWrap w:val="0"/>
                  <w:vAlign w:val="center"/>
                </w:tcPr>
                <w:p w14:paraId="0B1225E1">
                  <w:pPr>
                    <w:jc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暂存于危废暂存间，定期委托有资质单位进行处置</w:t>
                  </w:r>
                </w:p>
              </w:tc>
            </w:tr>
            <w:tr w14:paraId="67AF17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vMerge w:val="continue"/>
                  <w:noWrap w:val="0"/>
                  <w:vAlign w:val="center"/>
                </w:tcPr>
                <w:p w14:paraId="468AC38B">
                  <w:pPr>
                    <w:jc w:val="center"/>
                    <w:rPr>
                      <w:rFonts w:hint="default" w:ascii="Times New Roman" w:hAnsi="Times New Roman" w:cs="Times New Roman"/>
                      <w:color w:val="000000" w:themeColor="text1"/>
                      <w:szCs w:val="21"/>
                    </w:rPr>
                  </w:pPr>
                </w:p>
              </w:tc>
              <w:tc>
                <w:tcPr>
                  <w:tcW w:w="1297" w:type="pct"/>
                  <w:noWrap w:val="0"/>
                  <w:vAlign w:val="center"/>
                </w:tcPr>
                <w:p w14:paraId="6604C525">
                  <w:pPr>
                    <w:widowControl/>
                    <w:adjustRightInd w:val="0"/>
                    <w:jc w:val="center"/>
                    <w:textAlignment w:val="baseline"/>
                    <w:rPr>
                      <w:rFonts w:hint="default" w:ascii="Times New Roman" w:hAnsi="Times New Roman" w:cs="Times New Roman"/>
                      <w:color w:val="000000" w:themeColor="text1"/>
                      <w:kern w:val="0"/>
                      <w:szCs w:val="21"/>
                      <w:lang w:val="en-US" w:eastAsia="zh-CN"/>
                    </w:rPr>
                  </w:pPr>
                  <w:r>
                    <w:rPr>
                      <w:rFonts w:hint="eastAsia" w:ascii="Times New Roman" w:hAnsi="Times New Roman" w:cs="Times New Roman"/>
                      <w:color w:val="000000" w:themeColor="text1"/>
                      <w:kern w:val="0"/>
                      <w:szCs w:val="21"/>
                      <w:lang w:val="en-US" w:eastAsia="zh-CN"/>
                    </w:rPr>
                    <w:t>油渣</w:t>
                  </w:r>
                </w:p>
              </w:tc>
              <w:tc>
                <w:tcPr>
                  <w:tcW w:w="826" w:type="pct"/>
                  <w:vMerge w:val="continue"/>
                  <w:noWrap w:val="0"/>
                  <w:vAlign w:val="center"/>
                </w:tcPr>
                <w:p w14:paraId="6B2566E2">
                  <w:pPr>
                    <w:jc w:val="center"/>
                    <w:rPr>
                      <w:rFonts w:hint="default" w:ascii="Times New Roman" w:hAnsi="Times New Roman" w:cs="Times New Roman"/>
                      <w:color w:val="000000" w:themeColor="text1"/>
                      <w:szCs w:val="21"/>
                    </w:rPr>
                  </w:pPr>
                </w:p>
              </w:tc>
              <w:tc>
                <w:tcPr>
                  <w:tcW w:w="2537" w:type="pct"/>
                  <w:vMerge w:val="continue"/>
                  <w:noWrap w:val="0"/>
                  <w:vAlign w:val="center"/>
                </w:tcPr>
                <w:p w14:paraId="1477249D">
                  <w:pPr>
                    <w:jc w:val="center"/>
                    <w:rPr>
                      <w:rFonts w:hint="default" w:ascii="Times New Roman" w:hAnsi="Times New Roman" w:cs="Times New Roman"/>
                      <w:color w:val="000000" w:themeColor="text1"/>
                      <w:szCs w:val="21"/>
                    </w:rPr>
                  </w:pPr>
                </w:p>
              </w:tc>
            </w:tr>
            <w:tr w14:paraId="67FD74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vMerge w:val="continue"/>
                  <w:noWrap w:val="0"/>
                  <w:vAlign w:val="center"/>
                </w:tcPr>
                <w:p w14:paraId="231BF6B5">
                  <w:pPr>
                    <w:jc w:val="center"/>
                    <w:rPr>
                      <w:rFonts w:hint="default" w:ascii="Times New Roman" w:hAnsi="Times New Roman" w:cs="Times New Roman"/>
                      <w:color w:val="000000" w:themeColor="text1"/>
                      <w:szCs w:val="21"/>
                    </w:rPr>
                  </w:pPr>
                </w:p>
              </w:tc>
              <w:tc>
                <w:tcPr>
                  <w:tcW w:w="1297" w:type="pct"/>
                  <w:noWrap w:val="0"/>
                  <w:vAlign w:val="center"/>
                </w:tcPr>
                <w:p w14:paraId="3487FF81">
                  <w:pPr>
                    <w:widowControl/>
                    <w:adjustRightInd w:val="0"/>
                    <w:jc w:val="center"/>
                    <w:textAlignment w:val="baseline"/>
                    <w:rPr>
                      <w:rFonts w:hint="default" w:ascii="Times New Roman" w:hAnsi="Times New Roman" w:cs="Times New Roman"/>
                      <w:color w:val="000000" w:themeColor="text1"/>
                      <w:kern w:val="0"/>
                      <w:szCs w:val="21"/>
                      <w:lang w:val="en-US" w:eastAsia="zh-CN"/>
                    </w:rPr>
                  </w:pPr>
                  <w:r>
                    <w:rPr>
                      <w:rFonts w:hint="eastAsia" w:cs="Times New Roman"/>
                      <w:color w:val="000000" w:themeColor="text1"/>
                      <w:kern w:val="0"/>
                      <w:szCs w:val="21"/>
                      <w:lang w:val="en-US" w:eastAsia="zh-CN"/>
                    </w:rPr>
                    <w:t>固化后的废环氧树脂料</w:t>
                  </w:r>
                </w:p>
              </w:tc>
              <w:tc>
                <w:tcPr>
                  <w:tcW w:w="826" w:type="pct"/>
                  <w:vMerge w:val="continue"/>
                  <w:noWrap w:val="0"/>
                  <w:vAlign w:val="center"/>
                </w:tcPr>
                <w:p w14:paraId="14B83C56">
                  <w:pPr>
                    <w:jc w:val="center"/>
                    <w:rPr>
                      <w:rFonts w:hint="default" w:ascii="Times New Roman" w:hAnsi="Times New Roman" w:cs="Times New Roman"/>
                      <w:color w:val="000000" w:themeColor="text1"/>
                      <w:szCs w:val="21"/>
                    </w:rPr>
                  </w:pPr>
                </w:p>
              </w:tc>
              <w:tc>
                <w:tcPr>
                  <w:tcW w:w="2537" w:type="pct"/>
                  <w:vMerge w:val="continue"/>
                  <w:noWrap w:val="0"/>
                  <w:vAlign w:val="center"/>
                </w:tcPr>
                <w:p w14:paraId="27C9155C">
                  <w:pPr>
                    <w:jc w:val="center"/>
                    <w:rPr>
                      <w:rFonts w:hint="default" w:ascii="Times New Roman" w:hAnsi="Times New Roman" w:cs="Times New Roman"/>
                      <w:color w:val="000000" w:themeColor="text1"/>
                      <w:szCs w:val="21"/>
                    </w:rPr>
                  </w:pPr>
                </w:p>
              </w:tc>
            </w:tr>
            <w:tr w14:paraId="51A845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vMerge w:val="continue"/>
                  <w:noWrap w:val="0"/>
                  <w:vAlign w:val="center"/>
                </w:tcPr>
                <w:p w14:paraId="73FAE85E">
                  <w:pPr>
                    <w:jc w:val="center"/>
                    <w:rPr>
                      <w:rFonts w:hint="default" w:ascii="Times New Roman" w:hAnsi="Times New Roman" w:cs="Times New Roman"/>
                      <w:color w:val="000000" w:themeColor="text1"/>
                      <w:szCs w:val="21"/>
                    </w:rPr>
                  </w:pPr>
                </w:p>
              </w:tc>
              <w:tc>
                <w:tcPr>
                  <w:tcW w:w="1297" w:type="pct"/>
                  <w:noWrap w:val="0"/>
                  <w:vAlign w:val="center"/>
                </w:tcPr>
                <w:p w14:paraId="1DE88E19">
                  <w:pPr>
                    <w:widowControl/>
                    <w:adjustRightInd w:val="0"/>
                    <w:jc w:val="center"/>
                    <w:textAlignment w:val="baseline"/>
                    <w:rPr>
                      <w:rFonts w:hint="default" w:ascii="Times New Roman" w:hAnsi="Times New Roman" w:cs="Times New Roman"/>
                      <w:color w:val="000000" w:themeColor="text1"/>
                      <w:kern w:val="0"/>
                      <w:szCs w:val="21"/>
                      <w:lang w:val="en-US" w:eastAsia="zh-CN"/>
                    </w:rPr>
                  </w:pPr>
                  <w:r>
                    <w:rPr>
                      <w:rFonts w:hint="eastAsia" w:ascii="Times New Roman" w:hAnsi="Times New Roman" w:cs="Times New Roman"/>
                      <w:color w:val="000000" w:themeColor="text1"/>
                      <w:kern w:val="0"/>
                      <w:szCs w:val="21"/>
                      <w:lang w:val="en-US" w:eastAsia="zh-CN"/>
                    </w:rPr>
                    <w:t>废脱模剂桶</w:t>
                  </w:r>
                </w:p>
              </w:tc>
              <w:tc>
                <w:tcPr>
                  <w:tcW w:w="826" w:type="pct"/>
                  <w:vMerge w:val="continue"/>
                  <w:noWrap w:val="0"/>
                  <w:vAlign w:val="center"/>
                </w:tcPr>
                <w:p w14:paraId="583FE40D">
                  <w:pPr>
                    <w:jc w:val="center"/>
                    <w:rPr>
                      <w:rFonts w:hint="default" w:ascii="Times New Roman" w:hAnsi="Times New Roman" w:cs="Times New Roman"/>
                      <w:color w:val="000000" w:themeColor="text1"/>
                      <w:szCs w:val="21"/>
                    </w:rPr>
                  </w:pPr>
                </w:p>
              </w:tc>
              <w:tc>
                <w:tcPr>
                  <w:tcW w:w="2537" w:type="pct"/>
                  <w:vMerge w:val="continue"/>
                  <w:noWrap w:val="0"/>
                  <w:vAlign w:val="center"/>
                </w:tcPr>
                <w:p w14:paraId="7E18FC1D">
                  <w:pPr>
                    <w:jc w:val="center"/>
                    <w:rPr>
                      <w:rFonts w:hint="default" w:ascii="Times New Roman" w:hAnsi="Times New Roman" w:cs="Times New Roman"/>
                      <w:color w:val="000000" w:themeColor="text1"/>
                      <w:szCs w:val="21"/>
                    </w:rPr>
                  </w:pPr>
                </w:p>
              </w:tc>
            </w:tr>
            <w:tr w14:paraId="0928B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vMerge w:val="continue"/>
                  <w:noWrap w:val="0"/>
                  <w:vAlign w:val="center"/>
                </w:tcPr>
                <w:p w14:paraId="52234E75">
                  <w:pPr>
                    <w:jc w:val="center"/>
                    <w:rPr>
                      <w:rFonts w:hint="default" w:ascii="Times New Roman" w:hAnsi="Times New Roman" w:cs="Times New Roman"/>
                      <w:color w:val="000000" w:themeColor="text1"/>
                      <w:szCs w:val="21"/>
                    </w:rPr>
                  </w:pPr>
                </w:p>
              </w:tc>
              <w:tc>
                <w:tcPr>
                  <w:tcW w:w="1297" w:type="pct"/>
                  <w:noWrap w:val="0"/>
                  <w:vAlign w:val="center"/>
                </w:tcPr>
                <w:p w14:paraId="3E95F786">
                  <w:pPr>
                    <w:widowControl/>
                    <w:adjustRightInd w:val="0"/>
                    <w:jc w:val="center"/>
                    <w:textAlignment w:val="baseline"/>
                    <w:rPr>
                      <w:rFonts w:hint="default" w:ascii="Times New Roman" w:hAnsi="Times New Roman" w:cs="Times New Roman"/>
                      <w:color w:val="000000" w:themeColor="text1"/>
                      <w:kern w:val="0"/>
                      <w:szCs w:val="21"/>
                      <w:lang w:val="en-US" w:eastAsia="zh-CN"/>
                    </w:rPr>
                  </w:pPr>
                  <w:r>
                    <w:rPr>
                      <w:rFonts w:hint="eastAsia" w:ascii="Times New Roman" w:hAnsi="Times New Roman" w:cs="Times New Roman"/>
                      <w:color w:val="000000" w:themeColor="text1"/>
                      <w:kern w:val="0"/>
                      <w:szCs w:val="21"/>
                      <w:lang w:val="en-US" w:eastAsia="zh-CN"/>
                    </w:rPr>
                    <w:t>废环氧树脂桶</w:t>
                  </w:r>
                </w:p>
              </w:tc>
              <w:tc>
                <w:tcPr>
                  <w:tcW w:w="826" w:type="pct"/>
                  <w:vMerge w:val="continue"/>
                  <w:noWrap w:val="0"/>
                  <w:vAlign w:val="center"/>
                </w:tcPr>
                <w:p w14:paraId="02D8BC88">
                  <w:pPr>
                    <w:jc w:val="center"/>
                    <w:rPr>
                      <w:rFonts w:hint="default" w:ascii="Times New Roman" w:hAnsi="Times New Roman" w:cs="Times New Roman"/>
                      <w:color w:val="000000" w:themeColor="text1"/>
                      <w:szCs w:val="21"/>
                    </w:rPr>
                  </w:pPr>
                </w:p>
              </w:tc>
              <w:tc>
                <w:tcPr>
                  <w:tcW w:w="2537" w:type="pct"/>
                  <w:vMerge w:val="continue"/>
                  <w:noWrap w:val="0"/>
                  <w:vAlign w:val="center"/>
                </w:tcPr>
                <w:p w14:paraId="7B431658">
                  <w:pPr>
                    <w:jc w:val="center"/>
                    <w:rPr>
                      <w:rFonts w:hint="default" w:ascii="Times New Roman" w:hAnsi="Times New Roman" w:cs="Times New Roman"/>
                      <w:color w:val="000000" w:themeColor="text1"/>
                      <w:szCs w:val="21"/>
                    </w:rPr>
                  </w:pPr>
                </w:p>
              </w:tc>
            </w:tr>
            <w:tr w14:paraId="77273C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vMerge w:val="continue"/>
                  <w:noWrap w:val="0"/>
                  <w:vAlign w:val="center"/>
                </w:tcPr>
                <w:p w14:paraId="7A3721AE">
                  <w:pPr>
                    <w:jc w:val="center"/>
                    <w:rPr>
                      <w:rFonts w:hint="default" w:ascii="Times New Roman" w:hAnsi="Times New Roman" w:cs="Times New Roman"/>
                      <w:color w:val="000000" w:themeColor="text1"/>
                      <w:szCs w:val="21"/>
                    </w:rPr>
                  </w:pPr>
                </w:p>
              </w:tc>
              <w:tc>
                <w:tcPr>
                  <w:tcW w:w="1297" w:type="pct"/>
                  <w:noWrap w:val="0"/>
                  <w:vAlign w:val="center"/>
                </w:tcPr>
                <w:p w14:paraId="6986D707">
                  <w:pPr>
                    <w:widowControl/>
                    <w:adjustRightInd w:val="0"/>
                    <w:jc w:val="center"/>
                    <w:textAlignment w:val="baseline"/>
                    <w:rPr>
                      <w:rFonts w:hint="default" w:ascii="Times New Roman" w:hAnsi="Times New Roman" w:cs="Times New Roman"/>
                      <w:color w:val="000000" w:themeColor="text1"/>
                      <w:szCs w:val="21"/>
                    </w:rPr>
                  </w:pPr>
                  <w:r>
                    <w:rPr>
                      <w:rFonts w:hint="default" w:ascii="Times New Roman" w:hAnsi="Times New Roman" w:cs="Times New Roman"/>
                      <w:color w:val="000000" w:themeColor="text1"/>
                      <w:szCs w:val="21"/>
                    </w:rPr>
                    <w:t>废活性炭</w:t>
                  </w:r>
                </w:p>
              </w:tc>
              <w:tc>
                <w:tcPr>
                  <w:tcW w:w="826" w:type="pct"/>
                  <w:vMerge w:val="continue"/>
                  <w:noWrap w:val="0"/>
                  <w:vAlign w:val="center"/>
                </w:tcPr>
                <w:p w14:paraId="22A67796">
                  <w:pPr>
                    <w:jc w:val="center"/>
                    <w:rPr>
                      <w:rFonts w:hint="default" w:ascii="Times New Roman" w:hAnsi="Times New Roman" w:cs="Times New Roman"/>
                      <w:color w:val="000000" w:themeColor="text1"/>
                      <w:szCs w:val="21"/>
                    </w:rPr>
                  </w:pPr>
                </w:p>
              </w:tc>
              <w:tc>
                <w:tcPr>
                  <w:tcW w:w="2537" w:type="pct"/>
                  <w:vMerge w:val="continue"/>
                  <w:noWrap w:val="0"/>
                  <w:vAlign w:val="center"/>
                </w:tcPr>
                <w:p w14:paraId="13622365">
                  <w:pPr>
                    <w:jc w:val="center"/>
                    <w:rPr>
                      <w:rFonts w:hint="default" w:ascii="Times New Roman" w:hAnsi="Times New Roman" w:cs="Times New Roman"/>
                      <w:color w:val="000000" w:themeColor="text1"/>
                      <w:szCs w:val="21"/>
                    </w:rPr>
                  </w:pPr>
                </w:p>
              </w:tc>
            </w:tr>
            <w:tr w14:paraId="23122B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9" w:type="pct"/>
                  <w:vMerge w:val="continue"/>
                  <w:noWrap w:val="0"/>
                  <w:vAlign w:val="center"/>
                </w:tcPr>
                <w:p w14:paraId="7413A0C9">
                  <w:pPr>
                    <w:jc w:val="center"/>
                    <w:rPr>
                      <w:rFonts w:hint="default" w:ascii="Times New Roman" w:hAnsi="Times New Roman" w:cs="Times New Roman"/>
                      <w:color w:val="000000" w:themeColor="text1"/>
                      <w:szCs w:val="21"/>
                    </w:rPr>
                  </w:pPr>
                </w:p>
              </w:tc>
              <w:tc>
                <w:tcPr>
                  <w:tcW w:w="1297" w:type="pct"/>
                  <w:noWrap w:val="0"/>
                  <w:vAlign w:val="center"/>
                </w:tcPr>
                <w:p w14:paraId="2DB098B6">
                  <w:pPr>
                    <w:widowControl/>
                    <w:adjustRightInd w:val="0"/>
                    <w:jc w:val="center"/>
                    <w:textAlignment w:val="baseline"/>
                    <w:rPr>
                      <w:rFonts w:hint="eastAsia" w:ascii="Times New Roman" w:hAnsi="Times New Roman" w:eastAsia="宋体" w:cs="Times New Roman"/>
                      <w:color w:val="000000" w:themeColor="text1"/>
                      <w:szCs w:val="21"/>
                      <w:lang w:val="en-US" w:eastAsia="zh-CN"/>
                    </w:rPr>
                  </w:pPr>
                  <w:r>
                    <w:rPr>
                      <w:rFonts w:hint="eastAsia" w:ascii="Times New Roman" w:hAnsi="Times New Roman" w:cs="Times New Roman"/>
                      <w:color w:val="000000" w:themeColor="text1"/>
                      <w:szCs w:val="21"/>
                      <w:lang w:val="en-US" w:eastAsia="zh-CN"/>
                    </w:rPr>
                    <w:t>废过滤棉</w:t>
                  </w:r>
                </w:p>
              </w:tc>
              <w:tc>
                <w:tcPr>
                  <w:tcW w:w="826" w:type="pct"/>
                  <w:vMerge w:val="continue"/>
                  <w:noWrap w:val="0"/>
                  <w:vAlign w:val="center"/>
                </w:tcPr>
                <w:p w14:paraId="1C61AEF9">
                  <w:pPr>
                    <w:jc w:val="center"/>
                    <w:rPr>
                      <w:rFonts w:hint="default" w:ascii="Times New Roman" w:hAnsi="Times New Roman" w:cs="Times New Roman"/>
                      <w:color w:val="000000" w:themeColor="text1"/>
                      <w:szCs w:val="21"/>
                    </w:rPr>
                  </w:pPr>
                </w:p>
              </w:tc>
              <w:tc>
                <w:tcPr>
                  <w:tcW w:w="2537" w:type="pct"/>
                  <w:vMerge w:val="continue"/>
                  <w:noWrap w:val="0"/>
                  <w:vAlign w:val="center"/>
                </w:tcPr>
                <w:p w14:paraId="64C221C8">
                  <w:pPr>
                    <w:jc w:val="center"/>
                    <w:rPr>
                      <w:rFonts w:hint="default" w:ascii="Times New Roman" w:hAnsi="Times New Roman" w:cs="Times New Roman"/>
                      <w:color w:val="000000" w:themeColor="text1"/>
                      <w:szCs w:val="21"/>
                    </w:rPr>
                  </w:pPr>
                </w:p>
              </w:tc>
            </w:tr>
          </w:tbl>
          <w:p w14:paraId="07AA9D53">
            <w:pPr>
              <w:pStyle w:val="125"/>
              <w:adjustRightInd w:val="0"/>
              <w:snapToGrid w:val="0"/>
              <w:spacing w:line="360" w:lineRule="auto"/>
              <w:rPr>
                <w:rFonts w:hint="default" w:ascii="Times New Roman" w:hAnsi="Times New Roman" w:eastAsia="宋体" w:cs="Times New Roman"/>
                <w:color w:val="000000" w:themeColor="text1"/>
                <w:kern w:val="0"/>
                <w:sz w:val="24"/>
                <w:szCs w:val="24"/>
              </w:rPr>
            </w:pPr>
          </w:p>
        </w:tc>
      </w:tr>
      <w:tr w14:paraId="56851A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3" w:hRule="atLeast"/>
          <w:jc w:val="center"/>
        </w:trPr>
        <w:tc>
          <w:tcPr>
            <w:tcW w:w="395" w:type="pct"/>
            <w:gridSpan w:val="2"/>
            <w:tcBorders>
              <w:top w:val="single" w:color="auto" w:sz="8" w:space="0"/>
              <w:bottom w:val="single" w:color="auto" w:sz="8" w:space="0"/>
            </w:tcBorders>
            <w:vAlign w:val="center"/>
          </w:tcPr>
          <w:p w14:paraId="7014373C">
            <w:pPr>
              <w:pStyle w:val="31"/>
              <w:adjustRightInd w:val="0"/>
              <w:snapToGrid w:val="0"/>
              <w:spacing w:before="0" w:beforeAutospacing="0" w:after="0" w:afterAutospacing="0" w:line="460" w:lineRule="exact"/>
              <w:jc w:val="center"/>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kern w:val="2"/>
                <w:lang w:val="en-US" w:eastAsia="zh-CN"/>
              </w:rPr>
              <w:t>与项目有关的原有环境污染问题</w:t>
            </w:r>
          </w:p>
        </w:tc>
        <w:tc>
          <w:tcPr>
            <w:tcW w:w="4604" w:type="pct"/>
            <w:tcBorders>
              <w:top w:val="single" w:color="auto" w:sz="8" w:space="0"/>
            </w:tcBorders>
            <w:vAlign w:val="top"/>
          </w:tcPr>
          <w:p w14:paraId="382180FA">
            <w:pPr>
              <w:pStyle w:val="125"/>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kern w:val="0"/>
                <w:sz w:val="24"/>
                <w:szCs w:val="24"/>
                <w:lang w:val="en-US" w:eastAsia="zh-CN"/>
              </w:rPr>
            </w:pPr>
            <w:r>
              <w:rPr>
                <w:rFonts w:hint="eastAsia" w:ascii="Times New Roman" w:hAnsi="Times New Roman" w:eastAsia="宋体" w:cs="Times New Roman"/>
                <w:color w:val="000000" w:themeColor="text1"/>
                <w:kern w:val="0"/>
                <w:sz w:val="24"/>
                <w:szCs w:val="24"/>
                <w:lang w:val="en-US" w:eastAsia="zh-CN"/>
              </w:rPr>
              <w:t>企业租赁厂房为闲置厂房，无原有环境污染问题。</w:t>
            </w:r>
          </w:p>
        </w:tc>
      </w:tr>
    </w:tbl>
    <w:p w14:paraId="3F426AEC">
      <w:pPr>
        <w:pStyle w:val="31"/>
        <w:jc w:val="center"/>
        <w:outlineLvl w:val="0"/>
        <w:rPr>
          <w:rFonts w:hint="default" w:ascii="Times New Roman" w:hAnsi="Times New Roman" w:cs="Times New Roman"/>
          <w:snapToGrid w:val="0"/>
          <w:color w:val="000000" w:themeColor="text1"/>
          <w:sz w:val="30"/>
          <w:szCs w:val="30"/>
        </w:rPr>
      </w:pPr>
      <w:r>
        <w:rPr>
          <w:rFonts w:hint="default" w:ascii="Times New Roman" w:hAnsi="Times New Roman" w:cs="Times New Roman"/>
          <w:snapToGrid w:val="0"/>
          <w:color w:val="000000" w:themeColor="text1"/>
          <w:sz w:val="30"/>
          <w:szCs w:val="30"/>
        </w:rPr>
        <w:br w:type="page"/>
      </w:r>
      <w:r>
        <w:rPr>
          <w:rFonts w:hint="default" w:ascii="Times New Roman" w:hAnsi="Times New Roman" w:eastAsia="宋体" w:cs="Times New Roman"/>
          <w:snapToGrid w:val="0"/>
          <w:color w:val="000000" w:themeColor="text1"/>
          <w:kern w:val="0"/>
          <w:sz w:val="30"/>
          <w:szCs w:val="30"/>
          <w:lang w:val="en-US" w:eastAsia="zh-CN" w:bidi="ar-SA"/>
        </w:rPr>
        <w:t>三、区域环境质量现状、环境保护目标及评价</w:t>
      </w:r>
      <w:r>
        <w:rPr>
          <w:rFonts w:hint="default" w:ascii="Times New Roman" w:hAnsi="Times New Roman" w:eastAsia="宋体" w:cs="Times New Roman"/>
          <w:snapToGrid w:val="0"/>
          <w:color w:val="000000" w:themeColor="text1"/>
          <w:sz w:val="30"/>
          <w:szCs w:val="30"/>
          <w:lang w:val="en-US" w:eastAsia="zh-CN"/>
        </w:rPr>
        <w:t>标准</w:t>
      </w:r>
    </w:p>
    <w:tbl>
      <w:tblPr>
        <w:tblStyle w:val="3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5"/>
        <w:gridCol w:w="8636"/>
      </w:tblGrid>
      <w:tr w14:paraId="1B0E06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12" w:hRule="atLeast"/>
          <w:jc w:val="center"/>
        </w:trPr>
        <w:tc>
          <w:tcPr>
            <w:tcW w:w="424" w:type="dxa"/>
            <w:noWrap w:val="0"/>
            <w:vAlign w:val="center"/>
          </w:tcPr>
          <w:p w14:paraId="368E15FF">
            <w:pPr>
              <w:adjustRightInd w:val="0"/>
              <w:snapToGrid w:val="0"/>
              <w:jc w:val="center"/>
              <w:rPr>
                <w:rFonts w:hint="default" w:ascii="Times New Roman" w:hAnsi="Times New Roman" w:cs="Times New Roman"/>
                <w:color w:val="000000" w:themeColor="text1"/>
                <w:kern w:val="0"/>
                <w:szCs w:val="21"/>
              </w:rPr>
            </w:pPr>
            <w:r>
              <w:rPr>
                <w:rFonts w:hint="default" w:ascii="Times New Roman" w:hAnsi="Times New Roman" w:cs="Times New Roman"/>
                <w:color w:val="000000" w:themeColor="text1"/>
                <w:kern w:val="0"/>
                <w:szCs w:val="21"/>
              </w:rPr>
              <w:t>区域</w:t>
            </w:r>
          </w:p>
          <w:p w14:paraId="3333B3B3">
            <w:pPr>
              <w:adjustRightInd w:val="0"/>
              <w:snapToGrid w:val="0"/>
              <w:jc w:val="center"/>
              <w:rPr>
                <w:rFonts w:hint="default" w:ascii="Times New Roman" w:hAnsi="Times New Roman" w:cs="Times New Roman"/>
                <w:color w:val="000000" w:themeColor="text1"/>
                <w:kern w:val="0"/>
                <w:szCs w:val="21"/>
              </w:rPr>
            </w:pPr>
            <w:r>
              <w:rPr>
                <w:rFonts w:hint="default" w:ascii="Times New Roman" w:hAnsi="Times New Roman" w:cs="Times New Roman"/>
                <w:color w:val="000000" w:themeColor="text1"/>
                <w:kern w:val="0"/>
                <w:szCs w:val="21"/>
              </w:rPr>
              <w:t>环境</w:t>
            </w:r>
          </w:p>
          <w:p w14:paraId="0A9F28F8">
            <w:pPr>
              <w:adjustRightInd w:val="0"/>
              <w:snapToGrid w:val="0"/>
              <w:jc w:val="center"/>
              <w:rPr>
                <w:rFonts w:hint="default" w:ascii="Times New Roman" w:hAnsi="Times New Roman" w:cs="Times New Roman"/>
                <w:color w:val="000000" w:themeColor="text1"/>
                <w:kern w:val="0"/>
                <w:szCs w:val="21"/>
              </w:rPr>
            </w:pPr>
            <w:r>
              <w:rPr>
                <w:rFonts w:hint="default" w:ascii="Times New Roman" w:hAnsi="Times New Roman" w:cs="Times New Roman"/>
                <w:color w:val="000000" w:themeColor="text1"/>
                <w:kern w:val="0"/>
                <w:szCs w:val="21"/>
              </w:rPr>
              <w:t>质量</w:t>
            </w:r>
          </w:p>
          <w:p w14:paraId="3A7E0D7C">
            <w:pPr>
              <w:adjustRightInd w:val="0"/>
              <w:snapToGrid w:val="0"/>
              <w:jc w:val="center"/>
              <w:rPr>
                <w:rFonts w:hint="default" w:ascii="Times New Roman" w:hAnsi="Times New Roman" w:cs="Times New Roman"/>
                <w:color w:val="000000" w:themeColor="text1"/>
                <w:kern w:val="0"/>
                <w:szCs w:val="21"/>
              </w:rPr>
            </w:pPr>
            <w:r>
              <w:rPr>
                <w:rFonts w:hint="default" w:ascii="Times New Roman" w:hAnsi="Times New Roman" w:cs="Times New Roman"/>
                <w:color w:val="000000" w:themeColor="text1"/>
                <w:kern w:val="0"/>
                <w:szCs w:val="21"/>
              </w:rPr>
              <w:t>现状</w:t>
            </w:r>
          </w:p>
        </w:tc>
        <w:tc>
          <w:tcPr>
            <w:tcW w:w="8637" w:type="dxa"/>
            <w:noWrap w:val="0"/>
            <w:vAlign w:val="center"/>
          </w:tcPr>
          <w:p w14:paraId="0A4509F9">
            <w:pPr>
              <w:adjustRightInd w:val="0"/>
              <w:spacing w:line="360" w:lineRule="auto"/>
              <w:ind w:firstLine="480"/>
              <w:textAlignment w:val="baseline"/>
              <w:rPr>
                <w:rFonts w:hint="default" w:ascii="Times New Roman" w:hAnsi="Times New Roman" w:cs="Times New Roman"/>
                <w:color w:val="000000" w:themeColor="text1"/>
                <w:sz w:val="24"/>
              </w:rPr>
            </w:pPr>
            <w:r>
              <w:rPr>
                <w:rFonts w:hint="default" w:ascii="Times New Roman" w:hAnsi="Times New Roman" w:cs="Times New Roman"/>
                <w:color w:val="000000" w:themeColor="text1"/>
                <w:sz w:val="24"/>
              </w:rPr>
              <w:t>一、空气环境质量现状与评价</w:t>
            </w:r>
          </w:p>
          <w:p w14:paraId="296F6D89">
            <w:pPr>
              <w:autoSpaceDE w:val="0"/>
              <w:autoSpaceDN w:val="0"/>
              <w:adjustRightInd w:val="0"/>
              <w:snapToGrid w:val="0"/>
              <w:spacing w:line="360" w:lineRule="auto"/>
              <w:ind w:firstLine="480" w:firstLineChars="200"/>
              <w:jc w:val="left"/>
              <w:rPr>
                <w:rFonts w:hint="default" w:ascii="Times New Roman" w:hAnsi="Times New Roman" w:cs="Times New Roman"/>
                <w:bCs/>
                <w:color w:val="000000" w:themeColor="text1"/>
                <w:kern w:val="0"/>
                <w:sz w:val="24"/>
              </w:rPr>
            </w:pPr>
            <w:r>
              <w:rPr>
                <w:rFonts w:hint="default" w:ascii="Times New Roman" w:hAnsi="Times New Roman" w:cs="Times New Roman"/>
                <w:bCs/>
                <w:color w:val="000000" w:themeColor="text1"/>
                <w:kern w:val="0"/>
                <w:sz w:val="24"/>
              </w:rPr>
              <w:t>1.1空气质量达标区判定</w:t>
            </w:r>
          </w:p>
          <w:p w14:paraId="72F1C5F9">
            <w:pPr>
              <w:autoSpaceDE w:val="0"/>
              <w:autoSpaceDN w:val="0"/>
              <w:spacing w:line="360" w:lineRule="auto"/>
              <w:ind w:firstLine="480" w:firstLineChars="200"/>
              <w:rPr>
                <w:color w:val="000000"/>
                <w:sz w:val="24"/>
              </w:rPr>
            </w:pPr>
            <w:r>
              <w:rPr>
                <w:color w:val="000000"/>
                <w:sz w:val="24"/>
              </w:rPr>
              <w:t>根据《</w:t>
            </w:r>
            <w:r>
              <w:rPr>
                <w:rFonts w:hint="eastAsia"/>
                <w:color w:val="000000"/>
                <w:sz w:val="24"/>
              </w:rPr>
              <w:t>建设项目环境影响报告表编制技术指南（污染影响类）（试行）</w:t>
            </w:r>
            <w:r>
              <w:rPr>
                <w:color w:val="000000"/>
                <w:sz w:val="24"/>
              </w:rPr>
              <w:t>》要求，</w:t>
            </w:r>
            <w:r>
              <w:rPr>
                <w:rFonts w:hint="eastAsia"/>
                <w:color w:val="000000"/>
                <w:sz w:val="24"/>
              </w:rPr>
              <w:t>常规污染物引用与建设项目距离近的有效数据，包括近3年的规划环境影响评价的监测数据，国家、地方环境空气质量监测网数据或生态环境主管部门公开发布的质量数据等。</w:t>
            </w:r>
          </w:p>
          <w:p w14:paraId="3C1D5349">
            <w:pPr>
              <w:spacing w:line="360" w:lineRule="auto"/>
              <w:ind w:firstLine="480" w:firstLineChars="200"/>
              <w:rPr>
                <w:color w:val="000000"/>
                <w:sz w:val="24"/>
              </w:rPr>
            </w:pPr>
            <w:r>
              <w:rPr>
                <w:color w:val="000000"/>
                <w:sz w:val="24"/>
              </w:rPr>
              <w:t>本次</w:t>
            </w:r>
            <w:r>
              <w:rPr>
                <w:rFonts w:hint="eastAsia"/>
                <w:color w:val="000000"/>
                <w:sz w:val="24"/>
                <w:lang w:val="en-US" w:eastAsia="zh-CN"/>
              </w:rPr>
              <w:t>常规</w:t>
            </w:r>
            <w:r>
              <w:rPr>
                <w:color w:val="000000"/>
                <w:sz w:val="24"/>
              </w:rPr>
              <w:t>污染物环境质量现状数据</w:t>
            </w:r>
            <w:r>
              <w:rPr>
                <w:rFonts w:hint="eastAsia"/>
                <w:color w:val="000000"/>
                <w:sz w:val="24"/>
                <w:lang w:val="en-US" w:eastAsia="zh-CN"/>
              </w:rPr>
              <w:t>引用</w:t>
            </w:r>
            <w:r>
              <w:rPr>
                <w:color w:val="000000"/>
                <w:sz w:val="24"/>
              </w:rPr>
              <w:t>淮北市生态环境局网站公开的</w:t>
            </w:r>
            <w:r>
              <w:rPr>
                <w:rFonts w:hint="eastAsia"/>
                <w:color w:val="000000"/>
                <w:sz w:val="24"/>
              </w:rPr>
              <w:t>202</w:t>
            </w:r>
            <w:r>
              <w:rPr>
                <w:rFonts w:hint="eastAsia"/>
                <w:color w:val="000000"/>
                <w:sz w:val="24"/>
                <w:lang w:val="en-US" w:eastAsia="zh-CN"/>
              </w:rPr>
              <w:t>4</w:t>
            </w:r>
            <w:r>
              <w:rPr>
                <w:rFonts w:hint="eastAsia"/>
                <w:color w:val="000000"/>
                <w:sz w:val="24"/>
              </w:rPr>
              <w:t>年度淮北市生态环境状况公报</w:t>
            </w:r>
            <w:r>
              <w:rPr>
                <w:color w:val="000000"/>
                <w:sz w:val="24"/>
              </w:rPr>
              <w:t>，项目区域各基本污染物评价因子现状如下表所示。</w:t>
            </w:r>
          </w:p>
          <w:p w14:paraId="37FDB2E5">
            <w:pPr>
              <w:adjustRightInd w:val="0"/>
              <w:snapToGrid w:val="0"/>
              <w:jc w:val="center"/>
              <w:rPr>
                <w:b/>
                <w:bCs/>
                <w:color w:val="000000"/>
                <w:sz w:val="24"/>
              </w:rPr>
            </w:pPr>
            <w:r>
              <w:rPr>
                <w:b/>
                <w:bCs/>
                <w:color w:val="000000"/>
                <w:sz w:val="24"/>
              </w:rPr>
              <w:t>表3-1  环境空气达标区判断结果一览表</w:t>
            </w:r>
          </w:p>
          <w:tbl>
            <w:tblPr>
              <w:tblStyle w:val="3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0"/>
              <w:gridCol w:w="2510"/>
              <w:gridCol w:w="1199"/>
              <w:gridCol w:w="1430"/>
              <w:gridCol w:w="1430"/>
              <w:gridCol w:w="1016"/>
            </w:tblGrid>
            <w:tr w14:paraId="175947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jc w:val="center"/>
              </w:trPr>
              <w:tc>
                <w:tcPr>
                  <w:tcW w:w="847" w:type="dxa"/>
                  <w:noWrap w:val="0"/>
                  <w:vAlign w:val="center"/>
                </w:tcPr>
                <w:p w14:paraId="6506E537">
                  <w:pPr>
                    <w:pStyle w:val="81"/>
                    <w:spacing w:beforeLines="0" w:afterLines="0" w:line="240" w:lineRule="auto"/>
                    <w:ind w:firstLine="0" w:firstLineChars="0"/>
                    <w:rPr>
                      <w:rFonts w:ascii="Times New Roman" w:eastAsia="宋体"/>
                      <w:b/>
                      <w:bCs/>
                      <w:color w:val="000000"/>
                      <w:sz w:val="21"/>
                      <w:szCs w:val="21"/>
                    </w:rPr>
                  </w:pPr>
                  <w:r>
                    <w:rPr>
                      <w:rFonts w:ascii="Times New Roman" w:eastAsia="宋体"/>
                      <w:b/>
                      <w:bCs/>
                      <w:color w:val="000000"/>
                      <w:sz w:val="21"/>
                      <w:szCs w:val="21"/>
                    </w:rPr>
                    <w:t>污染物</w:t>
                  </w:r>
                </w:p>
              </w:tc>
              <w:tc>
                <w:tcPr>
                  <w:tcW w:w="2929" w:type="dxa"/>
                  <w:noWrap w:val="0"/>
                  <w:vAlign w:val="center"/>
                </w:tcPr>
                <w:p w14:paraId="64953764">
                  <w:pPr>
                    <w:pStyle w:val="81"/>
                    <w:spacing w:beforeLines="0" w:afterLines="0" w:line="240" w:lineRule="auto"/>
                    <w:ind w:firstLine="0" w:firstLineChars="0"/>
                    <w:rPr>
                      <w:rFonts w:ascii="Times New Roman" w:eastAsia="宋体"/>
                      <w:b/>
                      <w:bCs/>
                      <w:color w:val="000000"/>
                      <w:sz w:val="21"/>
                      <w:szCs w:val="21"/>
                    </w:rPr>
                  </w:pPr>
                  <w:r>
                    <w:rPr>
                      <w:rFonts w:ascii="Times New Roman" w:eastAsia="宋体"/>
                      <w:b/>
                      <w:bCs/>
                      <w:color w:val="000000"/>
                      <w:sz w:val="21"/>
                      <w:szCs w:val="21"/>
                    </w:rPr>
                    <w:t>年评价指标</w:t>
                  </w:r>
                </w:p>
              </w:tc>
              <w:tc>
                <w:tcPr>
                  <w:tcW w:w="1208" w:type="dxa"/>
                  <w:noWrap w:val="0"/>
                  <w:vAlign w:val="center"/>
                </w:tcPr>
                <w:p w14:paraId="2A8DB1E4">
                  <w:pPr>
                    <w:pStyle w:val="81"/>
                    <w:spacing w:beforeLines="0" w:afterLines="0" w:line="240" w:lineRule="auto"/>
                    <w:ind w:firstLine="0" w:firstLineChars="0"/>
                    <w:rPr>
                      <w:rFonts w:ascii="Times New Roman" w:eastAsia="宋体"/>
                      <w:b/>
                      <w:bCs/>
                      <w:color w:val="000000"/>
                      <w:sz w:val="21"/>
                      <w:szCs w:val="21"/>
                    </w:rPr>
                  </w:pPr>
                  <w:r>
                    <w:rPr>
                      <w:rFonts w:ascii="Times New Roman" w:eastAsia="宋体"/>
                      <w:b/>
                      <w:bCs/>
                      <w:color w:val="000000"/>
                      <w:sz w:val="21"/>
                      <w:szCs w:val="21"/>
                    </w:rPr>
                    <w:t>现状浓度/（μg/m³）</w:t>
                  </w:r>
                </w:p>
              </w:tc>
              <w:tc>
                <w:tcPr>
                  <w:tcW w:w="1252" w:type="dxa"/>
                  <w:noWrap w:val="0"/>
                  <w:vAlign w:val="center"/>
                </w:tcPr>
                <w:p w14:paraId="7C7C3422">
                  <w:pPr>
                    <w:pStyle w:val="81"/>
                    <w:spacing w:beforeLines="0" w:afterLines="0" w:line="240" w:lineRule="auto"/>
                    <w:ind w:firstLine="0" w:firstLineChars="0"/>
                    <w:rPr>
                      <w:rFonts w:ascii="Times New Roman" w:eastAsia="宋体"/>
                      <w:b/>
                      <w:bCs/>
                      <w:color w:val="000000"/>
                      <w:sz w:val="21"/>
                      <w:szCs w:val="21"/>
                    </w:rPr>
                  </w:pPr>
                  <w:r>
                    <w:rPr>
                      <w:rFonts w:hint="eastAsia" w:ascii="Times New Roman" w:eastAsia="宋体"/>
                      <w:b/>
                      <w:bCs/>
                      <w:color w:val="000000"/>
                      <w:sz w:val="21"/>
                      <w:szCs w:val="21"/>
                    </w:rPr>
                    <w:t>GB3095-2012</w:t>
                  </w:r>
                  <w:r>
                    <w:rPr>
                      <w:rFonts w:ascii="Times New Roman" w:eastAsia="宋体"/>
                      <w:b/>
                      <w:bCs/>
                      <w:color w:val="000000"/>
                      <w:sz w:val="21"/>
                      <w:szCs w:val="21"/>
                    </w:rPr>
                    <w:t>标准值（μg/m³）</w:t>
                  </w:r>
                </w:p>
              </w:tc>
              <w:tc>
                <w:tcPr>
                  <w:tcW w:w="1141" w:type="dxa"/>
                  <w:noWrap w:val="0"/>
                  <w:vAlign w:val="center"/>
                </w:tcPr>
                <w:p w14:paraId="23BFEE14">
                  <w:pPr>
                    <w:pStyle w:val="81"/>
                    <w:spacing w:beforeLines="0" w:afterLines="0" w:line="240" w:lineRule="auto"/>
                    <w:ind w:firstLine="0" w:firstLineChars="0"/>
                    <w:rPr>
                      <w:rFonts w:hint="eastAsia" w:ascii="Times New Roman" w:eastAsia="宋体"/>
                      <w:b/>
                      <w:bCs/>
                      <w:color w:val="000000"/>
                      <w:sz w:val="21"/>
                      <w:szCs w:val="21"/>
                    </w:rPr>
                  </w:pPr>
                  <w:r>
                    <w:rPr>
                      <w:rFonts w:hint="eastAsia" w:ascii="Times New Roman" w:eastAsia="宋体"/>
                      <w:b/>
                      <w:bCs/>
                      <w:color w:val="000000"/>
                      <w:sz w:val="21"/>
                      <w:szCs w:val="21"/>
                    </w:rPr>
                    <w:t>GB3095-20</w:t>
                  </w:r>
                  <w:r>
                    <w:rPr>
                      <w:rFonts w:hint="eastAsia" w:ascii="Times New Roman" w:eastAsia="宋体"/>
                      <w:b/>
                      <w:bCs/>
                      <w:color w:val="000000"/>
                      <w:sz w:val="21"/>
                      <w:szCs w:val="21"/>
                      <w:lang w:val="en-US" w:eastAsia="zh-CN"/>
                    </w:rPr>
                    <w:t>26</w:t>
                  </w:r>
                  <w:r>
                    <w:rPr>
                      <w:rFonts w:ascii="Times New Roman" w:eastAsia="宋体"/>
                      <w:b/>
                      <w:bCs/>
                      <w:color w:val="000000"/>
                      <w:sz w:val="21"/>
                      <w:szCs w:val="21"/>
                    </w:rPr>
                    <w:t>标准值（μg/m³）</w:t>
                  </w:r>
                </w:p>
              </w:tc>
              <w:tc>
                <w:tcPr>
                  <w:tcW w:w="1141" w:type="dxa"/>
                  <w:noWrap w:val="0"/>
                  <w:vAlign w:val="center"/>
                </w:tcPr>
                <w:p w14:paraId="29529289">
                  <w:pPr>
                    <w:pStyle w:val="81"/>
                    <w:spacing w:beforeLines="0" w:afterLines="0" w:line="240" w:lineRule="auto"/>
                    <w:ind w:firstLine="0" w:firstLineChars="0"/>
                    <w:rPr>
                      <w:rFonts w:ascii="Times New Roman" w:eastAsia="宋体"/>
                      <w:b/>
                      <w:bCs/>
                      <w:color w:val="000000"/>
                      <w:sz w:val="21"/>
                      <w:szCs w:val="21"/>
                    </w:rPr>
                  </w:pPr>
                  <w:r>
                    <w:rPr>
                      <w:rFonts w:ascii="Times New Roman" w:eastAsia="宋体"/>
                      <w:b/>
                      <w:bCs/>
                      <w:color w:val="000000"/>
                      <w:sz w:val="21"/>
                      <w:szCs w:val="21"/>
                    </w:rPr>
                    <w:t>达标情况</w:t>
                  </w:r>
                </w:p>
              </w:tc>
            </w:tr>
            <w:tr w14:paraId="1A0EF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847" w:type="dxa"/>
                  <w:noWrap w:val="0"/>
                  <w:vAlign w:val="center"/>
                </w:tcPr>
                <w:p w14:paraId="0279DA6A">
                  <w:pPr>
                    <w:pStyle w:val="81"/>
                    <w:spacing w:beforeLines="0" w:afterLines="0" w:line="240" w:lineRule="auto"/>
                    <w:ind w:firstLine="0" w:firstLineChars="0"/>
                    <w:rPr>
                      <w:rFonts w:ascii="Times New Roman" w:eastAsia="宋体"/>
                      <w:color w:val="000000"/>
                      <w:sz w:val="21"/>
                      <w:szCs w:val="21"/>
                    </w:rPr>
                  </w:pPr>
                  <w:r>
                    <w:rPr>
                      <w:rFonts w:ascii="Times New Roman" w:eastAsia="宋体"/>
                      <w:color w:val="000000"/>
                      <w:sz w:val="21"/>
                      <w:szCs w:val="21"/>
                    </w:rPr>
                    <w:t>SO</w:t>
                  </w:r>
                  <w:r>
                    <w:rPr>
                      <w:rFonts w:ascii="Times New Roman" w:eastAsia="宋体"/>
                      <w:color w:val="000000"/>
                      <w:sz w:val="21"/>
                      <w:szCs w:val="21"/>
                      <w:vertAlign w:val="subscript"/>
                    </w:rPr>
                    <w:t>2</w:t>
                  </w:r>
                </w:p>
              </w:tc>
              <w:tc>
                <w:tcPr>
                  <w:tcW w:w="2929" w:type="dxa"/>
                  <w:noWrap w:val="0"/>
                  <w:vAlign w:val="center"/>
                </w:tcPr>
                <w:p w14:paraId="1FE941A3">
                  <w:pPr>
                    <w:pStyle w:val="81"/>
                    <w:spacing w:beforeLines="0" w:afterLines="0" w:line="240" w:lineRule="auto"/>
                    <w:ind w:firstLine="0" w:firstLineChars="0"/>
                    <w:rPr>
                      <w:rFonts w:ascii="Times New Roman" w:eastAsia="宋体"/>
                      <w:color w:val="000000"/>
                      <w:sz w:val="21"/>
                      <w:szCs w:val="21"/>
                    </w:rPr>
                  </w:pPr>
                  <w:r>
                    <w:rPr>
                      <w:rFonts w:ascii="Times New Roman" w:eastAsia="宋体"/>
                      <w:color w:val="000000"/>
                      <w:sz w:val="21"/>
                      <w:szCs w:val="21"/>
                    </w:rPr>
                    <w:t>年平均浓度</w:t>
                  </w:r>
                </w:p>
              </w:tc>
              <w:tc>
                <w:tcPr>
                  <w:tcW w:w="1208" w:type="dxa"/>
                  <w:noWrap w:val="0"/>
                  <w:vAlign w:val="center"/>
                </w:tcPr>
                <w:p w14:paraId="215ABAFE">
                  <w:pPr>
                    <w:pStyle w:val="81"/>
                    <w:spacing w:beforeLines="0" w:afterLines="0" w:line="240" w:lineRule="auto"/>
                    <w:ind w:firstLine="0" w:firstLineChars="0"/>
                    <w:rPr>
                      <w:rFonts w:hint="eastAsia" w:ascii="Times New Roman" w:eastAsia="宋体"/>
                      <w:color w:val="000000"/>
                      <w:sz w:val="21"/>
                      <w:szCs w:val="21"/>
                      <w:lang w:eastAsia="zh-CN"/>
                    </w:rPr>
                  </w:pPr>
                  <w:r>
                    <w:rPr>
                      <w:rFonts w:hint="eastAsia" w:ascii="Times New Roman" w:eastAsia="宋体"/>
                      <w:color w:val="000000"/>
                      <w:sz w:val="21"/>
                      <w:szCs w:val="21"/>
                      <w:lang w:val="en-US" w:eastAsia="zh-CN"/>
                    </w:rPr>
                    <w:t>6</w:t>
                  </w:r>
                </w:p>
              </w:tc>
              <w:tc>
                <w:tcPr>
                  <w:tcW w:w="1252" w:type="dxa"/>
                  <w:noWrap w:val="0"/>
                  <w:vAlign w:val="center"/>
                </w:tcPr>
                <w:p w14:paraId="3F293D0D">
                  <w:pPr>
                    <w:pStyle w:val="81"/>
                    <w:spacing w:beforeLines="0" w:afterLines="0" w:line="240" w:lineRule="auto"/>
                    <w:ind w:firstLine="0" w:firstLineChars="0"/>
                    <w:rPr>
                      <w:rFonts w:ascii="Times New Roman" w:eastAsia="宋体"/>
                      <w:color w:val="000000"/>
                      <w:sz w:val="21"/>
                      <w:szCs w:val="21"/>
                    </w:rPr>
                  </w:pPr>
                  <w:r>
                    <w:rPr>
                      <w:rFonts w:ascii="Times New Roman" w:eastAsia="宋体"/>
                      <w:color w:val="000000"/>
                      <w:sz w:val="21"/>
                      <w:szCs w:val="21"/>
                    </w:rPr>
                    <w:t>60</w:t>
                  </w:r>
                </w:p>
              </w:tc>
              <w:tc>
                <w:tcPr>
                  <w:tcW w:w="1141" w:type="dxa"/>
                  <w:noWrap w:val="0"/>
                  <w:vAlign w:val="center"/>
                </w:tcPr>
                <w:p w14:paraId="0764993E">
                  <w:pPr>
                    <w:pStyle w:val="81"/>
                    <w:spacing w:beforeLines="0" w:afterLines="0" w:line="240" w:lineRule="auto"/>
                    <w:ind w:firstLine="0" w:firstLineChars="0"/>
                    <w:rPr>
                      <w:rFonts w:ascii="Times New Roman" w:eastAsia="宋体"/>
                      <w:color w:val="000000"/>
                      <w:sz w:val="21"/>
                      <w:szCs w:val="21"/>
                    </w:rPr>
                  </w:pPr>
                  <w:r>
                    <w:rPr>
                      <w:rFonts w:ascii="Times New Roman" w:eastAsia="宋体"/>
                      <w:color w:val="000000"/>
                      <w:sz w:val="21"/>
                      <w:szCs w:val="21"/>
                    </w:rPr>
                    <w:t>60</w:t>
                  </w:r>
                </w:p>
              </w:tc>
              <w:tc>
                <w:tcPr>
                  <w:tcW w:w="1141" w:type="dxa"/>
                  <w:noWrap w:val="0"/>
                  <w:vAlign w:val="center"/>
                </w:tcPr>
                <w:p w14:paraId="6BE1B32B">
                  <w:pPr>
                    <w:pStyle w:val="81"/>
                    <w:spacing w:beforeLines="0" w:afterLines="0" w:line="240" w:lineRule="auto"/>
                    <w:ind w:firstLine="0" w:firstLineChars="0"/>
                    <w:rPr>
                      <w:rFonts w:ascii="Times New Roman" w:eastAsia="宋体"/>
                      <w:color w:val="000000"/>
                      <w:sz w:val="21"/>
                      <w:szCs w:val="21"/>
                    </w:rPr>
                  </w:pPr>
                  <w:r>
                    <w:rPr>
                      <w:rFonts w:ascii="Times New Roman" w:eastAsia="宋体"/>
                      <w:color w:val="000000"/>
                      <w:sz w:val="21"/>
                      <w:szCs w:val="21"/>
                    </w:rPr>
                    <w:t>达标</w:t>
                  </w:r>
                </w:p>
              </w:tc>
            </w:tr>
            <w:tr w14:paraId="437EAE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847" w:type="dxa"/>
                  <w:noWrap w:val="0"/>
                  <w:vAlign w:val="center"/>
                </w:tcPr>
                <w:p w14:paraId="40B4FE5A">
                  <w:pPr>
                    <w:pStyle w:val="81"/>
                    <w:spacing w:beforeLines="0" w:afterLines="0" w:line="240" w:lineRule="auto"/>
                    <w:ind w:firstLine="0" w:firstLineChars="0"/>
                    <w:rPr>
                      <w:rFonts w:ascii="Times New Roman" w:eastAsia="宋体"/>
                      <w:color w:val="000000"/>
                      <w:sz w:val="21"/>
                      <w:szCs w:val="21"/>
                    </w:rPr>
                  </w:pPr>
                  <w:r>
                    <w:rPr>
                      <w:rFonts w:ascii="Times New Roman" w:eastAsia="宋体"/>
                      <w:color w:val="000000"/>
                      <w:sz w:val="21"/>
                      <w:szCs w:val="21"/>
                    </w:rPr>
                    <w:t>NO</w:t>
                  </w:r>
                  <w:r>
                    <w:rPr>
                      <w:rFonts w:ascii="Times New Roman" w:eastAsia="宋体"/>
                      <w:color w:val="000000"/>
                      <w:sz w:val="21"/>
                      <w:szCs w:val="21"/>
                      <w:vertAlign w:val="subscript"/>
                    </w:rPr>
                    <w:t>2</w:t>
                  </w:r>
                </w:p>
              </w:tc>
              <w:tc>
                <w:tcPr>
                  <w:tcW w:w="2929" w:type="dxa"/>
                  <w:noWrap w:val="0"/>
                  <w:vAlign w:val="center"/>
                </w:tcPr>
                <w:p w14:paraId="12B3138C">
                  <w:pPr>
                    <w:pStyle w:val="81"/>
                    <w:spacing w:beforeLines="0" w:afterLines="0" w:line="240" w:lineRule="auto"/>
                    <w:ind w:firstLine="0" w:firstLineChars="0"/>
                    <w:rPr>
                      <w:rFonts w:ascii="Times New Roman" w:eastAsia="宋体"/>
                      <w:color w:val="000000"/>
                      <w:sz w:val="21"/>
                      <w:szCs w:val="21"/>
                    </w:rPr>
                  </w:pPr>
                  <w:r>
                    <w:rPr>
                      <w:rFonts w:ascii="Times New Roman" w:eastAsia="宋体"/>
                      <w:color w:val="000000"/>
                      <w:sz w:val="21"/>
                      <w:szCs w:val="21"/>
                    </w:rPr>
                    <w:t>年平均浓度</w:t>
                  </w:r>
                </w:p>
              </w:tc>
              <w:tc>
                <w:tcPr>
                  <w:tcW w:w="1208" w:type="dxa"/>
                  <w:noWrap w:val="0"/>
                  <w:vAlign w:val="center"/>
                </w:tcPr>
                <w:p w14:paraId="68D25796">
                  <w:pPr>
                    <w:pStyle w:val="81"/>
                    <w:spacing w:beforeLines="0" w:afterLines="0" w:line="240" w:lineRule="auto"/>
                    <w:ind w:firstLine="0" w:firstLineChars="0"/>
                    <w:rPr>
                      <w:rFonts w:hint="default" w:ascii="Times New Roman" w:eastAsia="宋体"/>
                      <w:color w:val="000000"/>
                      <w:sz w:val="21"/>
                      <w:szCs w:val="21"/>
                      <w:lang w:val="en-US" w:eastAsia="zh-CN"/>
                    </w:rPr>
                  </w:pPr>
                  <w:r>
                    <w:rPr>
                      <w:rFonts w:hint="eastAsia" w:ascii="Times New Roman" w:eastAsia="宋体"/>
                      <w:color w:val="000000"/>
                      <w:sz w:val="21"/>
                      <w:szCs w:val="21"/>
                      <w:lang w:val="en-US" w:eastAsia="zh-CN"/>
                    </w:rPr>
                    <w:t>19</w:t>
                  </w:r>
                </w:p>
              </w:tc>
              <w:tc>
                <w:tcPr>
                  <w:tcW w:w="1252" w:type="dxa"/>
                  <w:noWrap w:val="0"/>
                  <w:vAlign w:val="center"/>
                </w:tcPr>
                <w:p w14:paraId="6DE5E58C">
                  <w:pPr>
                    <w:pStyle w:val="81"/>
                    <w:spacing w:beforeLines="0" w:afterLines="0" w:line="240" w:lineRule="auto"/>
                    <w:ind w:firstLine="0" w:firstLineChars="0"/>
                    <w:rPr>
                      <w:rFonts w:ascii="Times New Roman" w:eastAsia="宋体"/>
                      <w:color w:val="000000"/>
                      <w:sz w:val="21"/>
                      <w:szCs w:val="21"/>
                    </w:rPr>
                  </w:pPr>
                  <w:r>
                    <w:rPr>
                      <w:rFonts w:ascii="Times New Roman" w:eastAsia="宋体"/>
                      <w:color w:val="000000"/>
                      <w:sz w:val="21"/>
                      <w:szCs w:val="21"/>
                    </w:rPr>
                    <w:t>40</w:t>
                  </w:r>
                </w:p>
              </w:tc>
              <w:tc>
                <w:tcPr>
                  <w:tcW w:w="1141" w:type="dxa"/>
                  <w:noWrap w:val="0"/>
                  <w:vAlign w:val="center"/>
                </w:tcPr>
                <w:p w14:paraId="1D56EFAC">
                  <w:pPr>
                    <w:pStyle w:val="81"/>
                    <w:spacing w:beforeLines="0" w:afterLines="0" w:line="240" w:lineRule="auto"/>
                    <w:ind w:firstLine="0" w:firstLineChars="0"/>
                    <w:rPr>
                      <w:rFonts w:ascii="Times New Roman" w:eastAsia="宋体"/>
                      <w:color w:val="000000"/>
                      <w:sz w:val="21"/>
                      <w:szCs w:val="21"/>
                    </w:rPr>
                  </w:pPr>
                  <w:r>
                    <w:rPr>
                      <w:rFonts w:ascii="Times New Roman" w:eastAsia="宋体"/>
                      <w:color w:val="000000"/>
                      <w:sz w:val="21"/>
                      <w:szCs w:val="21"/>
                    </w:rPr>
                    <w:t>40</w:t>
                  </w:r>
                </w:p>
              </w:tc>
              <w:tc>
                <w:tcPr>
                  <w:tcW w:w="1141" w:type="dxa"/>
                  <w:noWrap w:val="0"/>
                  <w:vAlign w:val="center"/>
                </w:tcPr>
                <w:p w14:paraId="006288E2">
                  <w:pPr>
                    <w:pStyle w:val="81"/>
                    <w:spacing w:beforeLines="0" w:afterLines="0" w:line="240" w:lineRule="auto"/>
                    <w:ind w:firstLine="0" w:firstLineChars="0"/>
                    <w:rPr>
                      <w:rFonts w:ascii="Times New Roman" w:eastAsia="宋体"/>
                      <w:color w:val="000000"/>
                      <w:sz w:val="21"/>
                      <w:szCs w:val="21"/>
                    </w:rPr>
                  </w:pPr>
                  <w:r>
                    <w:rPr>
                      <w:rFonts w:ascii="Times New Roman" w:eastAsia="宋体"/>
                      <w:color w:val="000000"/>
                      <w:sz w:val="21"/>
                      <w:szCs w:val="21"/>
                    </w:rPr>
                    <w:t>达标</w:t>
                  </w:r>
                </w:p>
              </w:tc>
            </w:tr>
            <w:tr w14:paraId="24A3B3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847" w:type="dxa"/>
                  <w:noWrap w:val="0"/>
                  <w:vAlign w:val="center"/>
                </w:tcPr>
                <w:p w14:paraId="0FDEE509">
                  <w:pPr>
                    <w:pStyle w:val="81"/>
                    <w:spacing w:beforeLines="0" w:afterLines="0" w:line="240" w:lineRule="auto"/>
                    <w:ind w:firstLine="0" w:firstLineChars="0"/>
                    <w:rPr>
                      <w:rFonts w:ascii="Times New Roman" w:eastAsia="宋体"/>
                      <w:color w:val="000000"/>
                      <w:sz w:val="21"/>
                      <w:szCs w:val="21"/>
                    </w:rPr>
                  </w:pPr>
                  <w:r>
                    <w:rPr>
                      <w:rFonts w:ascii="Times New Roman" w:eastAsia="宋体"/>
                      <w:color w:val="000000"/>
                      <w:sz w:val="21"/>
                      <w:szCs w:val="21"/>
                    </w:rPr>
                    <w:t>PM</w:t>
                  </w:r>
                  <w:r>
                    <w:rPr>
                      <w:rFonts w:ascii="Times New Roman" w:eastAsia="宋体"/>
                      <w:color w:val="000000"/>
                      <w:sz w:val="21"/>
                      <w:szCs w:val="21"/>
                      <w:vertAlign w:val="subscript"/>
                    </w:rPr>
                    <w:t>10</w:t>
                  </w:r>
                </w:p>
              </w:tc>
              <w:tc>
                <w:tcPr>
                  <w:tcW w:w="2929" w:type="dxa"/>
                  <w:noWrap w:val="0"/>
                  <w:vAlign w:val="center"/>
                </w:tcPr>
                <w:p w14:paraId="263A1042">
                  <w:pPr>
                    <w:pStyle w:val="81"/>
                    <w:spacing w:beforeLines="0" w:afterLines="0" w:line="240" w:lineRule="auto"/>
                    <w:ind w:firstLine="0" w:firstLineChars="0"/>
                    <w:rPr>
                      <w:rFonts w:ascii="Times New Roman" w:eastAsia="宋体"/>
                      <w:color w:val="000000"/>
                      <w:sz w:val="21"/>
                      <w:szCs w:val="21"/>
                    </w:rPr>
                  </w:pPr>
                  <w:r>
                    <w:rPr>
                      <w:rFonts w:ascii="Times New Roman" w:eastAsia="宋体"/>
                      <w:color w:val="000000"/>
                      <w:sz w:val="21"/>
                      <w:szCs w:val="21"/>
                    </w:rPr>
                    <w:t>年平均浓度</w:t>
                  </w:r>
                </w:p>
              </w:tc>
              <w:tc>
                <w:tcPr>
                  <w:tcW w:w="1208" w:type="dxa"/>
                  <w:noWrap w:val="0"/>
                  <w:vAlign w:val="center"/>
                </w:tcPr>
                <w:p w14:paraId="21788AD2">
                  <w:pPr>
                    <w:pStyle w:val="81"/>
                    <w:spacing w:beforeLines="0" w:afterLines="0" w:line="240" w:lineRule="auto"/>
                    <w:ind w:firstLine="0" w:firstLineChars="0"/>
                    <w:rPr>
                      <w:rFonts w:hint="eastAsia" w:ascii="Times New Roman" w:eastAsia="宋体"/>
                      <w:color w:val="000000"/>
                      <w:sz w:val="21"/>
                      <w:szCs w:val="21"/>
                      <w:lang w:eastAsia="zh-CN"/>
                    </w:rPr>
                  </w:pPr>
                  <w:r>
                    <w:rPr>
                      <w:rFonts w:ascii="Times New Roman" w:eastAsia="宋体"/>
                      <w:color w:val="000000"/>
                      <w:sz w:val="21"/>
                      <w:szCs w:val="21"/>
                    </w:rPr>
                    <w:t>7</w:t>
                  </w:r>
                  <w:r>
                    <w:rPr>
                      <w:rFonts w:hint="eastAsia" w:ascii="Times New Roman" w:eastAsia="宋体"/>
                      <w:color w:val="000000"/>
                      <w:sz w:val="21"/>
                      <w:szCs w:val="21"/>
                      <w:lang w:val="en-US" w:eastAsia="zh-CN"/>
                    </w:rPr>
                    <w:t>0</w:t>
                  </w:r>
                </w:p>
              </w:tc>
              <w:tc>
                <w:tcPr>
                  <w:tcW w:w="1252" w:type="dxa"/>
                  <w:noWrap w:val="0"/>
                  <w:vAlign w:val="center"/>
                </w:tcPr>
                <w:p w14:paraId="1256965F">
                  <w:pPr>
                    <w:pStyle w:val="81"/>
                    <w:spacing w:beforeLines="0" w:afterLines="0" w:line="240" w:lineRule="auto"/>
                    <w:ind w:firstLine="0" w:firstLineChars="0"/>
                    <w:rPr>
                      <w:rFonts w:ascii="Times New Roman" w:eastAsia="宋体"/>
                      <w:color w:val="000000"/>
                      <w:sz w:val="21"/>
                      <w:szCs w:val="21"/>
                    </w:rPr>
                  </w:pPr>
                  <w:r>
                    <w:rPr>
                      <w:rFonts w:ascii="Times New Roman" w:eastAsia="宋体"/>
                      <w:color w:val="000000"/>
                      <w:sz w:val="21"/>
                      <w:szCs w:val="21"/>
                    </w:rPr>
                    <w:t>70</w:t>
                  </w:r>
                </w:p>
              </w:tc>
              <w:tc>
                <w:tcPr>
                  <w:tcW w:w="1141" w:type="dxa"/>
                  <w:noWrap w:val="0"/>
                  <w:vAlign w:val="center"/>
                </w:tcPr>
                <w:p w14:paraId="50037917">
                  <w:pPr>
                    <w:pStyle w:val="81"/>
                    <w:spacing w:beforeLines="0" w:afterLines="0" w:line="240" w:lineRule="auto"/>
                    <w:ind w:firstLine="0" w:firstLineChars="0"/>
                    <w:rPr>
                      <w:rFonts w:ascii="Times New Roman" w:eastAsia="宋体"/>
                      <w:color w:val="000000"/>
                      <w:sz w:val="21"/>
                      <w:szCs w:val="21"/>
                    </w:rPr>
                  </w:pPr>
                  <w:r>
                    <w:rPr>
                      <w:rFonts w:hint="eastAsia" w:ascii="Times New Roman" w:eastAsia="宋体"/>
                      <w:color w:val="000000"/>
                      <w:sz w:val="21"/>
                      <w:szCs w:val="21"/>
                      <w:lang w:val="en-US" w:eastAsia="zh-CN"/>
                    </w:rPr>
                    <w:t>6</w:t>
                  </w:r>
                  <w:r>
                    <w:rPr>
                      <w:rFonts w:ascii="Times New Roman" w:eastAsia="宋体"/>
                      <w:color w:val="000000"/>
                      <w:sz w:val="21"/>
                      <w:szCs w:val="21"/>
                    </w:rPr>
                    <w:t>0</w:t>
                  </w:r>
                </w:p>
              </w:tc>
              <w:tc>
                <w:tcPr>
                  <w:tcW w:w="1141" w:type="dxa"/>
                  <w:noWrap w:val="0"/>
                  <w:vAlign w:val="center"/>
                </w:tcPr>
                <w:p w14:paraId="76DAF299">
                  <w:pPr>
                    <w:pStyle w:val="81"/>
                    <w:spacing w:beforeLines="0" w:afterLines="0" w:line="240" w:lineRule="auto"/>
                    <w:ind w:firstLine="0" w:firstLineChars="0"/>
                    <w:rPr>
                      <w:rFonts w:ascii="Times New Roman" w:eastAsia="宋体"/>
                      <w:color w:val="000000"/>
                      <w:sz w:val="21"/>
                      <w:szCs w:val="21"/>
                    </w:rPr>
                  </w:pPr>
                  <w:r>
                    <w:rPr>
                      <w:rFonts w:ascii="Times New Roman" w:eastAsia="宋体"/>
                      <w:color w:val="000000"/>
                      <w:sz w:val="21"/>
                      <w:szCs w:val="21"/>
                    </w:rPr>
                    <w:t>不达标</w:t>
                  </w:r>
                </w:p>
              </w:tc>
            </w:tr>
            <w:tr w14:paraId="144F2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847" w:type="dxa"/>
                  <w:noWrap w:val="0"/>
                  <w:vAlign w:val="center"/>
                </w:tcPr>
                <w:p w14:paraId="299ADAA6">
                  <w:pPr>
                    <w:pStyle w:val="81"/>
                    <w:spacing w:beforeLines="0" w:afterLines="0" w:line="240" w:lineRule="auto"/>
                    <w:ind w:firstLine="0" w:firstLineChars="0"/>
                    <w:rPr>
                      <w:rFonts w:ascii="Times New Roman" w:eastAsia="宋体"/>
                      <w:color w:val="000000"/>
                      <w:sz w:val="21"/>
                      <w:szCs w:val="21"/>
                    </w:rPr>
                  </w:pPr>
                  <w:r>
                    <w:rPr>
                      <w:rFonts w:ascii="Times New Roman" w:eastAsia="宋体"/>
                      <w:color w:val="000000"/>
                      <w:sz w:val="21"/>
                      <w:szCs w:val="21"/>
                    </w:rPr>
                    <w:t>PM</w:t>
                  </w:r>
                  <w:r>
                    <w:rPr>
                      <w:rFonts w:ascii="Times New Roman" w:eastAsia="宋体"/>
                      <w:color w:val="000000"/>
                      <w:sz w:val="21"/>
                      <w:szCs w:val="21"/>
                      <w:vertAlign w:val="subscript"/>
                    </w:rPr>
                    <w:t>2.5</w:t>
                  </w:r>
                </w:p>
              </w:tc>
              <w:tc>
                <w:tcPr>
                  <w:tcW w:w="2929" w:type="dxa"/>
                  <w:noWrap w:val="0"/>
                  <w:vAlign w:val="center"/>
                </w:tcPr>
                <w:p w14:paraId="5E08408A">
                  <w:pPr>
                    <w:pStyle w:val="81"/>
                    <w:spacing w:beforeLines="0" w:afterLines="0" w:line="240" w:lineRule="auto"/>
                    <w:ind w:firstLine="0" w:firstLineChars="0"/>
                    <w:rPr>
                      <w:rFonts w:ascii="Times New Roman" w:eastAsia="宋体"/>
                      <w:color w:val="000000"/>
                      <w:sz w:val="21"/>
                      <w:szCs w:val="21"/>
                    </w:rPr>
                  </w:pPr>
                  <w:r>
                    <w:rPr>
                      <w:rFonts w:ascii="Times New Roman" w:eastAsia="宋体"/>
                      <w:color w:val="000000"/>
                      <w:sz w:val="21"/>
                      <w:szCs w:val="21"/>
                    </w:rPr>
                    <w:t>年平均浓度</w:t>
                  </w:r>
                </w:p>
              </w:tc>
              <w:tc>
                <w:tcPr>
                  <w:tcW w:w="1208" w:type="dxa"/>
                  <w:noWrap w:val="0"/>
                  <w:vAlign w:val="center"/>
                </w:tcPr>
                <w:p w14:paraId="3C4BDCC4">
                  <w:pPr>
                    <w:pStyle w:val="81"/>
                    <w:spacing w:beforeLines="0" w:afterLines="0" w:line="240" w:lineRule="auto"/>
                    <w:ind w:firstLine="0" w:firstLineChars="0"/>
                    <w:rPr>
                      <w:rFonts w:hint="eastAsia" w:ascii="Times New Roman" w:eastAsia="宋体"/>
                      <w:color w:val="000000"/>
                      <w:sz w:val="21"/>
                      <w:szCs w:val="21"/>
                      <w:lang w:eastAsia="zh-CN"/>
                    </w:rPr>
                  </w:pPr>
                  <w:r>
                    <w:rPr>
                      <w:rFonts w:ascii="Times New Roman" w:eastAsia="宋体"/>
                      <w:color w:val="000000"/>
                      <w:sz w:val="21"/>
                      <w:szCs w:val="21"/>
                    </w:rPr>
                    <w:t>4</w:t>
                  </w:r>
                  <w:r>
                    <w:rPr>
                      <w:rFonts w:hint="eastAsia" w:ascii="Times New Roman" w:eastAsia="宋体"/>
                      <w:color w:val="000000"/>
                      <w:sz w:val="21"/>
                      <w:szCs w:val="21"/>
                      <w:lang w:val="en-US" w:eastAsia="zh-CN"/>
                    </w:rPr>
                    <w:t>3</w:t>
                  </w:r>
                </w:p>
              </w:tc>
              <w:tc>
                <w:tcPr>
                  <w:tcW w:w="1252" w:type="dxa"/>
                  <w:noWrap w:val="0"/>
                  <w:vAlign w:val="center"/>
                </w:tcPr>
                <w:p w14:paraId="22F9EFA6">
                  <w:pPr>
                    <w:pStyle w:val="81"/>
                    <w:spacing w:beforeLines="0" w:afterLines="0" w:line="240" w:lineRule="auto"/>
                    <w:ind w:firstLine="0" w:firstLineChars="0"/>
                    <w:rPr>
                      <w:rFonts w:hint="eastAsia" w:ascii="Times New Roman" w:eastAsia="宋体"/>
                      <w:color w:val="000000"/>
                      <w:sz w:val="21"/>
                      <w:szCs w:val="21"/>
                      <w:lang w:eastAsia="zh-CN"/>
                    </w:rPr>
                  </w:pPr>
                  <w:r>
                    <w:rPr>
                      <w:rFonts w:ascii="Times New Roman" w:eastAsia="宋体"/>
                      <w:color w:val="000000"/>
                      <w:sz w:val="21"/>
                      <w:szCs w:val="21"/>
                    </w:rPr>
                    <w:t>3</w:t>
                  </w:r>
                  <w:r>
                    <w:rPr>
                      <w:rFonts w:hint="eastAsia" w:ascii="Times New Roman"/>
                      <w:color w:val="000000"/>
                      <w:sz w:val="21"/>
                      <w:szCs w:val="21"/>
                      <w:lang w:val="en-US" w:eastAsia="zh-CN"/>
                    </w:rPr>
                    <w:t>5</w:t>
                  </w:r>
                </w:p>
              </w:tc>
              <w:tc>
                <w:tcPr>
                  <w:tcW w:w="1141" w:type="dxa"/>
                  <w:noWrap w:val="0"/>
                  <w:vAlign w:val="center"/>
                </w:tcPr>
                <w:p w14:paraId="10E67FC7">
                  <w:pPr>
                    <w:pStyle w:val="81"/>
                    <w:spacing w:beforeLines="0" w:afterLines="0" w:line="240" w:lineRule="auto"/>
                    <w:ind w:firstLine="0" w:firstLineChars="0"/>
                    <w:rPr>
                      <w:rFonts w:ascii="Times New Roman" w:eastAsia="宋体"/>
                      <w:color w:val="000000"/>
                      <w:sz w:val="21"/>
                      <w:szCs w:val="21"/>
                    </w:rPr>
                  </w:pPr>
                  <w:r>
                    <w:rPr>
                      <w:rFonts w:ascii="Times New Roman" w:eastAsia="宋体"/>
                      <w:color w:val="000000"/>
                      <w:sz w:val="21"/>
                      <w:szCs w:val="21"/>
                    </w:rPr>
                    <w:t>3</w:t>
                  </w:r>
                  <w:r>
                    <w:rPr>
                      <w:rFonts w:hint="eastAsia" w:ascii="Times New Roman"/>
                      <w:color w:val="000000"/>
                      <w:sz w:val="21"/>
                      <w:szCs w:val="21"/>
                      <w:lang w:val="en-US" w:eastAsia="zh-CN"/>
                    </w:rPr>
                    <w:t>0</w:t>
                  </w:r>
                </w:p>
              </w:tc>
              <w:tc>
                <w:tcPr>
                  <w:tcW w:w="1141" w:type="dxa"/>
                  <w:noWrap w:val="0"/>
                  <w:vAlign w:val="center"/>
                </w:tcPr>
                <w:p w14:paraId="2D5F0ED5">
                  <w:pPr>
                    <w:pStyle w:val="81"/>
                    <w:spacing w:beforeLines="0" w:afterLines="0" w:line="240" w:lineRule="auto"/>
                    <w:ind w:firstLine="0" w:firstLineChars="0"/>
                    <w:rPr>
                      <w:rFonts w:ascii="Times New Roman" w:eastAsia="宋体"/>
                      <w:color w:val="000000"/>
                      <w:sz w:val="21"/>
                      <w:szCs w:val="21"/>
                    </w:rPr>
                  </w:pPr>
                  <w:r>
                    <w:rPr>
                      <w:rFonts w:ascii="Times New Roman" w:eastAsia="宋体"/>
                      <w:color w:val="000000"/>
                      <w:sz w:val="21"/>
                      <w:szCs w:val="21"/>
                    </w:rPr>
                    <w:t>不达标</w:t>
                  </w:r>
                </w:p>
              </w:tc>
            </w:tr>
            <w:tr w14:paraId="09631F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847" w:type="dxa"/>
                  <w:noWrap w:val="0"/>
                  <w:vAlign w:val="center"/>
                </w:tcPr>
                <w:p w14:paraId="7FA6D4F2">
                  <w:pPr>
                    <w:pStyle w:val="81"/>
                    <w:spacing w:beforeLines="0" w:afterLines="0" w:line="240" w:lineRule="auto"/>
                    <w:ind w:firstLine="0" w:firstLineChars="0"/>
                    <w:rPr>
                      <w:rFonts w:ascii="Times New Roman" w:eastAsia="宋体"/>
                      <w:color w:val="000000"/>
                      <w:sz w:val="21"/>
                      <w:szCs w:val="21"/>
                    </w:rPr>
                  </w:pPr>
                  <w:r>
                    <w:rPr>
                      <w:rFonts w:ascii="Times New Roman" w:eastAsia="宋体"/>
                      <w:color w:val="000000"/>
                      <w:sz w:val="21"/>
                      <w:szCs w:val="21"/>
                    </w:rPr>
                    <w:t>CO</w:t>
                  </w:r>
                </w:p>
              </w:tc>
              <w:tc>
                <w:tcPr>
                  <w:tcW w:w="2929" w:type="dxa"/>
                  <w:noWrap w:val="0"/>
                  <w:vAlign w:val="center"/>
                </w:tcPr>
                <w:p w14:paraId="2D42C475">
                  <w:pPr>
                    <w:pStyle w:val="81"/>
                    <w:spacing w:beforeLines="0" w:afterLines="0" w:line="240" w:lineRule="auto"/>
                    <w:ind w:firstLine="0" w:firstLineChars="0"/>
                    <w:rPr>
                      <w:rFonts w:ascii="Times New Roman" w:eastAsia="宋体"/>
                      <w:color w:val="000000"/>
                      <w:sz w:val="21"/>
                      <w:szCs w:val="21"/>
                    </w:rPr>
                  </w:pPr>
                  <w:r>
                    <w:rPr>
                      <w:rFonts w:ascii="Times New Roman" w:eastAsia="宋体"/>
                      <w:color w:val="000000"/>
                      <w:sz w:val="21"/>
                      <w:szCs w:val="21"/>
                    </w:rPr>
                    <w:t>24h平均浓度第95百分位数</w:t>
                  </w:r>
                </w:p>
              </w:tc>
              <w:tc>
                <w:tcPr>
                  <w:tcW w:w="1208" w:type="dxa"/>
                  <w:noWrap w:val="0"/>
                  <w:vAlign w:val="center"/>
                </w:tcPr>
                <w:p w14:paraId="341E12B9">
                  <w:pPr>
                    <w:pStyle w:val="81"/>
                    <w:spacing w:beforeLines="0" w:afterLines="0" w:line="240" w:lineRule="auto"/>
                    <w:ind w:firstLine="0" w:firstLineChars="0"/>
                    <w:rPr>
                      <w:rFonts w:ascii="Times New Roman" w:eastAsia="宋体"/>
                      <w:color w:val="000000"/>
                      <w:sz w:val="21"/>
                      <w:szCs w:val="21"/>
                    </w:rPr>
                  </w:pPr>
                  <w:r>
                    <w:rPr>
                      <w:rFonts w:hint="eastAsia" w:ascii="Times New Roman" w:eastAsia="宋体"/>
                      <w:color w:val="000000"/>
                      <w:sz w:val="21"/>
                      <w:szCs w:val="21"/>
                      <w:lang w:val="en-US" w:eastAsia="zh-CN"/>
                    </w:rPr>
                    <w:t>1</w:t>
                  </w:r>
                  <w:r>
                    <w:rPr>
                      <w:rFonts w:ascii="Times New Roman" w:eastAsia="宋体"/>
                      <w:color w:val="000000"/>
                      <w:sz w:val="21"/>
                      <w:szCs w:val="21"/>
                    </w:rPr>
                    <w:t>mg/m³</w:t>
                  </w:r>
                </w:p>
              </w:tc>
              <w:tc>
                <w:tcPr>
                  <w:tcW w:w="1252" w:type="dxa"/>
                  <w:noWrap w:val="0"/>
                  <w:vAlign w:val="center"/>
                </w:tcPr>
                <w:p w14:paraId="47626152">
                  <w:pPr>
                    <w:pStyle w:val="81"/>
                    <w:spacing w:beforeLines="0" w:afterLines="0" w:line="240" w:lineRule="auto"/>
                    <w:ind w:firstLine="0" w:firstLineChars="0"/>
                    <w:rPr>
                      <w:rFonts w:ascii="Times New Roman" w:eastAsia="宋体"/>
                      <w:color w:val="000000"/>
                      <w:sz w:val="21"/>
                      <w:szCs w:val="21"/>
                    </w:rPr>
                  </w:pPr>
                  <w:r>
                    <w:rPr>
                      <w:rFonts w:ascii="Times New Roman" w:eastAsia="宋体"/>
                      <w:color w:val="000000"/>
                      <w:sz w:val="21"/>
                      <w:szCs w:val="21"/>
                    </w:rPr>
                    <w:t>4mg/m³</w:t>
                  </w:r>
                </w:p>
              </w:tc>
              <w:tc>
                <w:tcPr>
                  <w:tcW w:w="1141" w:type="dxa"/>
                  <w:noWrap w:val="0"/>
                  <w:vAlign w:val="center"/>
                </w:tcPr>
                <w:p w14:paraId="0CE5D6B8">
                  <w:pPr>
                    <w:pStyle w:val="81"/>
                    <w:spacing w:beforeLines="0" w:afterLines="0" w:line="240" w:lineRule="auto"/>
                    <w:ind w:firstLine="0" w:firstLineChars="0"/>
                    <w:rPr>
                      <w:rFonts w:ascii="Times New Roman" w:eastAsia="宋体"/>
                      <w:color w:val="000000"/>
                      <w:sz w:val="21"/>
                      <w:szCs w:val="21"/>
                    </w:rPr>
                  </w:pPr>
                  <w:r>
                    <w:rPr>
                      <w:rFonts w:ascii="Times New Roman" w:eastAsia="宋体"/>
                      <w:color w:val="000000"/>
                      <w:sz w:val="21"/>
                      <w:szCs w:val="21"/>
                    </w:rPr>
                    <w:t>4mg/m³</w:t>
                  </w:r>
                </w:p>
              </w:tc>
              <w:tc>
                <w:tcPr>
                  <w:tcW w:w="1141" w:type="dxa"/>
                  <w:noWrap w:val="0"/>
                  <w:vAlign w:val="center"/>
                </w:tcPr>
                <w:p w14:paraId="545D610A">
                  <w:pPr>
                    <w:pStyle w:val="81"/>
                    <w:spacing w:beforeLines="0" w:afterLines="0" w:line="240" w:lineRule="auto"/>
                    <w:ind w:firstLine="0" w:firstLineChars="0"/>
                    <w:rPr>
                      <w:rFonts w:ascii="Times New Roman" w:eastAsia="宋体"/>
                      <w:color w:val="000000"/>
                      <w:sz w:val="21"/>
                      <w:szCs w:val="21"/>
                    </w:rPr>
                  </w:pPr>
                  <w:r>
                    <w:rPr>
                      <w:rFonts w:ascii="Times New Roman" w:eastAsia="宋体"/>
                      <w:color w:val="000000"/>
                      <w:sz w:val="21"/>
                      <w:szCs w:val="21"/>
                    </w:rPr>
                    <w:t>达标</w:t>
                  </w:r>
                </w:p>
              </w:tc>
            </w:tr>
            <w:tr w14:paraId="676505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847" w:type="dxa"/>
                  <w:noWrap w:val="0"/>
                  <w:vAlign w:val="center"/>
                </w:tcPr>
                <w:p w14:paraId="22302829">
                  <w:pPr>
                    <w:pStyle w:val="81"/>
                    <w:spacing w:beforeLines="0" w:afterLines="0" w:line="240" w:lineRule="auto"/>
                    <w:ind w:firstLine="0" w:firstLineChars="0"/>
                    <w:rPr>
                      <w:rFonts w:ascii="Times New Roman" w:eastAsia="宋体"/>
                      <w:color w:val="000000"/>
                      <w:sz w:val="21"/>
                      <w:szCs w:val="21"/>
                    </w:rPr>
                  </w:pPr>
                  <w:r>
                    <w:rPr>
                      <w:rFonts w:ascii="Times New Roman" w:eastAsia="宋体"/>
                      <w:color w:val="000000"/>
                      <w:sz w:val="21"/>
                      <w:szCs w:val="21"/>
                    </w:rPr>
                    <w:t>O</w:t>
                  </w:r>
                  <w:r>
                    <w:rPr>
                      <w:rFonts w:ascii="Times New Roman" w:eastAsia="宋体"/>
                      <w:color w:val="000000"/>
                      <w:sz w:val="21"/>
                      <w:szCs w:val="21"/>
                      <w:vertAlign w:val="subscript"/>
                    </w:rPr>
                    <w:t>3</w:t>
                  </w:r>
                </w:p>
              </w:tc>
              <w:tc>
                <w:tcPr>
                  <w:tcW w:w="2929" w:type="dxa"/>
                  <w:noWrap w:val="0"/>
                  <w:vAlign w:val="center"/>
                </w:tcPr>
                <w:p w14:paraId="7C94EADA">
                  <w:pPr>
                    <w:pStyle w:val="81"/>
                    <w:spacing w:beforeLines="0" w:afterLines="0" w:line="240" w:lineRule="auto"/>
                    <w:ind w:firstLine="0" w:firstLineChars="0"/>
                    <w:rPr>
                      <w:rFonts w:ascii="Times New Roman" w:eastAsia="宋体"/>
                      <w:color w:val="000000"/>
                      <w:sz w:val="21"/>
                      <w:szCs w:val="21"/>
                    </w:rPr>
                  </w:pPr>
                  <w:r>
                    <w:rPr>
                      <w:rFonts w:ascii="Times New Roman" w:eastAsia="宋体"/>
                      <w:color w:val="000000"/>
                      <w:sz w:val="21"/>
                      <w:szCs w:val="21"/>
                    </w:rPr>
                    <w:t>最大8h平均浓度第90百分位数</w:t>
                  </w:r>
                </w:p>
              </w:tc>
              <w:tc>
                <w:tcPr>
                  <w:tcW w:w="1208" w:type="dxa"/>
                  <w:noWrap w:val="0"/>
                  <w:vAlign w:val="center"/>
                </w:tcPr>
                <w:p w14:paraId="3C56C352">
                  <w:pPr>
                    <w:pStyle w:val="81"/>
                    <w:spacing w:beforeLines="0" w:afterLines="0" w:line="240" w:lineRule="auto"/>
                    <w:ind w:firstLine="0" w:firstLineChars="0"/>
                    <w:rPr>
                      <w:rFonts w:hint="default" w:ascii="Times New Roman" w:eastAsia="宋体"/>
                      <w:color w:val="000000"/>
                      <w:sz w:val="21"/>
                      <w:szCs w:val="21"/>
                      <w:lang w:val="en-US" w:eastAsia="zh-CN"/>
                    </w:rPr>
                  </w:pPr>
                  <w:r>
                    <w:rPr>
                      <w:rFonts w:hint="eastAsia" w:ascii="Times New Roman" w:eastAsia="宋体"/>
                      <w:color w:val="000000"/>
                      <w:sz w:val="21"/>
                      <w:szCs w:val="21"/>
                      <w:lang w:val="en-US" w:eastAsia="zh-CN"/>
                    </w:rPr>
                    <w:t>175</w:t>
                  </w:r>
                </w:p>
              </w:tc>
              <w:tc>
                <w:tcPr>
                  <w:tcW w:w="1252" w:type="dxa"/>
                  <w:noWrap w:val="0"/>
                  <w:vAlign w:val="center"/>
                </w:tcPr>
                <w:p w14:paraId="5A8AC81E">
                  <w:pPr>
                    <w:pStyle w:val="81"/>
                    <w:spacing w:beforeLines="0" w:afterLines="0" w:line="240" w:lineRule="auto"/>
                    <w:ind w:firstLine="0" w:firstLineChars="0"/>
                    <w:rPr>
                      <w:rFonts w:ascii="Times New Roman" w:eastAsia="宋体"/>
                      <w:color w:val="000000"/>
                      <w:sz w:val="21"/>
                      <w:szCs w:val="21"/>
                    </w:rPr>
                  </w:pPr>
                  <w:r>
                    <w:rPr>
                      <w:rFonts w:ascii="Times New Roman" w:eastAsia="宋体"/>
                      <w:color w:val="000000"/>
                      <w:sz w:val="21"/>
                      <w:szCs w:val="21"/>
                    </w:rPr>
                    <w:t>160</w:t>
                  </w:r>
                </w:p>
              </w:tc>
              <w:tc>
                <w:tcPr>
                  <w:tcW w:w="1141" w:type="dxa"/>
                  <w:noWrap w:val="0"/>
                  <w:vAlign w:val="center"/>
                </w:tcPr>
                <w:p w14:paraId="5550499D">
                  <w:pPr>
                    <w:pStyle w:val="81"/>
                    <w:spacing w:beforeLines="0" w:afterLines="0" w:line="240" w:lineRule="auto"/>
                    <w:ind w:firstLine="0" w:firstLineChars="0"/>
                    <w:rPr>
                      <w:rFonts w:ascii="Times New Roman" w:eastAsia="宋体"/>
                      <w:color w:val="000000"/>
                      <w:sz w:val="21"/>
                      <w:szCs w:val="21"/>
                    </w:rPr>
                  </w:pPr>
                  <w:r>
                    <w:rPr>
                      <w:rFonts w:ascii="Times New Roman" w:eastAsia="宋体"/>
                      <w:color w:val="000000"/>
                      <w:sz w:val="21"/>
                      <w:szCs w:val="21"/>
                    </w:rPr>
                    <w:t>160</w:t>
                  </w:r>
                </w:p>
              </w:tc>
              <w:tc>
                <w:tcPr>
                  <w:tcW w:w="1141" w:type="dxa"/>
                  <w:noWrap w:val="0"/>
                  <w:vAlign w:val="center"/>
                </w:tcPr>
                <w:p w14:paraId="180F6DF6">
                  <w:pPr>
                    <w:pStyle w:val="81"/>
                    <w:spacing w:beforeLines="0" w:afterLines="0" w:line="240" w:lineRule="auto"/>
                    <w:ind w:firstLine="0" w:firstLineChars="0"/>
                    <w:rPr>
                      <w:rFonts w:ascii="Times New Roman" w:eastAsia="宋体"/>
                      <w:color w:val="000000"/>
                      <w:sz w:val="21"/>
                      <w:szCs w:val="21"/>
                    </w:rPr>
                  </w:pPr>
                  <w:r>
                    <w:rPr>
                      <w:rFonts w:ascii="Times New Roman" w:eastAsia="宋体"/>
                      <w:color w:val="000000"/>
                      <w:sz w:val="21"/>
                      <w:szCs w:val="21"/>
                    </w:rPr>
                    <w:t>不达标</w:t>
                  </w:r>
                </w:p>
              </w:tc>
            </w:tr>
          </w:tbl>
          <w:p w14:paraId="53E98D34">
            <w:pPr>
              <w:spacing w:line="360" w:lineRule="auto"/>
              <w:ind w:firstLine="480" w:firstLineChars="200"/>
              <w:rPr>
                <w:color w:val="000000"/>
                <w:sz w:val="24"/>
              </w:rPr>
            </w:pPr>
            <w:r>
              <w:rPr>
                <w:rFonts w:hint="default" w:ascii="Times New Roman" w:hAnsi="Times New Roman" w:eastAsia="宋体" w:cs="Times New Roman"/>
                <w:color w:val="000000"/>
                <w:sz w:val="24"/>
              </w:rPr>
              <w:t>由上表可知，淮北市属于不达标区</w:t>
            </w:r>
            <w:r>
              <w:rPr>
                <w:rFonts w:hint="eastAsia" w:ascii="Times New Roman" w:hAnsi="Times New Roman" w:eastAsia="宋体" w:cs="Times New Roman"/>
                <w:color w:val="000000"/>
                <w:sz w:val="24"/>
                <w:lang w:eastAsia="zh-CN"/>
              </w:rPr>
              <w:t>。</w:t>
            </w:r>
            <w:r>
              <w:rPr>
                <w:rFonts w:hint="eastAsia" w:ascii="Times New Roman" w:hAnsi="Times New Roman" w:eastAsia="宋体" w:cs="Times New Roman"/>
                <w:color w:val="000000"/>
                <w:sz w:val="24"/>
                <w:lang w:val="en-US" w:eastAsia="zh-CN"/>
              </w:rPr>
              <w:t>对照《环境空气质量标准》（GB3095-2012）二级标准，</w:t>
            </w:r>
            <w:r>
              <w:rPr>
                <w:rFonts w:hint="default" w:ascii="Times New Roman" w:hAnsi="Times New Roman" w:eastAsia="宋体" w:cs="Times New Roman"/>
                <w:color w:val="000000"/>
                <w:sz w:val="24"/>
              </w:rPr>
              <w:t>不达标因子为PM</w:t>
            </w:r>
            <w:r>
              <w:rPr>
                <w:rFonts w:hint="default" w:ascii="Times New Roman" w:hAnsi="Times New Roman" w:eastAsia="宋体" w:cs="Times New Roman"/>
                <w:color w:val="000000"/>
                <w:sz w:val="24"/>
                <w:vertAlign w:val="subscript"/>
              </w:rPr>
              <w:t>2</w:t>
            </w:r>
            <w:r>
              <w:rPr>
                <w:rFonts w:hint="eastAsia" w:ascii="Times New Roman" w:hAnsi="Times New Roman" w:eastAsia="宋体" w:cs="Times New Roman"/>
                <w:color w:val="000000"/>
                <w:sz w:val="24"/>
                <w:vertAlign w:val="subscript"/>
                <w:lang w:val="en-US" w:eastAsia="zh-CN"/>
              </w:rPr>
              <w:t>.5</w:t>
            </w:r>
            <w:r>
              <w:rPr>
                <w:rFonts w:hint="default" w:ascii="Times New Roman" w:hAnsi="Times New Roman" w:eastAsia="宋体" w:cs="Times New Roman"/>
                <w:color w:val="000000"/>
                <w:sz w:val="24"/>
              </w:rPr>
              <w:t>、</w:t>
            </w:r>
            <w:r>
              <w:rPr>
                <w:rFonts w:hint="eastAsia" w:ascii="Times New Roman" w:hAnsi="Times New Roman" w:eastAsia="宋体" w:cs="Times New Roman"/>
                <w:color w:val="000000"/>
                <w:sz w:val="24"/>
                <w:lang w:val="en-US" w:eastAsia="zh-CN"/>
              </w:rPr>
              <w:t>O</w:t>
            </w:r>
            <w:r>
              <w:rPr>
                <w:rFonts w:hint="default" w:ascii="Times New Roman" w:hAnsi="Times New Roman" w:eastAsia="宋体" w:cs="Times New Roman"/>
                <w:color w:val="000000"/>
                <w:sz w:val="24"/>
                <w:vertAlign w:val="subscript"/>
              </w:rPr>
              <w:t>3</w:t>
            </w:r>
            <w:r>
              <w:rPr>
                <w:rFonts w:hint="eastAsia" w:ascii="Times New Roman" w:hAnsi="Times New Roman" w:eastAsia="宋体" w:cs="Times New Roman"/>
                <w:color w:val="000000"/>
                <w:sz w:val="24"/>
                <w:lang w:eastAsia="zh-CN"/>
              </w:rPr>
              <w:t>；</w:t>
            </w:r>
            <w:r>
              <w:rPr>
                <w:rFonts w:hint="eastAsia" w:ascii="Times New Roman" w:hAnsi="Times New Roman" w:eastAsia="宋体" w:cs="Times New Roman"/>
                <w:color w:val="000000"/>
                <w:sz w:val="24"/>
                <w:lang w:val="en-US" w:eastAsia="zh-CN"/>
              </w:rPr>
              <w:t>对照《环境空气质量标准》（GB3095-2026）过渡阶段二级标准，</w:t>
            </w:r>
            <w:r>
              <w:rPr>
                <w:rFonts w:hint="default" w:ascii="Times New Roman" w:hAnsi="Times New Roman" w:eastAsia="宋体" w:cs="Times New Roman"/>
                <w:color w:val="000000"/>
                <w:sz w:val="24"/>
              </w:rPr>
              <w:t>不达标因子为</w:t>
            </w:r>
            <w:r>
              <w:rPr>
                <w:rFonts w:hint="eastAsia" w:ascii="Times New Roman" w:hAnsi="Times New Roman" w:eastAsia="宋体" w:cs="Times New Roman"/>
                <w:color w:val="000000"/>
                <w:sz w:val="24"/>
                <w:lang w:val="en-US" w:eastAsia="zh-CN"/>
              </w:rPr>
              <w:t>PM</w:t>
            </w:r>
            <w:r>
              <w:rPr>
                <w:rFonts w:hint="eastAsia" w:ascii="Times New Roman" w:hAnsi="Times New Roman" w:eastAsia="宋体" w:cs="Times New Roman"/>
                <w:color w:val="000000"/>
                <w:sz w:val="24"/>
                <w:vertAlign w:val="subscript"/>
                <w:lang w:val="en-US" w:eastAsia="zh-CN"/>
              </w:rPr>
              <w:t>10</w:t>
            </w:r>
            <w:r>
              <w:rPr>
                <w:rFonts w:hint="eastAsia" w:ascii="Times New Roman" w:hAnsi="Times New Roman" w:eastAsia="宋体" w:cs="Times New Roman"/>
                <w:color w:val="000000"/>
                <w:sz w:val="24"/>
                <w:lang w:val="en-US" w:eastAsia="zh-CN"/>
              </w:rPr>
              <w:t>、</w:t>
            </w:r>
            <w:r>
              <w:rPr>
                <w:rFonts w:hint="default" w:ascii="Times New Roman" w:hAnsi="Times New Roman" w:eastAsia="宋体" w:cs="Times New Roman"/>
                <w:color w:val="000000"/>
                <w:sz w:val="24"/>
              </w:rPr>
              <w:t>PM</w:t>
            </w:r>
            <w:r>
              <w:rPr>
                <w:rFonts w:hint="default" w:ascii="Times New Roman" w:hAnsi="Times New Roman" w:eastAsia="宋体" w:cs="Times New Roman"/>
                <w:color w:val="000000"/>
                <w:sz w:val="24"/>
                <w:vertAlign w:val="subscript"/>
              </w:rPr>
              <w:t>2</w:t>
            </w:r>
            <w:r>
              <w:rPr>
                <w:rFonts w:hint="eastAsia" w:ascii="Times New Roman" w:hAnsi="Times New Roman" w:eastAsia="宋体" w:cs="Times New Roman"/>
                <w:color w:val="000000"/>
                <w:sz w:val="24"/>
                <w:vertAlign w:val="subscript"/>
                <w:lang w:val="en-US" w:eastAsia="zh-CN"/>
              </w:rPr>
              <w:t>.5</w:t>
            </w:r>
            <w:r>
              <w:rPr>
                <w:rFonts w:hint="eastAsia" w:ascii="Times New Roman" w:hAnsi="Times New Roman" w:eastAsia="宋体" w:cs="Times New Roman"/>
                <w:color w:val="000000"/>
                <w:sz w:val="24"/>
                <w:lang w:val="en-US" w:eastAsia="zh-CN"/>
              </w:rPr>
              <w:t>和O</w:t>
            </w:r>
            <w:r>
              <w:rPr>
                <w:rFonts w:hint="default" w:ascii="Times New Roman" w:hAnsi="Times New Roman" w:eastAsia="宋体" w:cs="Times New Roman"/>
                <w:color w:val="000000"/>
                <w:sz w:val="24"/>
                <w:vertAlign w:val="subscript"/>
              </w:rPr>
              <w:t>3</w:t>
            </w:r>
            <w:r>
              <w:rPr>
                <w:rFonts w:hint="eastAsia" w:ascii="Times New Roman" w:hAnsi="Times New Roman" w:eastAsia="宋体" w:cs="Times New Roman"/>
                <w:color w:val="000000"/>
                <w:sz w:val="24"/>
                <w:vertAlign w:val="baseline"/>
                <w:lang w:eastAsia="zh-CN"/>
              </w:rPr>
              <w:t>。</w:t>
            </w:r>
            <w:r>
              <w:rPr>
                <w:rFonts w:hint="default" w:ascii="Times New Roman" w:hAnsi="Times New Roman" w:eastAsia="宋体" w:cs="Times New Roman"/>
                <w:color w:val="000000"/>
                <w:sz w:val="24"/>
              </w:rPr>
              <w:t>根据《淮北市生态环境保护</w:t>
            </w:r>
            <w:r>
              <w:rPr>
                <w:rFonts w:hint="eastAsia" w:ascii="Times New Roman" w:hAnsi="Times New Roman" w:eastAsia="宋体" w:cs="Times New Roman"/>
                <w:color w:val="000000"/>
                <w:sz w:val="24"/>
                <w:lang w:eastAsia="zh-CN"/>
              </w:rPr>
              <w:t>“</w:t>
            </w:r>
            <w:r>
              <w:rPr>
                <w:rFonts w:hint="default" w:ascii="Times New Roman" w:hAnsi="Times New Roman" w:eastAsia="宋体" w:cs="Times New Roman"/>
                <w:color w:val="000000"/>
                <w:sz w:val="24"/>
              </w:rPr>
              <w:t>十四五</w:t>
            </w:r>
            <w:r>
              <w:rPr>
                <w:rFonts w:hint="eastAsia" w:ascii="Times New Roman" w:hAnsi="Times New Roman" w:eastAsia="宋体" w:cs="Times New Roman"/>
                <w:color w:val="000000"/>
                <w:sz w:val="24"/>
                <w:lang w:eastAsia="zh-CN"/>
              </w:rPr>
              <w:t>”</w:t>
            </w:r>
            <w:r>
              <w:rPr>
                <w:rFonts w:hint="default" w:ascii="Times New Roman" w:hAnsi="Times New Roman" w:eastAsia="宋体" w:cs="Times New Roman"/>
                <w:color w:val="000000"/>
                <w:sz w:val="24"/>
              </w:rPr>
              <w:t>规划》，</w:t>
            </w:r>
            <w:r>
              <w:rPr>
                <w:rFonts w:hint="eastAsia" w:ascii="Times New Roman" w:hAnsi="Times New Roman" w:eastAsia="宋体" w:cs="Times New Roman"/>
                <w:color w:val="000000"/>
                <w:sz w:val="24"/>
                <w:lang w:eastAsia="zh-CN"/>
              </w:rPr>
              <w:t>“</w:t>
            </w:r>
            <w:r>
              <w:rPr>
                <w:rFonts w:hint="default" w:ascii="Times New Roman" w:hAnsi="Times New Roman" w:eastAsia="宋体" w:cs="Times New Roman"/>
                <w:color w:val="000000"/>
                <w:sz w:val="24"/>
              </w:rPr>
              <w:t>以降低PM</w:t>
            </w:r>
            <w:r>
              <w:rPr>
                <w:rFonts w:hint="default" w:ascii="Times New Roman" w:hAnsi="Times New Roman" w:eastAsia="宋体" w:cs="Times New Roman"/>
                <w:color w:val="000000"/>
                <w:sz w:val="24"/>
                <w:vertAlign w:val="subscript"/>
              </w:rPr>
              <w:t>2</w:t>
            </w:r>
            <w:r>
              <w:rPr>
                <w:rFonts w:hint="eastAsia" w:ascii="Times New Roman" w:hAnsi="Times New Roman" w:eastAsia="宋体" w:cs="Times New Roman"/>
                <w:color w:val="000000"/>
                <w:sz w:val="24"/>
                <w:vertAlign w:val="subscript"/>
                <w:lang w:val="en-US" w:eastAsia="zh-CN"/>
              </w:rPr>
              <w:t>.5</w:t>
            </w:r>
            <w:r>
              <w:rPr>
                <w:rFonts w:hint="default" w:ascii="Times New Roman" w:hAnsi="Times New Roman" w:eastAsia="宋体" w:cs="Times New Roman"/>
                <w:color w:val="000000"/>
                <w:sz w:val="24"/>
              </w:rPr>
              <w:t>污染为环境空气质量改善的核心目标，推动O</w:t>
            </w:r>
            <w:r>
              <w:rPr>
                <w:rFonts w:hint="eastAsia" w:ascii="Times New Roman" w:hAnsi="Times New Roman" w:eastAsia="宋体" w:cs="Times New Roman"/>
                <w:color w:val="000000"/>
                <w:sz w:val="24"/>
                <w:vertAlign w:val="subscript"/>
                <w:lang w:val="en-US" w:eastAsia="zh-CN"/>
              </w:rPr>
              <w:t>3</w:t>
            </w:r>
            <w:r>
              <w:rPr>
                <w:rFonts w:hint="default" w:ascii="Times New Roman" w:hAnsi="Times New Roman" w:eastAsia="宋体" w:cs="Times New Roman"/>
                <w:color w:val="000000"/>
                <w:sz w:val="24"/>
              </w:rPr>
              <w:t>污染物协同控制，以质量改善目标引领大气污染防治布局，采取多种手段推动环境空气质量持续改善”</w:t>
            </w:r>
            <w:r>
              <w:rPr>
                <w:color w:val="000000"/>
                <w:sz w:val="24"/>
              </w:rPr>
              <w:t>。</w:t>
            </w:r>
          </w:p>
          <w:p w14:paraId="142EBA5F">
            <w:pPr>
              <w:autoSpaceDE w:val="0"/>
              <w:autoSpaceDN w:val="0"/>
              <w:adjustRightInd w:val="0"/>
              <w:snapToGrid w:val="0"/>
              <w:spacing w:line="360" w:lineRule="auto"/>
              <w:ind w:firstLine="480" w:firstLineChars="200"/>
              <w:jc w:val="left"/>
              <w:rPr>
                <w:rFonts w:hint="default" w:ascii="Times New Roman" w:hAnsi="Times New Roman" w:cs="Times New Roman"/>
                <w:bCs/>
                <w:color w:val="000000" w:themeColor="text1"/>
                <w:kern w:val="0"/>
                <w:sz w:val="24"/>
              </w:rPr>
            </w:pPr>
            <w:r>
              <w:rPr>
                <w:rFonts w:hint="default" w:ascii="Times New Roman" w:hAnsi="Times New Roman" w:cs="Times New Roman"/>
                <w:bCs/>
                <w:color w:val="000000" w:themeColor="text1"/>
                <w:kern w:val="0"/>
                <w:sz w:val="24"/>
              </w:rPr>
              <w:t>1.2特征污染物监测</w:t>
            </w:r>
          </w:p>
          <w:p w14:paraId="59122D4F">
            <w:pPr>
              <w:spacing w:line="360" w:lineRule="auto"/>
              <w:ind w:firstLine="480" w:firstLineChars="200"/>
              <w:rPr>
                <w:rFonts w:hint="eastAsia" w:ascii="Times New Roman" w:hAnsi="Times New Roman" w:cs="Times New Roman"/>
                <w:color w:val="000000" w:themeColor="text1"/>
                <w:sz w:val="24"/>
                <w:lang w:eastAsia="zh-CN"/>
              </w:rPr>
            </w:pPr>
            <w:r>
              <w:rPr>
                <w:rFonts w:hint="default" w:ascii="Times New Roman" w:hAnsi="Times New Roman" w:cs="Times New Roman"/>
                <w:color w:val="000000" w:themeColor="text1"/>
                <w:sz w:val="24"/>
              </w:rPr>
              <w:t>本项目特征污染因子为</w:t>
            </w:r>
            <w:r>
              <w:rPr>
                <w:rFonts w:hint="eastAsia" w:ascii="Times New Roman" w:hAnsi="Times New Roman" w:cs="Times New Roman"/>
                <w:color w:val="000000" w:themeColor="text1"/>
                <w:sz w:val="24"/>
                <w:lang w:val="en-US" w:eastAsia="zh-CN"/>
              </w:rPr>
              <w:t>非甲烷总烃</w:t>
            </w:r>
            <w:r>
              <w:rPr>
                <w:rFonts w:hint="default" w:ascii="Times New Roman" w:hAnsi="Times New Roman" w:cs="Times New Roman"/>
                <w:color w:val="000000" w:themeColor="text1"/>
                <w:sz w:val="24"/>
              </w:rPr>
              <w:t>和TSP，为了解项目区域污染因子环境质量现状情况，本次评价</w:t>
            </w:r>
            <w:r>
              <w:rPr>
                <w:rFonts w:hint="eastAsia" w:ascii="Times New Roman" w:hAnsi="Times New Roman" w:cs="Times New Roman"/>
                <w:color w:val="000000" w:themeColor="text1"/>
                <w:sz w:val="24"/>
                <w:lang w:val="en-US" w:eastAsia="zh-CN"/>
              </w:rPr>
              <w:t>特征因子</w:t>
            </w:r>
            <w:r>
              <w:rPr>
                <w:rFonts w:hint="default" w:ascii="Times New Roman" w:hAnsi="Times New Roman" w:cs="Times New Roman"/>
                <w:color w:val="000000" w:themeColor="text1"/>
                <w:sz w:val="24"/>
              </w:rPr>
              <w:t>质量现状引用《安徽淮北杜集经济开发区总体发展规划（2023-2035 年）环境影响报告书》中现状监测数据，监测时间：2023年7月16日-2023年7月26日，监测点位</w:t>
            </w:r>
            <w:r>
              <w:rPr>
                <w:rFonts w:hint="eastAsia" w:ascii="Times New Roman" w:hAnsi="Times New Roman" w:cs="Times New Roman"/>
                <w:color w:val="000000" w:themeColor="text1"/>
                <w:sz w:val="24"/>
                <w:lang w:val="en-US" w:eastAsia="zh-CN"/>
              </w:rPr>
              <w:t>罗里村</w:t>
            </w:r>
            <w:r>
              <w:rPr>
                <w:rFonts w:hint="default" w:ascii="Times New Roman" w:hAnsi="Times New Roman" w:cs="Times New Roman"/>
                <w:color w:val="000000" w:themeColor="text1"/>
                <w:sz w:val="24"/>
              </w:rPr>
              <w:t>（G</w:t>
            </w:r>
            <w:r>
              <w:rPr>
                <w:rFonts w:hint="eastAsia" w:ascii="Times New Roman" w:hAnsi="Times New Roman" w:cs="Times New Roman"/>
                <w:color w:val="000000" w:themeColor="text1"/>
                <w:sz w:val="24"/>
                <w:lang w:val="en-US" w:eastAsia="zh-CN"/>
              </w:rPr>
              <w:t>2</w:t>
            </w:r>
            <w:r>
              <w:rPr>
                <w:rFonts w:hint="default" w:ascii="Times New Roman" w:hAnsi="Times New Roman" w:cs="Times New Roman"/>
                <w:color w:val="000000" w:themeColor="text1"/>
                <w:sz w:val="24"/>
              </w:rPr>
              <w:t>）位于本项目厂址西</w:t>
            </w:r>
            <w:r>
              <w:rPr>
                <w:rFonts w:hint="eastAsia" w:ascii="Times New Roman" w:hAnsi="Times New Roman" w:cs="Times New Roman"/>
                <w:color w:val="000000" w:themeColor="text1"/>
                <w:sz w:val="24"/>
                <w:lang w:val="en-US" w:eastAsia="zh-CN"/>
              </w:rPr>
              <w:t>北</w:t>
            </w:r>
            <w:r>
              <w:rPr>
                <w:rFonts w:hint="default" w:ascii="Times New Roman" w:hAnsi="Times New Roman" w:cs="Times New Roman"/>
                <w:color w:val="000000" w:themeColor="text1"/>
                <w:sz w:val="24"/>
              </w:rPr>
              <w:t>侧约</w:t>
            </w:r>
            <w:r>
              <w:rPr>
                <w:rFonts w:hint="eastAsia" w:cs="Times New Roman"/>
                <w:color w:val="000000" w:themeColor="text1"/>
                <w:sz w:val="24"/>
                <w:lang w:val="en-US" w:eastAsia="zh-CN"/>
              </w:rPr>
              <w:t>2200</w:t>
            </w:r>
            <w:r>
              <w:rPr>
                <w:rFonts w:hint="default" w:ascii="Times New Roman" w:hAnsi="Times New Roman" w:cs="Times New Roman"/>
                <w:color w:val="000000" w:themeColor="text1"/>
                <w:sz w:val="24"/>
              </w:rPr>
              <w:t>m</w:t>
            </w:r>
            <w:r>
              <w:rPr>
                <w:rFonts w:hint="eastAsia" w:ascii="Times New Roman" w:hAnsi="Times New Roman" w:cs="Times New Roman"/>
                <w:color w:val="000000" w:themeColor="text1"/>
                <w:sz w:val="24"/>
                <w:lang w:eastAsia="zh-CN"/>
              </w:rPr>
              <w:t>。</w:t>
            </w:r>
          </w:p>
          <w:p w14:paraId="5784C449">
            <w:pPr>
              <w:spacing w:line="360" w:lineRule="auto"/>
              <w:ind w:firstLine="480" w:firstLineChars="200"/>
              <w:rPr>
                <w:rFonts w:hint="default" w:ascii="Times New Roman" w:hAnsi="Times New Roman" w:cs="Times New Roman"/>
                <w:color w:val="000000" w:themeColor="text1"/>
                <w:sz w:val="24"/>
              </w:rPr>
            </w:pPr>
            <w:r>
              <w:rPr>
                <w:rFonts w:hint="default" w:ascii="Times New Roman" w:hAnsi="Times New Roman" w:cs="Times New Roman"/>
                <w:color w:val="000000" w:themeColor="text1"/>
                <w:sz w:val="24"/>
              </w:rPr>
              <w:t>根据建设项目环境影响报告表编制技术指南</w:t>
            </w:r>
            <w:r>
              <w:rPr>
                <w:rFonts w:hint="eastAsia" w:ascii="Times New Roman" w:hAnsi="Times New Roman" w:cs="Times New Roman"/>
                <w:color w:val="000000" w:themeColor="text1"/>
                <w:sz w:val="24"/>
                <w:lang w:eastAsia="zh-CN"/>
              </w:rPr>
              <w:t>（</w:t>
            </w:r>
            <w:r>
              <w:rPr>
                <w:rFonts w:hint="default" w:ascii="Times New Roman" w:hAnsi="Times New Roman" w:cs="Times New Roman"/>
                <w:color w:val="000000" w:themeColor="text1"/>
                <w:sz w:val="24"/>
              </w:rPr>
              <w:t>污染影响类</w:t>
            </w:r>
            <w:r>
              <w:rPr>
                <w:rFonts w:hint="eastAsia" w:ascii="Times New Roman" w:hAnsi="Times New Roman" w:cs="Times New Roman"/>
                <w:color w:val="000000" w:themeColor="text1"/>
                <w:sz w:val="24"/>
                <w:lang w:eastAsia="zh-CN"/>
              </w:rPr>
              <w:t>）（</w:t>
            </w:r>
            <w:r>
              <w:rPr>
                <w:rFonts w:hint="default" w:ascii="Times New Roman" w:hAnsi="Times New Roman" w:cs="Times New Roman"/>
                <w:color w:val="000000" w:themeColor="text1"/>
                <w:sz w:val="24"/>
              </w:rPr>
              <w:t>试行</w:t>
            </w:r>
            <w:r>
              <w:rPr>
                <w:rFonts w:hint="eastAsia" w:ascii="Times New Roman" w:hAnsi="Times New Roman" w:cs="Times New Roman"/>
                <w:color w:val="000000" w:themeColor="text1"/>
                <w:sz w:val="24"/>
                <w:lang w:eastAsia="zh-CN"/>
              </w:rPr>
              <w:t>）</w:t>
            </w:r>
            <w:r>
              <w:rPr>
                <w:rFonts w:hint="default" w:ascii="Times New Roman" w:hAnsi="Times New Roman" w:cs="Times New Roman"/>
                <w:color w:val="000000" w:themeColor="text1"/>
                <w:sz w:val="24"/>
              </w:rPr>
              <w:t>中要</w:t>
            </w:r>
            <w:r>
              <w:rPr>
                <w:rFonts w:hint="eastAsia" w:ascii="Times New Roman" w:hAnsi="Times New Roman" w:cs="Times New Roman"/>
                <w:color w:val="000000" w:themeColor="text1"/>
                <w:sz w:val="24"/>
                <w:lang w:val="en-US" w:eastAsia="zh-CN"/>
              </w:rPr>
              <w:t>求：“</w:t>
            </w:r>
            <w:r>
              <w:rPr>
                <w:rFonts w:hint="default" w:ascii="Times New Roman" w:hAnsi="Times New Roman" w:cs="Times New Roman"/>
                <w:color w:val="000000" w:themeColor="text1"/>
                <w:sz w:val="24"/>
              </w:rPr>
              <w:t>引用数据应在项目周边5千米范围内近3年的现有监测数据</w:t>
            </w:r>
            <w:r>
              <w:rPr>
                <w:rFonts w:hint="eastAsia" w:ascii="Times New Roman" w:hAnsi="Times New Roman" w:cs="Times New Roman"/>
                <w:color w:val="000000" w:themeColor="text1"/>
                <w:sz w:val="24"/>
                <w:lang w:eastAsia="zh-CN"/>
              </w:rPr>
              <w:t>”</w:t>
            </w:r>
            <w:r>
              <w:rPr>
                <w:rFonts w:hint="default" w:ascii="Times New Roman" w:hAnsi="Times New Roman" w:cs="Times New Roman"/>
                <w:color w:val="000000" w:themeColor="text1"/>
                <w:sz w:val="24"/>
              </w:rPr>
              <w:t>。引用数</w:t>
            </w:r>
            <w:r>
              <w:rPr>
                <w:rFonts w:hint="eastAsia" w:ascii="Times New Roman" w:hAnsi="Times New Roman" w:cs="Times New Roman"/>
                <w:color w:val="000000" w:themeColor="text1"/>
                <w:sz w:val="24"/>
                <w:lang w:val="en-US" w:eastAsia="zh-CN"/>
              </w:rPr>
              <w:t>据</w:t>
            </w:r>
            <w:r>
              <w:rPr>
                <w:rFonts w:hint="default" w:ascii="Times New Roman" w:hAnsi="Times New Roman" w:cs="Times New Roman"/>
                <w:color w:val="000000" w:themeColor="text1"/>
                <w:sz w:val="24"/>
              </w:rPr>
              <w:t>满足要求，本项目引用的监测数据是可行的。本项目大气环境监测点位示意图见下图。</w:t>
            </w:r>
          </w:p>
          <w:p w14:paraId="5E071FA0">
            <w:pPr>
              <w:pStyle w:val="3"/>
              <w:keepNext/>
              <w:keepLines/>
              <w:pageBreakBefore w:val="0"/>
              <w:widowControl w:val="0"/>
              <w:kinsoku/>
              <w:wordWrap/>
              <w:overflowPunct/>
              <w:topLinePunct w:val="0"/>
              <w:autoSpaceDE/>
              <w:autoSpaceDN/>
              <w:bidi w:val="0"/>
              <w:adjustRightInd/>
              <w:snapToGrid/>
              <w:spacing w:before="0" w:after="0" w:line="360" w:lineRule="auto"/>
              <w:ind w:firstLine="0" w:firstLineChars="0"/>
              <w:textAlignment w:val="auto"/>
              <w:rPr>
                <w:rFonts w:hint="default" w:ascii="Times New Roman" w:hAnsi="Times New Roman" w:eastAsia="宋体" w:cs="Times New Roman"/>
                <w:b w:val="0"/>
                <w:bCs w:val="0"/>
                <w:color w:val="000000" w:themeColor="text1"/>
                <w:sz w:val="24"/>
                <w:szCs w:val="24"/>
              </w:rPr>
            </w:pPr>
            <w:r>
              <w:rPr>
                <w:sz w:val="24"/>
              </w:rPr>
              <w:pict>
                <v:shape id="_x0000_s1311" o:spid="_x0000_s1311" o:spt="202" type="#_x0000_t202" style="position:absolute;left:0pt;margin-left:23.2pt;margin-top:390.35pt;height:22pt;width:115.25pt;z-index:251702272;mso-width-relative:page;mso-height-relative:page;" filled="f" stroked="f" coordsize="21600,21600">
                  <v:path/>
                  <v:fill on="f" focussize="0,0"/>
                  <v:stroke on="f"/>
                  <v:imagedata o:title=""/>
                  <o:lock v:ext="edit" aspectratio="f"/>
                  <v:textbox>
                    <w:txbxContent>
                      <w:p w14:paraId="00B589DA">
                        <w:pPr>
                          <w:rPr>
                            <w:rFonts w:hint="default" w:eastAsia="宋体"/>
                            <w:lang w:val="en-US" w:eastAsia="zh-CN"/>
                          </w:rPr>
                        </w:pPr>
                        <w:r>
                          <w:rPr>
                            <w:rFonts w:hint="eastAsia"/>
                            <w:lang w:val="en-US" w:eastAsia="zh-CN"/>
                          </w:rPr>
                          <w:t>声环境质量监测点位</w:t>
                        </w:r>
                      </w:p>
                    </w:txbxContent>
                  </v:textbox>
                </v:shape>
              </w:pict>
            </w:r>
            <w:r>
              <w:rPr>
                <w:sz w:val="24"/>
              </w:rPr>
              <w:pict>
                <v:shape id="_x0000_s1309" o:spid="_x0000_s1309" o:spt="202" type="#_x0000_t202" style="position:absolute;left:0pt;margin-left:22.6pt;margin-top:372.5pt;height:22pt;width:124.5pt;z-index:251700224;mso-width-relative:page;mso-height-relative:page;" filled="f" stroked="f" coordsize="21600,21600">
                  <v:path/>
                  <v:fill on="f" focussize="0,0"/>
                  <v:stroke on="f"/>
                  <v:imagedata o:title=""/>
                  <o:lock v:ext="edit" aspectratio="f"/>
                  <v:textbox>
                    <w:txbxContent>
                      <w:p w14:paraId="3DD1AABA">
                        <w:pPr>
                          <w:rPr>
                            <w:rFonts w:hint="default" w:eastAsia="宋体"/>
                            <w:lang w:val="en-US" w:eastAsia="zh-CN"/>
                          </w:rPr>
                        </w:pPr>
                        <w:r>
                          <w:rPr>
                            <w:rFonts w:hint="eastAsia"/>
                            <w:lang w:val="en-US" w:eastAsia="zh-CN"/>
                          </w:rPr>
                          <w:t>大气环境质量监测点位</w:t>
                        </w:r>
                      </w:p>
                    </w:txbxContent>
                  </v:textbox>
                </v:shape>
              </w:pict>
            </w:r>
            <w:r>
              <w:rPr>
                <w:sz w:val="24"/>
              </w:rPr>
              <w:pict>
                <v:shape id="_x0000_s1310" o:spid="_x0000_s1310" o:spt="5" type="#_x0000_t5" style="position:absolute;left:0pt;margin-left:5.85pt;margin-top:394.45pt;height:13.35pt;width:11.35pt;z-index:251701248;mso-width-relative:page;mso-height-relative:page;" fillcolor="#FFC000" filled="t" stroked="t" coordsize="21600,21600" adj="10800">
                  <v:path/>
                  <v:fill on="t" color2="#FFFFFF" focussize="0,0"/>
                  <v:stroke color="#000000"/>
                  <v:imagedata o:title=""/>
                  <o:lock v:ext="edit" aspectratio="f"/>
                </v:shape>
              </w:pict>
            </w:r>
            <w:r>
              <w:rPr>
                <w:sz w:val="24"/>
              </w:rPr>
              <w:pict>
                <v:shape id="_x0000_s1308" o:spid="_x0000_s1308" o:spt="3" type="#_x0000_t3" style="position:absolute;left:0pt;margin-left:6.55pt;margin-top:375.85pt;height:10.7pt;width:10pt;z-index:251699200;mso-width-relative:page;mso-height-relative:page;" fillcolor="#FF0000" filled="t" stroked="t" coordsize="21600,21600">
                  <v:path/>
                  <v:fill on="t" color2="#FFFFFF" focussize="0,0"/>
                  <v:stroke color="#FF0000"/>
                  <v:imagedata o:title=""/>
                  <o:lock v:ext="edit" aspectratio="f"/>
                </v:shape>
              </w:pict>
            </w:r>
            <w:r>
              <w:rPr>
                <w:sz w:val="24"/>
              </w:rPr>
              <w:pict>
                <v:shape id="_x0000_s1307" o:spid="_x0000_s1307" o:spt="202" type="#_x0000_t202" style="position:absolute;left:0pt;margin-left:0.6pt;margin-top:372.4pt;height:38.7pt;width:136.05pt;z-index:251698176;mso-width-relative:page;mso-height-relative:page;" fillcolor="#FFFFFF" filled="t" stroked="t" coordsize="21600,21600">
                  <v:path/>
                  <v:fill on="t" color2="#FFFFFF" focussize="0,0"/>
                  <v:stroke color="#000000"/>
                  <v:imagedata o:title=""/>
                  <o:lock v:ext="edit" aspectratio="f"/>
                  <v:textbox>
                    <w:txbxContent>
                      <w:p w14:paraId="4D461E8D"/>
                    </w:txbxContent>
                  </v:textbox>
                </v:shape>
              </w:pict>
            </w:r>
            <w:r>
              <w:rPr>
                <w:sz w:val="24"/>
              </w:rPr>
              <w:pict>
                <v:shape id="_x0000_s1306" o:spid="_x0000_s1306" o:spt="202" type="#_x0000_t202" style="position:absolute;left:0pt;margin-left:212.6pt;margin-top:335.35pt;height:33.3pt;width:59.35pt;z-index:251697152;mso-width-relative:page;mso-height-relative:page;" filled="f" stroked="f" coordsize="21600,21600">
                  <v:path/>
                  <v:fill on="f" focussize="0,0"/>
                  <v:stroke on="f"/>
                  <v:imagedata o:title=""/>
                  <o:lock v:ext="edit" aspectratio="f"/>
                  <v:textbox>
                    <w:txbxContent>
                      <w:p w14:paraId="6C54C8ED">
                        <w:pPr>
                          <w:rPr>
                            <w:rFonts w:hint="default" w:eastAsia="宋体"/>
                            <w:b/>
                            <w:bCs/>
                            <w:color w:val="FFC000"/>
                            <w:lang w:val="en-US" w:eastAsia="zh-CN"/>
                          </w:rPr>
                        </w:pPr>
                        <w:r>
                          <w:rPr>
                            <w:rFonts w:hint="eastAsia"/>
                            <w:b/>
                            <w:bCs/>
                            <w:color w:val="FFC000"/>
                            <w:lang w:val="en-US" w:eastAsia="zh-CN"/>
                          </w:rPr>
                          <w:t>N1</w:t>
                        </w:r>
                      </w:p>
                    </w:txbxContent>
                  </v:textbox>
                </v:shape>
              </w:pict>
            </w:r>
            <w:r>
              <w:rPr>
                <w:sz w:val="24"/>
              </w:rPr>
              <w:pict>
                <v:shape id="_x0000_s1305" o:spid="_x0000_s1305" o:spt="5" type="#_x0000_t5" style="position:absolute;left:0pt;margin-left:209.95pt;margin-top:339.15pt;height:10.65pt;width:10pt;z-index:251696128;mso-width-relative:page;mso-height-relative:page;" fillcolor="#FFC000" filled="t" stroked="t" coordsize="21600,21600" adj="10800">
                  <v:path/>
                  <v:fill on="t" color2="#FFFFFF" focussize="0,0"/>
                  <v:stroke color="#000000"/>
                  <v:imagedata o:title=""/>
                  <o:lock v:ext="edit" aspectratio="f"/>
                </v:shape>
              </w:pict>
            </w:r>
            <w:r>
              <w:rPr>
                <w:sz w:val="24"/>
              </w:rPr>
              <w:pict>
                <v:shape id="_x0000_s1304" o:spid="_x0000_s1304" o:spt="3" type="#_x0000_t3" style="position:absolute;left:0pt;margin-left:172.6pt;margin-top:55.3pt;height:10.7pt;width:10pt;z-index:251695104;mso-width-relative:page;mso-height-relative:page;" fillcolor="#FF0000" filled="t" stroked="t" coordsize="21600,21600">
                  <v:path/>
                  <v:fill on="t" color2="#FFFFFF" focussize="0,0"/>
                  <v:stroke color="#FF0000"/>
                  <v:imagedata o:title=""/>
                  <o:lock v:ext="edit" aspectratio="f"/>
                </v:shape>
              </w:pict>
            </w:r>
            <w:r>
              <w:rPr>
                <w:sz w:val="24"/>
              </w:rPr>
              <w:pict>
                <v:shape id="_x0000_s1303" o:spid="_x0000_s1303" o:spt="202" type="#_x0000_t202" style="position:absolute;left:0pt;margin-left:182.55pt;margin-top:207.75pt;height:23.15pt;width:64.05pt;z-index:251694080;mso-width-relative:page;mso-height-relative:page;" filled="f" stroked="f" coordsize="21600,21600">
                  <v:path/>
                  <v:fill on="f" focussize="0,0"/>
                  <v:stroke on="f"/>
                  <v:imagedata o:title=""/>
                  <o:lock v:ext="edit" aspectratio="f"/>
                  <v:textbox>
                    <w:txbxContent>
                      <w:p w14:paraId="60A096A1">
                        <w:pPr>
                          <w:rPr>
                            <w:rFonts w:hint="default" w:eastAsia="宋体"/>
                            <w:b/>
                            <w:bCs/>
                            <w:color w:val="FFFF00"/>
                            <w:lang w:val="en-US" w:eastAsia="zh-CN"/>
                          </w:rPr>
                        </w:pPr>
                        <w:r>
                          <w:rPr>
                            <w:rFonts w:hint="eastAsia"/>
                            <w:b/>
                            <w:bCs/>
                            <w:color w:val="FFFF00"/>
                            <w:lang w:val="en-US" w:eastAsia="zh-CN"/>
                          </w:rPr>
                          <w:t>2.2km</w:t>
                        </w:r>
                      </w:p>
                    </w:txbxContent>
                  </v:textbox>
                </v:shape>
              </w:pict>
            </w:r>
            <w:r>
              <w:rPr>
                <w:sz w:val="24"/>
              </w:rPr>
              <w:pict>
                <v:line id="_x0000_s1302" o:spid="_x0000_s1302" o:spt="20" style="position:absolute;left:0pt;flip:x y;margin-left:178.55pt;margin-top:65.1pt;height:285.35pt;width:38.65pt;z-index:251693056;mso-width-relative:page;mso-height-relative:page;" fillcolor="#FFFFFF" filled="t" stroked="t" coordsize="21600,21600">
                  <v:path arrowok="t"/>
                  <v:fill on="t" color2="#FFFFFF" focussize="0,0"/>
                  <v:stroke weight="1pt" color="#FFFF00" endarrow="block"/>
                  <v:imagedata o:title=""/>
                  <o:lock v:ext="edit" aspectratio="f"/>
                </v:line>
              </w:pict>
            </w:r>
            <w:r>
              <w:rPr>
                <w:rFonts w:hint="default" w:ascii="Times New Roman" w:hAnsi="Times New Roman" w:eastAsia="宋体" w:cs="Times New Roman"/>
                <w:b/>
                <w:bCs/>
                <w:color w:val="000000" w:themeColor="text1"/>
                <w:sz w:val="24"/>
                <w:szCs w:val="24"/>
              </w:rPr>
              <w:pict>
                <v:shape id="_x0000_s1041" o:spid="_x0000_s1041" o:spt="75" alt="1620464052(1)" type="#_x0000_t75" style="position:absolute;left:0pt;margin-left:366.1pt;margin-top:0.9pt;height:51.55pt;width:59.4pt;z-index:251663360;mso-width-relative:page;mso-height-relative:page;" filled="f" o:preferrelative="t" stroked="t" coordsize="21600,21600">
                  <v:path/>
                  <v:fill on="f" focussize="0,0"/>
                  <v:stroke color="#000000" joinstyle="miter"/>
                  <v:imagedata r:id="rId11" o:title="1620464052(1)"/>
                  <o:lock v:ext="edit" aspectratio="t"/>
                </v:shape>
              </w:pict>
            </w:r>
            <w:r>
              <w:pict>
                <v:shape id="_x0000_i1147" o:spt="75" type="#_x0000_t75" style="height:411.95pt;width:424pt;" filled="f" stroked="f" coordsize="21600,21600">
                  <v:path/>
                  <v:fill on="f" focussize="0,0"/>
                  <v:stroke on="f"/>
                  <v:imagedata r:id="rId12" o:title=""/>
                  <o:lock v:ext="edit" aspectratio="t"/>
                  <w10:wrap type="none"/>
                  <w10:anchorlock/>
                </v:shape>
              </w:pict>
            </w:r>
          </w:p>
          <w:p w14:paraId="6FB388C7">
            <w:pPr>
              <w:pStyle w:val="3"/>
              <w:spacing w:before="0" w:after="0" w:line="360" w:lineRule="auto"/>
              <w:ind w:left="0" w:leftChars="0" w:firstLine="0" w:firstLineChars="0"/>
              <w:jc w:val="center"/>
              <w:rPr>
                <w:rFonts w:hint="default" w:ascii="Times New Roman" w:hAnsi="Times New Roman" w:eastAsia="宋体" w:cs="Times New Roman"/>
                <w:color w:val="000000" w:themeColor="text1"/>
                <w:sz w:val="24"/>
                <w:szCs w:val="24"/>
              </w:rPr>
            </w:pPr>
            <w:r>
              <w:rPr>
                <w:rFonts w:hint="default" w:ascii="Times New Roman" w:hAnsi="Times New Roman" w:eastAsia="宋体" w:cs="Times New Roman"/>
                <w:color w:val="000000" w:themeColor="text1"/>
                <w:sz w:val="24"/>
                <w:szCs w:val="24"/>
              </w:rPr>
              <w:t xml:space="preserve">图3-1  </w:t>
            </w:r>
            <w:r>
              <w:rPr>
                <w:rFonts w:hint="eastAsia" w:ascii="Times New Roman" w:hAnsi="Times New Roman" w:cs="Times New Roman"/>
                <w:color w:val="000000" w:themeColor="text1"/>
                <w:sz w:val="24"/>
                <w:szCs w:val="24"/>
                <w:lang w:val="en-US" w:eastAsia="zh-CN"/>
              </w:rPr>
              <w:t>引用</w:t>
            </w:r>
            <w:r>
              <w:rPr>
                <w:rFonts w:hint="default" w:ascii="Times New Roman" w:hAnsi="Times New Roman" w:eastAsia="宋体" w:cs="Times New Roman"/>
                <w:color w:val="000000" w:themeColor="text1"/>
                <w:sz w:val="24"/>
                <w:szCs w:val="24"/>
              </w:rPr>
              <w:t>监测点位图</w:t>
            </w:r>
          </w:p>
          <w:p w14:paraId="176C43BE">
            <w:pPr>
              <w:adjustRightInd w:val="0"/>
              <w:snapToGrid w:val="0"/>
              <w:jc w:val="center"/>
              <w:rPr>
                <w:rFonts w:hint="default" w:ascii="Times New Roman" w:hAnsi="Times New Roman" w:eastAsia="宋体" w:cs="Times New Roman"/>
                <w:b/>
                <w:bCs/>
                <w:color w:val="000000" w:themeColor="text1"/>
                <w:sz w:val="24"/>
                <w:lang w:val="en-US" w:eastAsia="zh-CN"/>
              </w:rPr>
            </w:pPr>
            <w:r>
              <w:rPr>
                <w:rFonts w:hint="default" w:ascii="Times New Roman" w:hAnsi="Times New Roman" w:cs="Times New Roman"/>
                <w:b/>
                <w:bCs/>
                <w:color w:val="000000" w:themeColor="text1"/>
                <w:sz w:val="24"/>
              </w:rPr>
              <w:t xml:space="preserve">表3-2 </w:t>
            </w:r>
            <w:r>
              <w:rPr>
                <w:rFonts w:hint="eastAsia" w:ascii="Times New Roman" w:hAnsi="Times New Roman" w:cs="Times New Roman"/>
                <w:b/>
                <w:bCs/>
                <w:color w:val="000000" w:themeColor="text1"/>
                <w:sz w:val="24"/>
                <w:lang w:val="en-US" w:eastAsia="zh-CN"/>
              </w:rPr>
              <w:t>引用监测点位基本信息表</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1"/>
              <w:gridCol w:w="1461"/>
              <w:gridCol w:w="1206"/>
              <w:gridCol w:w="1126"/>
              <w:gridCol w:w="955"/>
              <w:gridCol w:w="1021"/>
              <w:gridCol w:w="1028"/>
              <w:gridCol w:w="1032"/>
            </w:tblGrid>
            <w:tr w14:paraId="429098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01" w:type="dxa"/>
                  <w:gridSpan w:val="2"/>
                  <w:vMerge w:val="restart"/>
                  <w:noWrap w:val="0"/>
                  <w:vAlign w:val="center"/>
                </w:tcPr>
                <w:p w14:paraId="064AAF38">
                  <w:pPr>
                    <w:pStyle w:val="3"/>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监测点位</w:t>
                  </w:r>
                </w:p>
              </w:tc>
              <w:tc>
                <w:tcPr>
                  <w:tcW w:w="2178" w:type="dxa"/>
                  <w:gridSpan w:val="2"/>
                  <w:noWrap w:val="0"/>
                  <w:vAlign w:val="center"/>
                </w:tcPr>
                <w:p w14:paraId="30C2A259">
                  <w:pPr>
                    <w:pStyle w:val="3"/>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监测点位坐标</w:t>
                  </w:r>
                </w:p>
              </w:tc>
              <w:tc>
                <w:tcPr>
                  <w:tcW w:w="974" w:type="dxa"/>
                  <w:vMerge w:val="restart"/>
                  <w:noWrap w:val="0"/>
                  <w:vAlign w:val="center"/>
                </w:tcPr>
                <w:p w14:paraId="770F1260">
                  <w:pPr>
                    <w:pStyle w:val="3"/>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监测因子</w:t>
                  </w:r>
                </w:p>
              </w:tc>
              <w:tc>
                <w:tcPr>
                  <w:tcW w:w="1051" w:type="dxa"/>
                  <w:vMerge w:val="restart"/>
                  <w:noWrap w:val="0"/>
                  <w:vAlign w:val="center"/>
                </w:tcPr>
                <w:p w14:paraId="67392F67">
                  <w:pPr>
                    <w:pStyle w:val="3"/>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监测时段</w:t>
                  </w:r>
                </w:p>
              </w:tc>
              <w:tc>
                <w:tcPr>
                  <w:tcW w:w="1052" w:type="dxa"/>
                  <w:vMerge w:val="restart"/>
                  <w:noWrap w:val="0"/>
                  <w:vAlign w:val="center"/>
                </w:tcPr>
                <w:p w14:paraId="0529A54B">
                  <w:pPr>
                    <w:pStyle w:val="3"/>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相对厂址方位</w:t>
                  </w:r>
                </w:p>
              </w:tc>
              <w:tc>
                <w:tcPr>
                  <w:tcW w:w="1052" w:type="dxa"/>
                  <w:vMerge w:val="restart"/>
                  <w:noWrap w:val="0"/>
                  <w:vAlign w:val="center"/>
                </w:tcPr>
                <w:p w14:paraId="087C6851">
                  <w:pPr>
                    <w:pStyle w:val="3"/>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相对厂址距离/m</w:t>
                  </w:r>
                </w:p>
              </w:tc>
            </w:tr>
            <w:tr w14:paraId="5A2ACA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01" w:type="dxa"/>
                  <w:gridSpan w:val="2"/>
                  <w:vMerge w:val="continue"/>
                  <w:noWrap w:val="0"/>
                  <w:vAlign w:val="center"/>
                </w:tcPr>
                <w:p w14:paraId="121C6AE2">
                  <w:pPr>
                    <w:pStyle w:val="3"/>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color w:val="000000" w:themeColor="text1"/>
                      <w:sz w:val="21"/>
                      <w:szCs w:val="21"/>
                    </w:rPr>
                  </w:pPr>
                </w:p>
              </w:tc>
              <w:tc>
                <w:tcPr>
                  <w:tcW w:w="1051" w:type="dxa"/>
                  <w:noWrap w:val="0"/>
                  <w:vAlign w:val="center"/>
                </w:tcPr>
                <w:p w14:paraId="5FC7D60F">
                  <w:pPr>
                    <w:pStyle w:val="3"/>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经度/E</w:t>
                  </w:r>
                </w:p>
              </w:tc>
              <w:tc>
                <w:tcPr>
                  <w:tcW w:w="1127" w:type="dxa"/>
                  <w:noWrap w:val="0"/>
                  <w:vAlign w:val="center"/>
                </w:tcPr>
                <w:p w14:paraId="144A9B91">
                  <w:pPr>
                    <w:pStyle w:val="3"/>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纬度/N</w:t>
                  </w:r>
                </w:p>
              </w:tc>
              <w:tc>
                <w:tcPr>
                  <w:tcW w:w="974" w:type="dxa"/>
                  <w:vMerge w:val="continue"/>
                  <w:noWrap w:val="0"/>
                  <w:vAlign w:val="center"/>
                </w:tcPr>
                <w:p w14:paraId="682B9936">
                  <w:pPr>
                    <w:pStyle w:val="3"/>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color w:val="000000" w:themeColor="text1"/>
                      <w:sz w:val="21"/>
                      <w:szCs w:val="21"/>
                    </w:rPr>
                  </w:pPr>
                </w:p>
              </w:tc>
              <w:tc>
                <w:tcPr>
                  <w:tcW w:w="1051" w:type="dxa"/>
                  <w:vMerge w:val="continue"/>
                  <w:noWrap w:val="0"/>
                  <w:vAlign w:val="center"/>
                </w:tcPr>
                <w:p w14:paraId="79288411">
                  <w:pPr>
                    <w:pStyle w:val="3"/>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color w:val="000000" w:themeColor="text1"/>
                      <w:sz w:val="21"/>
                      <w:szCs w:val="21"/>
                    </w:rPr>
                  </w:pPr>
                </w:p>
              </w:tc>
              <w:tc>
                <w:tcPr>
                  <w:tcW w:w="1052" w:type="dxa"/>
                  <w:vMerge w:val="continue"/>
                  <w:noWrap w:val="0"/>
                  <w:vAlign w:val="center"/>
                </w:tcPr>
                <w:p w14:paraId="4761C1AB">
                  <w:pPr>
                    <w:pStyle w:val="3"/>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color w:val="000000" w:themeColor="text1"/>
                      <w:sz w:val="21"/>
                      <w:szCs w:val="21"/>
                    </w:rPr>
                  </w:pPr>
                </w:p>
              </w:tc>
              <w:tc>
                <w:tcPr>
                  <w:tcW w:w="1052" w:type="dxa"/>
                  <w:vMerge w:val="continue"/>
                  <w:noWrap w:val="0"/>
                  <w:vAlign w:val="center"/>
                </w:tcPr>
                <w:p w14:paraId="08192297">
                  <w:pPr>
                    <w:pStyle w:val="3"/>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color w:val="000000" w:themeColor="text1"/>
                      <w:sz w:val="21"/>
                      <w:szCs w:val="21"/>
                    </w:rPr>
                  </w:pPr>
                </w:p>
              </w:tc>
            </w:tr>
            <w:tr w14:paraId="314C63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5" w:hRule="atLeast"/>
                <w:jc w:val="center"/>
              </w:trPr>
              <w:tc>
                <w:tcPr>
                  <w:tcW w:w="587" w:type="dxa"/>
                  <w:vMerge w:val="restart"/>
                  <w:noWrap w:val="0"/>
                  <w:vAlign w:val="center"/>
                </w:tcPr>
                <w:p w14:paraId="59085199">
                  <w:pPr>
                    <w:pStyle w:val="3"/>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eastAsia" w:ascii="Times New Roman" w:hAnsi="Times New Roman" w:eastAsia="宋体" w:cs="Times New Roman"/>
                      <w:b w:val="0"/>
                      <w:bCs w:val="0"/>
                      <w:color w:val="000000" w:themeColor="text1"/>
                      <w:sz w:val="21"/>
                      <w:szCs w:val="21"/>
                      <w:lang w:eastAsia="zh-CN"/>
                    </w:rPr>
                  </w:pPr>
                  <w:r>
                    <w:rPr>
                      <w:rFonts w:hint="default" w:ascii="Times New Roman" w:hAnsi="Times New Roman" w:eastAsia="宋体" w:cs="Times New Roman"/>
                      <w:b w:val="0"/>
                      <w:bCs w:val="0"/>
                      <w:color w:val="000000" w:themeColor="text1"/>
                      <w:sz w:val="21"/>
                      <w:szCs w:val="21"/>
                    </w:rPr>
                    <w:t>G</w:t>
                  </w:r>
                  <w:r>
                    <w:rPr>
                      <w:rFonts w:hint="eastAsia" w:ascii="Times New Roman" w:hAnsi="Times New Roman" w:eastAsia="宋体" w:cs="Times New Roman"/>
                      <w:b w:val="0"/>
                      <w:bCs w:val="0"/>
                      <w:color w:val="000000" w:themeColor="text1"/>
                      <w:sz w:val="21"/>
                      <w:szCs w:val="21"/>
                      <w:lang w:val="en-US" w:eastAsia="zh-CN"/>
                    </w:rPr>
                    <w:t>2</w:t>
                  </w:r>
                </w:p>
              </w:tc>
              <w:tc>
                <w:tcPr>
                  <w:tcW w:w="1514" w:type="dxa"/>
                  <w:vMerge w:val="restart"/>
                  <w:noWrap w:val="0"/>
                  <w:vAlign w:val="center"/>
                </w:tcPr>
                <w:p w14:paraId="2FD6189B">
                  <w:pPr>
                    <w:pStyle w:val="3"/>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罗里村</w:t>
                  </w:r>
                </w:p>
              </w:tc>
              <w:tc>
                <w:tcPr>
                  <w:tcW w:w="1051" w:type="dxa"/>
                  <w:vMerge w:val="restart"/>
                  <w:noWrap w:val="0"/>
                  <w:vAlign w:val="center"/>
                </w:tcPr>
                <w:p w14:paraId="6882FA13">
                  <w:pPr>
                    <w:pStyle w:val="3"/>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rPr>
                  </w:pPr>
                  <w:r>
                    <w:rPr>
                      <w:rFonts w:hint="default" w:ascii="Times New Roman" w:hAnsi="Times New Roman" w:eastAsia="宋体" w:cs="Times New Roman"/>
                      <w:b w:val="0"/>
                      <w:bCs w:val="0"/>
                      <w:color w:val="000000" w:themeColor="text1"/>
                      <w:sz w:val="21"/>
                      <w:szCs w:val="21"/>
                    </w:rPr>
                    <w:t>116.812683</w:t>
                  </w:r>
                </w:p>
              </w:tc>
              <w:tc>
                <w:tcPr>
                  <w:tcW w:w="1127" w:type="dxa"/>
                  <w:vMerge w:val="restart"/>
                  <w:noWrap w:val="0"/>
                  <w:vAlign w:val="center"/>
                </w:tcPr>
                <w:p w14:paraId="345E4C7A">
                  <w:pPr>
                    <w:pStyle w:val="3"/>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rPr>
                  </w:pPr>
                  <w:r>
                    <w:rPr>
                      <w:rFonts w:hint="default" w:ascii="Times New Roman" w:hAnsi="Times New Roman" w:eastAsia="宋体" w:cs="Times New Roman"/>
                      <w:b w:val="0"/>
                      <w:bCs w:val="0"/>
                      <w:color w:val="000000" w:themeColor="text1"/>
                      <w:sz w:val="21"/>
                      <w:szCs w:val="21"/>
                    </w:rPr>
                    <w:t>34.055516</w:t>
                  </w:r>
                </w:p>
              </w:tc>
              <w:tc>
                <w:tcPr>
                  <w:tcW w:w="974" w:type="dxa"/>
                  <w:noWrap w:val="0"/>
                  <w:vAlign w:val="center"/>
                </w:tcPr>
                <w:p w14:paraId="480ED51B">
                  <w:pPr>
                    <w:pStyle w:val="3"/>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rPr>
                  </w:pPr>
                  <w:r>
                    <w:rPr>
                      <w:rFonts w:hint="default" w:ascii="Times New Roman" w:hAnsi="Times New Roman" w:eastAsia="宋体" w:cs="Times New Roman"/>
                      <w:b w:val="0"/>
                      <w:bCs w:val="0"/>
                      <w:color w:val="000000" w:themeColor="text1"/>
                      <w:sz w:val="21"/>
                      <w:szCs w:val="21"/>
                    </w:rPr>
                    <w:t>非甲烷总烃</w:t>
                  </w:r>
                </w:p>
              </w:tc>
              <w:tc>
                <w:tcPr>
                  <w:tcW w:w="1051" w:type="dxa"/>
                  <w:vMerge w:val="restart"/>
                  <w:noWrap w:val="0"/>
                  <w:vAlign w:val="center"/>
                </w:tcPr>
                <w:p w14:paraId="6B48E3DE">
                  <w:pPr>
                    <w:pStyle w:val="3"/>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rPr>
                  </w:pPr>
                  <w:r>
                    <w:rPr>
                      <w:rFonts w:hint="default" w:ascii="Times New Roman" w:hAnsi="Times New Roman" w:eastAsia="宋体" w:cs="Times New Roman"/>
                      <w:b w:val="0"/>
                      <w:bCs w:val="0"/>
                      <w:color w:val="000000" w:themeColor="text1"/>
                      <w:sz w:val="21"/>
                      <w:szCs w:val="21"/>
                    </w:rPr>
                    <w:t>7天</w:t>
                  </w:r>
                </w:p>
              </w:tc>
              <w:tc>
                <w:tcPr>
                  <w:tcW w:w="1052" w:type="dxa"/>
                  <w:vMerge w:val="restart"/>
                  <w:noWrap w:val="0"/>
                  <w:vAlign w:val="center"/>
                </w:tcPr>
                <w:p w14:paraId="09F36A9A">
                  <w:pPr>
                    <w:pStyle w:val="3"/>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N</w:t>
                  </w:r>
                  <w:r>
                    <w:rPr>
                      <w:rFonts w:hint="eastAsia" w:ascii="Times New Roman" w:hAnsi="Times New Roman" w:cs="Times New Roman"/>
                      <w:b w:val="0"/>
                      <w:bCs w:val="0"/>
                      <w:color w:val="000000" w:themeColor="text1"/>
                      <w:sz w:val="21"/>
                      <w:szCs w:val="21"/>
                      <w:lang w:val="en-US" w:eastAsia="zh-CN"/>
                    </w:rPr>
                    <w:t>W</w:t>
                  </w:r>
                </w:p>
              </w:tc>
              <w:tc>
                <w:tcPr>
                  <w:tcW w:w="1052" w:type="dxa"/>
                  <w:vMerge w:val="restart"/>
                  <w:noWrap w:val="0"/>
                  <w:vAlign w:val="center"/>
                </w:tcPr>
                <w:p w14:paraId="115C7A57">
                  <w:pPr>
                    <w:pStyle w:val="3"/>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cs="Times New Roman"/>
                      <w:b w:val="0"/>
                      <w:bCs w:val="0"/>
                      <w:color w:val="000000" w:themeColor="text1"/>
                      <w:sz w:val="21"/>
                      <w:szCs w:val="21"/>
                      <w:lang w:val="en-US" w:eastAsia="zh-CN"/>
                    </w:rPr>
                    <w:t>2200</w:t>
                  </w:r>
                </w:p>
              </w:tc>
            </w:tr>
            <w:tr w14:paraId="20A81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5" w:hRule="atLeast"/>
                <w:jc w:val="center"/>
              </w:trPr>
              <w:tc>
                <w:tcPr>
                  <w:tcW w:w="587" w:type="dxa"/>
                  <w:vMerge w:val="continue"/>
                  <w:noWrap w:val="0"/>
                  <w:vAlign w:val="center"/>
                </w:tcPr>
                <w:p w14:paraId="5ECCD09A">
                  <w:pPr>
                    <w:pStyle w:val="3"/>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rPr>
                  </w:pPr>
                </w:p>
              </w:tc>
              <w:tc>
                <w:tcPr>
                  <w:tcW w:w="1514" w:type="dxa"/>
                  <w:vMerge w:val="continue"/>
                  <w:noWrap w:val="0"/>
                  <w:vAlign w:val="center"/>
                </w:tcPr>
                <w:p w14:paraId="2291BED0">
                  <w:pPr>
                    <w:pStyle w:val="3"/>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eastAsia" w:ascii="Times New Roman" w:hAnsi="Times New Roman" w:eastAsia="宋体" w:cs="Times New Roman"/>
                      <w:b w:val="0"/>
                      <w:bCs w:val="0"/>
                      <w:color w:val="000000" w:themeColor="text1"/>
                      <w:sz w:val="21"/>
                      <w:szCs w:val="21"/>
                      <w:lang w:val="en-US" w:eastAsia="zh-CN"/>
                    </w:rPr>
                  </w:pPr>
                </w:p>
              </w:tc>
              <w:tc>
                <w:tcPr>
                  <w:tcW w:w="1051" w:type="dxa"/>
                  <w:vMerge w:val="continue"/>
                  <w:noWrap w:val="0"/>
                  <w:vAlign w:val="center"/>
                </w:tcPr>
                <w:p w14:paraId="0D069B39">
                  <w:pPr>
                    <w:pStyle w:val="3"/>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rPr>
                  </w:pPr>
                </w:p>
              </w:tc>
              <w:tc>
                <w:tcPr>
                  <w:tcW w:w="1127" w:type="dxa"/>
                  <w:vMerge w:val="continue"/>
                  <w:noWrap w:val="0"/>
                  <w:vAlign w:val="center"/>
                </w:tcPr>
                <w:p w14:paraId="56A3830B">
                  <w:pPr>
                    <w:pStyle w:val="3"/>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rPr>
                  </w:pPr>
                </w:p>
              </w:tc>
              <w:tc>
                <w:tcPr>
                  <w:tcW w:w="974" w:type="dxa"/>
                  <w:noWrap w:val="0"/>
                  <w:vAlign w:val="center"/>
                </w:tcPr>
                <w:p w14:paraId="2A36CDCB">
                  <w:pPr>
                    <w:pStyle w:val="3"/>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TSP</w:t>
                  </w:r>
                </w:p>
              </w:tc>
              <w:tc>
                <w:tcPr>
                  <w:tcW w:w="1051" w:type="dxa"/>
                  <w:vMerge w:val="continue"/>
                  <w:noWrap w:val="0"/>
                  <w:vAlign w:val="center"/>
                </w:tcPr>
                <w:p w14:paraId="1D67E603">
                  <w:pPr>
                    <w:pStyle w:val="3"/>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rPr>
                  </w:pPr>
                </w:p>
              </w:tc>
              <w:tc>
                <w:tcPr>
                  <w:tcW w:w="1052" w:type="dxa"/>
                  <w:vMerge w:val="continue"/>
                  <w:noWrap w:val="0"/>
                  <w:vAlign w:val="center"/>
                </w:tcPr>
                <w:p w14:paraId="59F5EA2D">
                  <w:pPr>
                    <w:pStyle w:val="3"/>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rPr>
                  </w:pPr>
                </w:p>
              </w:tc>
              <w:tc>
                <w:tcPr>
                  <w:tcW w:w="1052" w:type="dxa"/>
                  <w:vMerge w:val="continue"/>
                  <w:noWrap w:val="0"/>
                  <w:vAlign w:val="center"/>
                </w:tcPr>
                <w:p w14:paraId="13C04C25">
                  <w:pPr>
                    <w:pStyle w:val="3"/>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rPr>
                  </w:pPr>
                </w:p>
              </w:tc>
            </w:tr>
          </w:tbl>
          <w:p w14:paraId="2C0614E9">
            <w:pPr>
              <w:pStyle w:val="3"/>
              <w:spacing w:before="0" w:after="0" w:line="360" w:lineRule="auto"/>
              <w:ind w:firstLine="480" w:firstLineChars="200"/>
              <w:jc w:val="both"/>
              <w:rPr>
                <w:rFonts w:hint="default" w:ascii="Times New Roman" w:hAnsi="Times New Roman" w:eastAsia="宋体" w:cs="Times New Roman"/>
                <w:b w:val="0"/>
                <w:bCs w:val="0"/>
                <w:color w:val="000000" w:themeColor="text1"/>
                <w:sz w:val="24"/>
                <w:szCs w:val="24"/>
              </w:rPr>
            </w:pPr>
            <w:r>
              <w:rPr>
                <w:rFonts w:hint="eastAsia" w:ascii="Times New Roman" w:hAnsi="Times New Roman" w:eastAsia="宋体" w:cs="Times New Roman"/>
                <w:b w:val="0"/>
                <w:bCs w:val="0"/>
                <w:color w:val="000000" w:themeColor="text1"/>
                <w:sz w:val="24"/>
                <w:szCs w:val="24"/>
                <w:lang w:val="en-US" w:eastAsia="zh-CN"/>
              </w:rPr>
              <w:t>本项目特征污染物引用监测</w:t>
            </w:r>
            <w:r>
              <w:rPr>
                <w:rFonts w:hint="default" w:ascii="Times New Roman" w:hAnsi="Times New Roman" w:eastAsia="宋体" w:cs="Times New Roman"/>
                <w:b w:val="0"/>
                <w:bCs w:val="0"/>
                <w:color w:val="000000" w:themeColor="text1"/>
                <w:sz w:val="24"/>
                <w:szCs w:val="24"/>
              </w:rPr>
              <w:t>结果见下表。</w:t>
            </w:r>
          </w:p>
          <w:p w14:paraId="35C3B98A">
            <w:pPr>
              <w:adjustRightInd w:val="0"/>
              <w:snapToGrid w:val="0"/>
              <w:jc w:val="center"/>
              <w:rPr>
                <w:rFonts w:hint="default" w:ascii="Times New Roman" w:hAnsi="Times New Roman" w:cs="Times New Roman"/>
                <w:b/>
                <w:bCs/>
                <w:color w:val="000000" w:themeColor="text1"/>
                <w:sz w:val="24"/>
              </w:rPr>
            </w:pPr>
            <w:r>
              <w:rPr>
                <w:rFonts w:hint="default" w:ascii="Times New Roman" w:hAnsi="Times New Roman" w:cs="Times New Roman"/>
                <w:b/>
                <w:bCs/>
                <w:color w:val="000000" w:themeColor="text1"/>
                <w:sz w:val="24"/>
              </w:rPr>
              <w:t>表3-3  评价区大气环境现状监测及评价结果</w:t>
            </w:r>
          </w:p>
          <w:tbl>
            <w:tblPr>
              <w:tblStyle w:val="34"/>
              <w:tblW w:w="84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43"/>
              <w:gridCol w:w="788"/>
              <w:gridCol w:w="1308"/>
              <w:gridCol w:w="968"/>
              <w:gridCol w:w="1089"/>
              <w:gridCol w:w="562"/>
              <w:gridCol w:w="1089"/>
              <w:gridCol w:w="879"/>
              <w:gridCol w:w="592"/>
            </w:tblGrid>
            <w:tr w14:paraId="0A0E1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1143" w:type="dxa"/>
                  <w:vMerge w:val="restart"/>
                  <w:noWrap w:val="0"/>
                  <w:tcMar>
                    <w:top w:w="15" w:type="dxa"/>
                    <w:left w:w="15" w:type="dxa"/>
                    <w:right w:w="15" w:type="dxa"/>
                  </w:tcMar>
                  <w:vAlign w:val="center"/>
                </w:tcPr>
                <w:p w14:paraId="3F13AFA7">
                  <w:pPr>
                    <w:jc w:val="center"/>
                    <w:textAlignment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kern w:val="0"/>
                      <w:szCs w:val="21"/>
                      <w:lang w:bidi="ar"/>
                    </w:rPr>
                    <w:t>监测点位</w:t>
                  </w:r>
                </w:p>
              </w:tc>
              <w:tc>
                <w:tcPr>
                  <w:tcW w:w="788" w:type="dxa"/>
                  <w:vMerge w:val="restart"/>
                  <w:noWrap w:val="0"/>
                  <w:tcMar>
                    <w:top w:w="15" w:type="dxa"/>
                    <w:left w:w="15" w:type="dxa"/>
                    <w:right w:w="15" w:type="dxa"/>
                  </w:tcMar>
                  <w:vAlign w:val="center"/>
                </w:tcPr>
                <w:p w14:paraId="1710DA86">
                  <w:pPr>
                    <w:jc w:val="center"/>
                    <w:textAlignment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kern w:val="0"/>
                      <w:szCs w:val="21"/>
                      <w:lang w:bidi="ar"/>
                    </w:rPr>
                    <w:t>监测点位编号</w:t>
                  </w:r>
                </w:p>
              </w:tc>
              <w:tc>
                <w:tcPr>
                  <w:tcW w:w="1308" w:type="dxa"/>
                  <w:vMerge w:val="restart"/>
                  <w:noWrap w:val="0"/>
                  <w:tcMar>
                    <w:top w:w="15" w:type="dxa"/>
                    <w:left w:w="15" w:type="dxa"/>
                    <w:right w:w="15" w:type="dxa"/>
                  </w:tcMar>
                  <w:vAlign w:val="center"/>
                </w:tcPr>
                <w:p w14:paraId="0B96FD73">
                  <w:pPr>
                    <w:jc w:val="center"/>
                    <w:textAlignment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kern w:val="0"/>
                      <w:szCs w:val="21"/>
                      <w:lang w:bidi="ar"/>
                    </w:rPr>
                    <w:t>项目</w:t>
                  </w:r>
                </w:p>
              </w:tc>
              <w:tc>
                <w:tcPr>
                  <w:tcW w:w="2619" w:type="dxa"/>
                  <w:gridSpan w:val="3"/>
                  <w:noWrap w:val="0"/>
                  <w:tcMar>
                    <w:top w:w="15" w:type="dxa"/>
                    <w:left w:w="15" w:type="dxa"/>
                    <w:right w:w="15" w:type="dxa"/>
                  </w:tcMar>
                  <w:vAlign w:val="center"/>
                </w:tcPr>
                <w:p w14:paraId="76AA6812">
                  <w:pPr>
                    <w:jc w:val="center"/>
                    <w:textAlignment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kern w:val="0"/>
                      <w:szCs w:val="21"/>
                      <w:lang w:bidi="ar"/>
                    </w:rPr>
                    <w:t>小时值</w:t>
                  </w:r>
                </w:p>
              </w:tc>
              <w:tc>
                <w:tcPr>
                  <w:tcW w:w="2560" w:type="dxa"/>
                  <w:gridSpan w:val="3"/>
                  <w:noWrap w:val="0"/>
                  <w:tcMar>
                    <w:top w:w="15" w:type="dxa"/>
                    <w:left w:w="15" w:type="dxa"/>
                    <w:right w:w="15" w:type="dxa"/>
                  </w:tcMar>
                  <w:vAlign w:val="center"/>
                </w:tcPr>
                <w:p w14:paraId="28380F52">
                  <w:pPr>
                    <w:jc w:val="center"/>
                    <w:textAlignment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kern w:val="0"/>
                      <w:szCs w:val="21"/>
                      <w:lang w:bidi="ar"/>
                    </w:rPr>
                    <w:t>日均值</w:t>
                  </w:r>
                </w:p>
              </w:tc>
            </w:tr>
            <w:tr w14:paraId="009746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0" w:hRule="atLeast"/>
                <w:jc w:val="center"/>
              </w:trPr>
              <w:tc>
                <w:tcPr>
                  <w:tcW w:w="1143" w:type="dxa"/>
                  <w:vMerge w:val="continue"/>
                  <w:noWrap w:val="0"/>
                  <w:tcMar>
                    <w:top w:w="15" w:type="dxa"/>
                    <w:left w:w="15" w:type="dxa"/>
                    <w:right w:w="15" w:type="dxa"/>
                  </w:tcMar>
                  <w:vAlign w:val="center"/>
                </w:tcPr>
                <w:p w14:paraId="1A86F326">
                  <w:pPr>
                    <w:jc w:val="center"/>
                    <w:rPr>
                      <w:rFonts w:hint="default" w:ascii="Times New Roman" w:hAnsi="Times New Roman" w:cs="Times New Roman"/>
                      <w:color w:val="000000" w:themeColor="text1"/>
                      <w:szCs w:val="21"/>
                    </w:rPr>
                  </w:pPr>
                </w:p>
              </w:tc>
              <w:tc>
                <w:tcPr>
                  <w:tcW w:w="788" w:type="dxa"/>
                  <w:vMerge w:val="continue"/>
                  <w:noWrap w:val="0"/>
                  <w:tcMar>
                    <w:top w:w="15" w:type="dxa"/>
                    <w:left w:w="15" w:type="dxa"/>
                    <w:right w:w="15" w:type="dxa"/>
                  </w:tcMar>
                  <w:vAlign w:val="center"/>
                </w:tcPr>
                <w:p w14:paraId="23D6FD7F">
                  <w:pPr>
                    <w:jc w:val="center"/>
                    <w:rPr>
                      <w:rFonts w:hint="default" w:ascii="Times New Roman" w:hAnsi="Times New Roman" w:cs="Times New Roman"/>
                      <w:color w:val="000000" w:themeColor="text1"/>
                      <w:szCs w:val="21"/>
                    </w:rPr>
                  </w:pPr>
                </w:p>
              </w:tc>
              <w:tc>
                <w:tcPr>
                  <w:tcW w:w="1308" w:type="dxa"/>
                  <w:vMerge w:val="continue"/>
                  <w:noWrap w:val="0"/>
                  <w:tcMar>
                    <w:top w:w="15" w:type="dxa"/>
                    <w:left w:w="15" w:type="dxa"/>
                    <w:right w:w="15" w:type="dxa"/>
                  </w:tcMar>
                  <w:vAlign w:val="center"/>
                </w:tcPr>
                <w:p w14:paraId="4437EA43">
                  <w:pPr>
                    <w:jc w:val="center"/>
                    <w:rPr>
                      <w:rFonts w:hint="default" w:ascii="Times New Roman" w:hAnsi="Times New Roman" w:cs="Times New Roman"/>
                      <w:color w:val="000000" w:themeColor="text1"/>
                      <w:szCs w:val="21"/>
                    </w:rPr>
                  </w:pPr>
                </w:p>
              </w:tc>
              <w:tc>
                <w:tcPr>
                  <w:tcW w:w="968" w:type="dxa"/>
                  <w:noWrap w:val="0"/>
                  <w:tcMar>
                    <w:top w:w="15" w:type="dxa"/>
                    <w:left w:w="15" w:type="dxa"/>
                    <w:right w:w="15" w:type="dxa"/>
                  </w:tcMar>
                  <w:vAlign w:val="center"/>
                </w:tcPr>
                <w:p w14:paraId="6DF6350A">
                  <w:pPr>
                    <w:jc w:val="center"/>
                    <w:textAlignment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kern w:val="0"/>
                      <w:szCs w:val="21"/>
                      <w:lang w:bidi="ar"/>
                    </w:rPr>
                    <w:t>浓度范围</w:t>
                  </w:r>
                </w:p>
              </w:tc>
              <w:tc>
                <w:tcPr>
                  <w:tcW w:w="1089" w:type="dxa"/>
                  <w:noWrap w:val="0"/>
                  <w:tcMar>
                    <w:top w:w="15" w:type="dxa"/>
                    <w:left w:w="15" w:type="dxa"/>
                    <w:right w:w="15" w:type="dxa"/>
                  </w:tcMar>
                  <w:vAlign w:val="center"/>
                </w:tcPr>
                <w:p w14:paraId="5523B83C">
                  <w:pPr>
                    <w:jc w:val="center"/>
                    <w:textAlignment w:val="center"/>
                    <w:rPr>
                      <w:rFonts w:hint="default" w:ascii="Times New Roman" w:hAnsi="Times New Roman" w:eastAsia="宋体" w:cs="Times New Roman"/>
                      <w:color w:val="000000" w:themeColor="text1"/>
                      <w:szCs w:val="21"/>
                      <w:lang w:val="en-US" w:eastAsia="zh-CN"/>
                    </w:rPr>
                  </w:pPr>
                  <w:r>
                    <w:rPr>
                      <w:rFonts w:hint="eastAsia" w:ascii="Times New Roman" w:hAnsi="Times New Roman" w:cs="Times New Roman"/>
                      <w:color w:val="000000" w:themeColor="text1"/>
                      <w:kern w:val="0"/>
                      <w:szCs w:val="21"/>
                      <w:lang w:val="en-US" w:eastAsia="zh-CN" w:bidi="ar"/>
                    </w:rPr>
                    <w:t>最大占标率%</w:t>
                  </w:r>
                </w:p>
              </w:tc>
              <w:tc>
                <w:tcPr>
                  <w:tcW w:w="562" w:type="dxa"/>
                  <w:noWrap w:val="0"/>
                  <w:tcMar>
                    <w:top w:w="15" w:type="dxa"/>
                    <w:left w:w="15" w:type="dxa"/>
                    <w:right w:w="15" w:type="dxa"/>
                  </w:tcMar>
                  <w:vAlign w:val="center"/>
                </w:tcPr>
                <w:p w14:paraId="0FFB9335">
                  <w:pPr>
                    <w:jc w:val="center"/>
                    <w:textAlignment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kern w:val="0"/>
                      <w:szCs w:val="21"/>
                      <w:lang w:bidi="ar"/>
                    </w:rPr>
                    <w:t>超标率</w:t>
                  </w:r>
                  <w:r>
                    <w:rPr>
                      <w:rStyle w:val="150"/>
                      <w:rFonts w:hint="default" w:ascii="Times New Roman" w:hAnsi="Times New Roman" w:cs="Times New Roman"/>
                      <w:color w:val="000000" w:themeColor="text1"/>
                      <w:lang w:bidi="ar"/>
                    </w:rPr>
                    <w:t>%</w:t>
                  </w:r>
                </w:p>
              </w:tc>
              <w:tc>
                <w:tcPr>
                  <w:tcW w:w="1089" w:type="dxa"/>
                  <w:noWrap w:val="0"/>
                  <w:tcMar>
                    <w:top w:w="15" w:type="dxa"/>
                    <w:left w:w="15" w:type="dxa"/>
                    <w:right w:w="15" w:type="dxa"/>
                  </w:tcMar>
                  <w:vAlign w:val="center"/>
                </w:tcPr>
                <w:p w14:paraId="4FD37560">
                  <w:pPr>
                    <w:jc w:val="center"/>
                    <w:textAlignment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kern w:val="0"/>
                      <w:szCs w:val="21"/>
                      <w:lang w:bidi="ar"/>
                    </w:rPr>
                    <w:t>浓度范围</w:t>
                  </w:r>
                </w:p>
              </w:tc>
              <w:tc>
                <w:tcPr>
                  <w:tcW w:w="879" w:type="dxa"/>
                  <w:noWrap w:val="0"/>
                  <w:tcMar>
                    <w:top w:w="15" w:type="dxa"/>
                    <w:left w:w="15" w:type="dxa"/>
                    <w:right w:w="15" w:type="dxa"/>
                  </w:tcMar>
                  <w:vAlign w:val="center"/>
                </w:tcPr>
                <w:p w14:paraId="4DBF302C">
                  <w:pPr>
                    <w:jc w:val="center"/>
                    <w:textAlignment w:val="center"/>
                    <w:rPr>
                      <w:rFonts w:hint="default" w:ascii="Times New Roman" w:hAnsi="Times New Roman" w:cs="Times New Roman"/>
                      <w:color w:val="000000" w:themeColor="text1"/>
                      <w:szCs w:val="21"/>
                    </w:rPr>
                  </w:pPr>
                  <w:r>
                    <w:rPr>
                      <w:rFonts w:hint="eastAsia" w:ascii="Times New Roman" w:hAnsi="Times New Roman" w:cs="Times New Roman"/>
                      <w:color w:val="000000" w:themeColor="text1"/>
                      <w:kern w:val="0"/>
                      <w:szCs w:val="21"/>
                      <w:lang w:val="en-US" w:eastAsia="zh-CN" w:bidi="ar"/>
                    </w:rPr>
                    <w:t>最大占标率%</w:t>
                  </w:r>
                </w:p>
              </w:tc>
              <w:tc>
                <w:tcPr>
                  <w:tcW w:w="592" w:type="dxa"/>
                  <w:noWrap w:val="0"/>
                  <w:tcMar>
                    <w:top w:w="15" w:type="dxa"/>
                    <w:left w:w="15" w:type="dxa"/>
                    <w:right w:w="15" w:type="dxa"/>
                  </w:tcMar>
                  <w:vAlign w:val="center"/>
                </w:tcPr>
                <w:p w14:paraId="06C7E01F">
                  <w:pPr>
                    <w:jc w:val="center"/>
                    <w:textAlignment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kern w:val="0"/>
                      <w:szCs w:val="21"/>
                      <w:lang w:bidi="ar"/>
                    </w:rPr>
                    <w:t>超标率</w:t>
                  </w:r>
                  <w:r>
                    <w:rPr>
                      <w:rStyle w:val="150"/>
                      <w:rFonts w:hint="default" w:ascii="Times New Roman" w:hAnsi="Times New Roman" w:cs="Times New Roman"/>
                      <w:color w:val="000000" w:themeColor="text1"/>
                      <w:lang w:bidi="ar"/>
                    </w:rPr>
                    <w:t>%</w:t>
                  </w:r>
                </w:p>
              </w:tc>
            </w:tr>
            <w:tr w14:paraId="235CDF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4" w:hRule="atLeast"/>
                <w:jc w:val="center"/>
              </w:trPr>
              <w:tc>
                <w:tcPr>
                  <w:tcW w:w="1143" w:type="dxa"/>
                  <w:vMerge w:val="restart"/>
                  <w:noWrap w:val="0"/>
                  <w:tcMar>
                    <w:top w:w="15" w:type="dxa"/>
                    <w:left w:w="15" w:type="dxa"/>
                    <w:right w:w="15" w:type="dxa"/>
                  </w:tcMar>
                  <w:vAlign w:val="center"/>
                </w:tcPr>
                <w:p w14:paraId="6B49CD48">
                  <w:pPr>
                    <w:jc w:val="center"/>
                    <w:textAlignment w:val="center"/>
                    <w:rPr>
                      <w:rFonts w:hint="default" w:ascii="Times New Roman" w:hAnsi="Times New Roman" w:cs="Times New Roman"/>
                      <w:color w:val="000000" w:themeColor="text1"/>
                      <w:szCs w:val="21"/>
                    </w:rPr>
                  </w:pPr>
                  <w:r>
                    <w:rPr>
                      <w:rFonts w:hint="eastAsia" w:ascii="Times New Roman" w:hAnsi="Times New Roman" w:eastAsia="宋体" w:cs="Times New Roman"/>
                      <w:b w:val="0"/>
                      <w:bCs w:val="0"/>
                      <w:color w:val="000000" w:themeColor="text1"/>
                      <w:sz w:val="21"/>
                      <w:szCs w:val="21"/>
                      <w:lang w:val="en-US" w:eastAsia="zh-CN"/>
                    </w:rPr>
                    <w:t>罗里村</w:t>
                  </w:r>
                </w:p>
              </w:tc>
              <w:tc>
                <w:tcPr>
                  <w:tcW w:w="788" w:type="dxa"/>
                  <w:vMerge w:val="restart"/>
                  <w:noWrap w:val="0"/>
                  <w:tcMar>
                    <w:top w:w="15" w:type="dxa"/>
                    <w:left w:w="15" w:type="dxa"/>
                    <w:right w:w="15" w:type="dxa"/>
                  </w:tcMar>
                  <w:vAlign w:val="center"/>
                </w:tcPr>
                <w:p w14:paraId="6DD4468C">
                  <w:pPr>
                    <w:jc w:val="center"/>
                    <w:textAlignment w:val="center"/>
                    <w:rPr>
                      <w:rFonts w:hint="eastAsia" w:ascii="Times New Roman" w:hAnsi="Times New Roman" w:eastAsia="宋体" w:cs="Times New Roman"/>
                      <w:color w:val="000000" w:themeColor="text1"/>
                      <w:szCs w:val="21"/>
                      <w:lang w:eastAsia="zh-CN"/>
                    </w:rPr>
                  </w:pPr>
                  <w:r>
                    <w:rPr>
                      <w:rFonts w:hint="default" w:ascii="Times New Roman" w:hAnsi="Times New Roman" w:cs="Times New Roman"/>
                      <w:color w:val="000000" w:themeColor="text1"/>
                      <w:szCs w:val="21"/>
                    </w:rPr>
                    <w:t>G</w:t>
                  </w:r>
                  <w:r>
                    <w:rPr>
                      <w:rFonts w:hint="eastAsia" w:ascii="Times New Roman" w:hAnsi="Times New Roman" w:cs="Times New Roman"/>
                      <w:color w:val="000000" w:themeColor="text1"/>
                      <w:szCs w:val="21"/>
                      <w:lang w:val="en-US" w:eastAsia="zh-CN"/>
                    </w:rPr>
                    <w:t>2</w:t>
                  </w:r>
                </w:p>
              </w:tc>
              <w:tc>
                <w:tcPr>
                  <w:tcW w:w="1308" w:type="dxa"/>
                  <w:noWrap w:val="0"/>
                  <w:tcMar>
                    <w:top w:w="15" w:type="dxa"/>
                    <w:left w:w="15" w:type="dxa"/>
                    <w:right w:w="15" w:type="dxa"/>
                  </w:tcMar>
                  <w:vAlign w:val="center"/>
                </w:tcPr>
                <w:p w14:paraId="511C0F41">
                  <w:pPr>
                    <w:jc w:val="center"/>
                    <w:textAlignment w:val="center"/>
                    <w:rPr>
                      <w:rFonts w:hint="default" w:ascii="Times New Roman" w:hAnsi="Times New Roman" w:cs="Times New Roman"/>
                      <w:color w:val="000000" w:themeColor="text1"/>
                      <w:szCs w:val="21"/>
                    </w:rPr>
                  </w:pPr>
                  <w:r>
                    <w:rPr>
                      <w:rStyle w:val="151"/>
                      <w:rFonts w:hint="default" w:ascii="Times New Roman" w:hAnsi="Times New Roman" w:cs="Times New Roman"/>
                      <w:color w:val="000000" w:themeColor="text1"/>
                      <w:lang w:bidi="ar"/>
                    </w:rPr>
                    <w:t>非甲烷总烃</w:t>
                  </w:r>
                  <w:r>
                    <w:rPr>
                      <w:rStyle w:val="150"/>
                      <w:rFonts w:hint="default" w:ascii="Times New Roman" w:hAnsi="Times New Roman" w:cs="Times New Roman"/>
                      <w:color w:val="000000" w:themeColor="text1"/>
                      <w:lang w:bidi="ar"/>
                    </w:rPr>
                    <w:t>(mg/m³)</w:t>
                  </w:r>
                </w:p>
              </w:tc>
              <w:tc>
                <w:tcPr>
                  <w:tcW w:w="968" w:type="dxa"/>
                  <w:noWrap w:val="0"/>
                  <w:tcMar>
                    <w:top w:w="15" w:type="dxa"/>
                    <w:left w:w="15" w:type="dxa"/>
                    <w:right w:w="15" w:type="dxa"/>
                  </w:tcMar>
                  <w:vAlign w:val="center"/>
                </w:tcPr>
                <w:p w14:paraId="3AE60854">
                  <w:pPr>
                    <w:jc w:val="center"/>
                    <w:textAlignment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kern w:val="0"/>
                      <w:szCs w:val="21"/>
                      <w:lang w:bidi="ar"/>
                    </w:rPr>
                    <w:t>0.</w:t>
                  </w:r>
                  <w:r>
                    <w:rPr>
                      <w:rFonts w:hint="eastAsia" w:ascii="Times New Roman" w:hAnsi="Times New Roman" w:cs="Times New Roman"/>
                      <w:color w:val="000000" w:themeColor="text1"/>
                      <w:kern w:val="0"/>
                      <w:szCs w:val="21"/>
                      <w:lang w:val="en-US" w:eastAsia="zh-CN" w:bidi="ar"/>
                    </w:rPr>
                    <w:t>41</w:t>
                  </w:r>
                  <w:r>
                    <w:rPr>
                      <w:rFonts w:hint="default" w:ascii="Times New Roman" w:hAnsi="Times New Roman" w:cs="Times New Roman"/>
                      <w:color w:val="000000" w:themeColor="text1"/>
                      <w:kern w:val="0"/>
                      <w:szCs w:val="21"/>
                      <w:lang w:bidi="ar"/>
                    </w:rPr>
                    <w:t>~0.59</w:t>
                  </w:r>
                </w:p>
              </w:tc>
              <w:tc>
                <w:tcPr>
                  <w:tcW w:w="1089" w:type="dxa"/>
                  <w:noWrap w:val="0"/>
                  <w:tcMar>
                    <w:top w:w="15" w:type="dxa"/>
                    <w:left w:w="15" w:type="dxa"/>
                    <w:right w:w="15" w:type="dxa"/>
                  </w:tcMar>
                  <w:vAlign w:val="center"/>
                </w:tcPr>
                <w:p w14:paraId="6A7C4E9F">
                  <w:pPr>
                    <w:jc w:val="center"/>
                    <w:textAlignment w:val="center"/>
                    <w:rPr>
                      <w:rFonts w:hint="default" w:ascii="Times New Roman" w:hAnsi="Times New Roman" w:eastAsia="宋体" w:cs="Times New Roman"/>
                      <w:color w:val="000000" w:themeColor="text1"/>
                      <w:szCs w:val="21"/>
                      <w:lang w:val="en-US" w:eastAsia="zh-CN"/>
                    </w:rPr>
                  </w:pPr>
                  <w:r>
                    <w:rPr>
                      <w:rFonts w:hint="eastAsia" w:ascii="Times New Roman" w:hAnsi="Times New Roman" w:cs="Times New Roman"/>
                      <w:color w:val="000000" w:themeColor="text1"/>
                      <w:kern w:val="0"/>
                      <w:szCs w:val="21"/>
                      <w:lang w:val="en-US" w:eastAsia="zh-CN" w:bidi="ar"/>
                    </w:rPr>
                    <w:t>29.5</w:t>
                  </w:r>
                </w:p>
              </w:tc>
              <w:tc>
                <w:tcPr>
                  <w:tcW w:w="562" w:type="dxa"/>
                  <w:noWrap w:val="0"/>
                  <w:tcMar>
                    <w:top w:w="15" w:type="dxa"/>
                    <w:left w:w="15" w:type="dxa"/>
                    <w:right w:w="15" w:type="dxa"/>
                  </w:tcMar>
                  <w:vAlign w:val="center"/>
                </w:tcPr>
                <w:p w14:paraId="7E925176">
                  <w:pPr>
                    <w:jc w:val="center"/>
                    <w:textAlignment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kern w:val="0"/>
                      <w:szCs w:val="21"/>
                      <w:lang w:bidi="ar"/>
                    </w:rPr>
                    <w:t>0</w:t>
                  </w:r>
                </w:p>
              </w:tc>
              <w:tc>
                <w:tcPr>
                  <w:tcW w:w="1089" w:type="dxa"/>
                  <w:noWrap w:val="0"/>
                  <w:tcMar>
                    <w:top w:w="15" w:type="dxa"/>
                    <w:left w:w="15" w:type="dxa"/>
                    <w:right w:w="15" w:type="dxa"/>
                  </w:tcMar>
                  <w:vAlign w:val="center"/>
                </w:tcPr>
                <w:p w14:paraId="27908E46">
                  <w:pPr>
                    <w:jc w:val="center"/>
                    <w:textAlignment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kern w:val="0"/>
                      <w:szCs w:val="21"/>
                      <w:lang w:bidi="ar"/>
                    </w:rPr>
                    <w:t>/</w:t>
                  </w:r>
                </w:p>
              </w:tc>
              <w:tc>
                <w:tcPr>
                  <w:tcW w:w="879" w:type="dxa"/>
                  <w:noWrap w:val="0"/>
                  <w:tcMar>
                    <w:top w:w="15" w:type="dxa"/>
                    <w:left w:w="15" w:type="dxa"/>
                    <w:right w:w="15" w:type="dxa"/>
                  </w:tcMar>
                  <w:vAlign w:val="center"/>
                </w:tcPr>
                <w:p w14:paraId="59A0DB4D">
                  <w:pPr>
                    <w:jc w:val="center"/>
                    <w:textAlignment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kern w:val="0"/>
                      <w:szCs w:val="21"/>
                      <w:lang w:bidi="ar"/>
                    </w:rPr>
                    <w:t>/</w:t>
                  </w:r>
                </w:p>
              </w:tc>
              <w:tc>
                <w:tcPr>
                  <w:tcW w:w="592" w:type="dxa"/>
                  <w:noWrap w:val="0"/>
                  <w:tcMar>
                    <w:top w:w="15" w:type="dxa"/>
                    <w:left w:w="15" w:type="dxa"/>
                    <w:right w:w="15" w:type="dxa"/>
                  </w:tcMar>
                  <w:vAlign w:val="center"/>
                </w:tcPr>
                <w:p w14:paraId="09D00419">
                  <w:pPr>
                    <w:jc w:val="center"/>
                    <w:textAlignment w:val="center"/>
                    <w:rPr>
                      <w:rFonts w:hint="default" w:ascii="Times New Roman" w:hAnsi="Times New Roman" w:cs="Times New Roman"/>
                      <w:color w:val="000000" w:themeColor="text1"/>
                      <w:szCs w:val="21"/>
                    </w:rPr>
                  </w:pPr>
                  <w:r>
                    <w:rPr>
                      <w:rFonts w:hint="default" w:ascii="Times New Roman" w:hAnsi="Times New Roman" w:cs="Times New Roman"/>
                      <w:color w:val="000000" w:themeColor="text1"/>
                      <w:kern w:val="0"/>
                      <w:szCs w:val="21"/>
                      <w:lang w:bidi="ar"/>
                    </w:rPr>
                    <w:t>/</w:t>
                  </w:r>
                </w:p>
              </w:tc>
            </w:tr>
            <w:tr w14:paraId="040E9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4" w:hRule="atLeast"/>
                <w:jc w:val="center"/>
              </w:trPr>
              <w:tc>
                <w:tcPr>
                  <w:tcW w:w="1143" w:type="dxa"/>
                  <w:vMerge w:val="continue"/>
                  <w:noWrap w:val="0"/>
                  <w:tcMar>
                    <w:top w:w="15" w:type="dxa"/>
                    <w:left w:w="15" w:type="dxa"/>
                    <w:right w:w="15" w:type="dxa"/>
                  </w:tcMar>
                  <w:vAlign w:val="center"/>
                </w:tcPr>
                <w:p w14:paraId="248F57E6">
                  <w:pPr>
                    <w:jc w:val="center"/>
                    <w:textAlignment w:val="center"/>
                    <w:rPr>
                      <w:rFonts w:hint="eastAsia" w:ascii="Times New Roman" w:hAnsi="Times New Roman" w:eastAsia="宋体" w:cs="Times New Roman"/>
                      <w:b w:val="0"/>
                      <w:bCs w:val="0"/>
                      <w:color w:val="000000" w:themeColor="text1"/>
                      <w:sz w:val="21"/>
                      <w:szCs w:val="21"/>
                      <w:lang w:val="en-US" w:eastAsia="zh-CN"/>
                    </w:rPr>
                  </w:pPr>
                </w:p>
              </w:tc>
              <w:tc>
                <w:tcPr>
                  <w:tcW w:w="788" w:type="dxa"/>
                  <w:vMerge w:val="continue"/>
                  <w:noWrap w:val="0"/>
                  <w:tcMar>
                    <w:top w:w="15" w:type="dxa"/>
                    <w:left w:w="15" w:type="dxa"/>
                    <w:right w:w="15" w:type="dxa"/>
                  </w:tcMar>
                  <w:vAlign w:val="center"/>
                </w:tcPr>
                <w:p w14:paraId="7E2696B4">
                  <w:pPr>
                    <w:jc w:val="center"/>
                    <w:textAlignment w:val="center"/>
                    <w:rPr>
                      <w:rFonts w:hint="default" w:ascii="Times New Roman" w:hAnsi="Times New Roman" w:cs="Times New Roman"/>
                      <w:color w:val="000000" w:themeColor="text1"/>
                      <w:szCs w:val="21"/>
                    </w:rPr>
                  </w:pPr>
                </w:p>
              </w:tc>
              <w:tc>
                <w:tcPr>
                  <w:tcW w:w="1308" w:type="dxa"/>
                  <w:noWrap w:val="0"/>
                  <w:tcMar>
                    <w:top w:w="15" w:type="dxa"/>
                    <w:left w:w="15" w:type="dxa"/>
                    <w:right w:w="15" w:type="dxa"/>
                  </w:tcMar>
                  <w:vAlign w:val="center"/>
                </w:tcPr>
                <w:p w14:paraId="3652A0E9">
                  <w:pPr>
                    <w:jc w:val="center"/>
                    <w:textAlignment w:val="center"/>
                    <w:rPr>
                      <w:rStyle w:val="151"/>
                      <w:rFonts w:hint="default" w:ascii="Times New Roman" w:hAnsi="Times New Roman" w:cs="Times New Roman"/>
                      <w:color w:val="000000" w:themeColor="text1"/>
                      <w:lang w:bidi="ar"/>
                    </w:rPr>
                  </w:pPr>
                  <w:r>
                    <w:rPr>
                      <w:rStyle w:val="151"/>
                      <w:rFonts w:hint="default" w:ascii="Times New Roman" w:hAnsi="Times New Roman" w:cs="Times New Roman"/>
                      <w:color w:val="000000" w:themeColor="text1"/>
                      <w:lang w:bidi="ar"/>
                    </w:rPr>
                    <w:t>TSP</w:t>
                  </w:r>
                  <w:r>
                    <w:rPr>
                      <w:rStyle w:val="150"/>
                      <w:rFonts w:hint="default" w:ascii="Times New Roman" w:hAnsi="Times New Roman" w:cs="Times New Roman"/>
                      <w:color w:val="000000" w:themeColor="text1"/>
                      <w:lang w:bidi="ar"/>
                    </w:rPr>
                    <w:t>(mg/m³)</w:t>
                  </w:r>
                </w:p>
              </w:tc>
              <w:tc>
                <w:tcPr>
                  <w:tcW w:w="968" w:type="dxa"/>
                  <w:noWrap w:val="0"/>
                  <w:tcMar>
                    <w:top w:w="15" w:type="dxa"/>
                    <w:left w:w="15" w:type="dxa"/>
                    <w:right w:w="15" w:type="dxa"/>
                  </w:tcMar>
                  <w:vAlign w:val="center"/>
                </w:tcPr>
                <w:p w14:paraId="3AD19953">
                  <w:pPr>
                    <w:jc w:val="center"/>
                    <w:textAlignment w:val="center"/>
                    <w:rPr>
                      <w:rFonts w:hint="default" w:ascii="Times New Roman" w:hAnsi="Times New Roman" w:cs="Times New Roman"/>
                      <w:color w:val="000000" w:themeColor="text1"/>
                      <w:kern w:val="0"/>
                      <w:szCs w:val="21"/>
                      <w:lang w:bidi="ar"/>
                    </w:rPr>
                  </w:pPr>
                  <w:r>
                    <w:rPr>
                      <w:rFonts w:hint="default" w:ascii="Times New Roman" w:hAnsi="Times New Roman" w:cs="Times New Roman"/>
                      <w:color w:val="000000" w:themeColor="text1"/>
                      <w:kern w:val="0"/>
                      <w:szCs w:val="21"/>
                      <w:lang w:bidi="ar"/>
                    </w:rPr>
                    <w:t>/</w:t>
                  </w:r>
                </w:p>
              </w:tc>
              <w:tc>
                <w:tcPr>
                  <w:tcW w:w="1089" w:type="dxa"/>
                  <w:noWrap w:val="0"/>
                  <w:tcMar>
                    <w:top w:w="15" w:type="dxa"/>
                    <w:left w:w="15" w:type="dxa"/>
                    <w:right w:w="15" w:type="dxa"/>
                  </w:tcMar>
                  <w:vAlign w:val="center"/>
                </w:tcPr>
                <w:p w14:paraId="5394C103">
                  <w:pPr>
                    <w:jc w:val="center"/>
                    <w:textAlignment w:val="center"/>
                    <w:rPr>
                      <w:rFonts w:hint="default" w:ascii="Times New Roman" w:hAnsi="Times New Roman" w:cs="Times New Roman"/>
                      <w:color w:val="000000" w:themeColor="text1"/>
                      <w:kern w:val="0"/>
                      <w:szCs w:val="21"/>
                      <w:lang w:bidi="ar"/>
                    </w:rPr>
                  </w:pPr>
                  <w:r>
                    <w:rPr>
                      <w:rFonts w:hint="default" w:ascii="Times New Roman" w:hAnsi="Times New Roman" w:cs="Times New Roman"/>
                      <w:color w:val="000000" w:themeColor="text1"/>
                      <w:kern w:val="0"/>
                      <w:szCs w:val="21"/>
                      <w:lang w:bidi="ar"/>
                    </w:rPr>
                    <w:t>/</w:t>
                  </w:r>
                </w:p>
              </w:tc>
              <w:tc>
                <w:tcPr>
                  <w:tcW w:w="562" w:type="dxa"/>
                  <w:noWrap w:val="0"/>
                  <w:tcMar>
                    <w:top w:w="15" w:type="dxa"/>
                    <w:left w:w="15" w:type="dxa"/>
                    <w:right w:w="15" w:type="dxa"/>
                  </w:tcMar>
                  <w:vAlign w:val="center"/>
                </w:tcPr>
                <w:p w14:paraId="39C1C291">
                  <w:pPr>
                    <w:jc w:val="center"/>
                    <w:textAlignment w:val="center"/>
                    <w:rPr>
                      <w:rFonts w:hint="default" w:ascii="Times New Roman" w:hAnsi="Times New Roman" w:cs="Times New Roman"/>
                      <w:color w:val="000000" w:themeColor="text1"/>
                      <w:kern w:val="0"/>
                      <w:szCs w:val="21"/>
                      <w:lang w:bidi="ar"/>
                    </w:rPr>
                  </w:pPr>
                  <w:r>
                    <w:rPr>
                      <w:rFonts w:hint="default" w:ascii="Times New Roman" w:hAnsi="Times New Roman" w:cs="Times New Roman"/>
                      <w:color w:val="000000" w:themeColor="text1"/>
                      <w:kern w:val="0"/>
                      <w:szCs w:val="21"/>
                      <w:lang w:bidi="ar"/>
                    </w:rPr>
                    <w:t>/</w:t>
                  </w:r>
                </w:p>
              </w:tc>
              <w:tc>
                <w:tcPr>
                  <w:tcW w:w="1089" w:type="dxa"/>
                  <w:noWrap w:val="0"/>
                  <w:tcMar>
                    <w:top w:w="15" w:type="dxa"/>
                    <w:left w:w="15" w:type="dxa"/>
                    <w:right w:w="15" w:type="dxa"/>
                  </w:tcMar>
                  <w:vAlign w:val="center"/>
                </w:tcPr>
                <w:p w14:paraId="469B9F81">
                  <w:pPr>
                    <w:jc w:val="center"/>
                    <w:textAlignment w:val="center"/>
                    <w:rPr>
                      <w:rFonts w:hint="default" w:ascii="Times New Roman" w:hAnsi="Times New Roman" w:eastAsia="宋体" w:cs="Times New Roman"/>
                      <w:color w:val="000000" w:themeColor="text1"/>
                      <w:kern w:val="0"/>
                      <w:szCs w:val="21"/>
                      <w:lang w:val="en-US" w:eastAsia="zh-CN" w:bidi="ar"/>
                    </w:rPr>
                  </w:pPr>
                  <w:r>
                    <w:rPr>
                      <w:rFonts w:hint="eastAsia" w:ascii="Times New Roman" w:hAnsi="Times New Roman" w:cs="Times New Roman"/>
                      <w:color w:val="000000" w:themeColor="text1"/>
                      <w:kern w:val="0"/>
                      <w:szCs w:val="21"/>
                      <w:lang w:val="en-US" w:eastAsia="zh-CN" w:bidi="ar"/>
                    </w:rPr>
                    <w:t>0.117~0.122</w:t>
                  </w:r>
                </w:p>
              </w:tc>
              <w:tc>
                <w:tcPr>
                  <w:tcW w:w="879" w:type="dxa"/>
                  <w:noWrap w:val="0"/>
                  <w:tcMar>
                    <w:top w:w="15" w:type="dxa"/>
                    <w:left w:w="15" w:type="dxa"/>
                    <w:right w:w="15" w:type="dxa"/>
                  </w:tcMar>
                  <w:vAlign w:val="center"/>
                </w:tcPr>
                <w:p w14:paraId="508EF1D7">
                  <w:pPr>
                    <w:jc w:val="center"/>
                    <w:textAlignment w:val="center"/>
                    <w:rPr>
                      <w:rFonts w:hint="default" w:ascii="Times New Roman" w:hAnsi="Times New Roman" w:eastAsia="宋体" w:cs="Times New Roman"/>
                      <w:color w:val="000000" w:themeColor="text1"/>
                      <w:kern w:val="0"/>
                      <w:szCs w:val="21"/>
                      <w:lang w:val="en-US" w:eastAsia="zh-CN" w:bidi="ar"/>
                    </w:rPr>
                  </w:pPr>
                  <w:r>
                    <w:rPr>
                      <w:rFonts w:hint="eastAsia" w:ascii="Times New Roman" w:hAnsi="Times New Roman" w:cs="Times New Roman"/>
                      <w:color w:val="000000" w:themeColor="text1"/>
                      <w:kern w:val="0"/>
                      <w:szCs w:val="21"/>
                      <w:lang w:val="en-US" w:eastAsia="zh-CN" w:bidi="ar"/>
                    </w:rPr>
                    <w:t>40.7</w:t>
                  </w:r>
                </w:p>
              </w:tc>
              <w:tc>
                <w:tcPr>
                  <w:tcW w:w="592" w:type="dxa"/>
                  <w:noWrap w:val="0"/>
                  <w:tcMar>
                    <w:top w:w="15" w:type="dxa"/>
                    <w:left w:w="15" w:type="dxa"/>
                    <w:right w:w="15" w:type="dxa"/>
                  </w:tcMar>
                  <w:vAlign w:val="center"/>
                </w:tcPr>
                <w:p w14:paraId="2D5B7BE0">
                  <w:pPr>
                    <w:jc w:val="center"/>
                    <w:textAlignment w:val="center"/>
                    <w:rPr>
                      <w:rFonts w:hint="eastAsia" w:ascii="Times New Roman" w:hAnsi="Times New Roman" w:eastAsia="宋体" w:cs="Times New Roman"/>
                      <w:color w:val="000000" w:themeColor="text1"/>
                      <w:kern w:val="0"/>
                      <w:szCs w:val="21"/>
                      <w:lang w:val="en-US" w:eastAsia="zh-CN" w:bidi="ar"/>
                    </w:rPr>
                  </w:pPr>
                  <w:r>
                    <w:rPr>
                      <w:rFonts w:hint="eastAsia" w:ascii="Times New Roman" w:hAnsi="Times New Roman" w:cs="Times New Roman"/>
                      <w:color w:val="000000" w:themeColor="text1"/>
                      <w:kern w:val="0"/>
                      <w:szCs w:val="21"/>
                      <w:lang w:val="en-US" w:eastAsia="zh-CN" w:bidi="ar"/>
                    </w:rPr>
                    <w:t>0</w:t>
                  </w:r>
                </w:p>
              </w:tc>
            </w:tr>
          </w:tbl>
          <w:p w14:paraId="326ADA40">
            <w:pPr>
              <w:adjustRightInd w:val="0"/>
              <w:snapToGrid w:val="0"/>
              <w:spacing w:line="360" w:lineRule="auto"/>
              <w:ind w:firstLine="480" w:firstLineChars="200"/>
              <w:jc w:val="left"/>
              <w:rPr>
                <w:rFonts w:hint="default" w:ascii="Times New Roman" w:hAnsi="Times New Roman" w:cs="Times New Roman"/>
                <w:color w:val="000000" w:themeColor="text1"/>
                <w:sz w:val="24"/>
                <w:szCs w:val="32"/>
              </w:rPr>
            </w:pPr>
            <w:r>
              <w:rPr>
                <w:rFonts w:hint="default" w:ascii="Times New Roman" w:hAnsi="Times New Roman" w:cs="Times New Roman"/>
                <w:color w:val="000000" w:themeColor="text1"/>
                <w:sz w:val="24"/>
                <w:szCs w:val="32"/>
              </w:rPr>
              <w:t>由上表可知，监测点位的非甲烷总烃的现状监测小时值能满足《大气污染物综合排放标准详解》中</w:t>
            </w:r>
            <w:r>
              <w:rPr>
                <w:rFonts w:hint="default" w:ascii="Times New Roman" w:hAnsi="Times New Roman" w:cs="Times New Roman"/>
                <w:color w:val="000000" w:themeColor="text1"/>
                <w:kern w:val="0"/>
                <w:sz w:val="24"/>
              </w:rPr>
              <w:t>标准限值，TSP日均值能够满足《环境空气质量标准》</w:t>
            </w:r>
            <w:r>
              <w:rPr>
                <w:rFonts w:hint="eastAsia" w:ascii="Times New Roman" w:hAnsi="Times New Roman" w:eastAsia="宋体" w:cs="Times New Roman"/>
                <w:color w:val="000000"/>
                <w:sz w:val="24"/>
                <w:lang w:val="en-US" w:eastAsia="zh-CN"/>
              </w:rPr>
              <w:t>（GB3095-2026）</w:t>
            </w:r>
            <w:r>
              <w:rPr>
                <w:rFonts w:hint="default" w:ascii="Times New Roman" w:hAnsi="Times New Roman" w:cs="Times New Roman"/>
                <w:color w:val="000000" w:themeColor="text1"/>
                <w:kern w:val="0"/>
                <w:sz w:val="24"/>
              </w:rPr>
              <w:t>要求</w:t>
            </w:r>
            <w:r>
              <w:rPr>
                <w:rFonts w:hint="default" w:ascii="Times New Roman" w:hAnsi="Times New Roman" w:cs="Times New Roman"/>
                <w:color w:val="000000" w:themeColor="text1"/>
                <w:sz w:val="24"/>
                <w:szCs w:val="32"/>
              </w:rPr>
              <w:t>。</w:t>
            </w:r>
          </w:p>
          <w:p w14:paraId="0B20F902">
            <w:pPr>
              <w:adjustRightInd w:val="0"/>
              <w:spacing w:line="360" w:lineRule="auto"/>
              <w:ind w:firstLine="480"/>
              <w:textAlignment w:val="baseline"/>
              <w:rPr>
                <w:rFonts w:hint="default" w:ascii="Times New Roman" w:hAnsi="Times New Roman" w:cs="Times New Roman"/>
                <w:color w:val="000000" w:themeColor="text1"/>
                <w:sz w:val="24"/>
              </w:rPr>
            </w:pPr>
            <w:r>
              <w:rPr>
                <w:rFonts w:hint="default" w:ascii="Times New Roman" w:hAnsi="Times New Roman" w:cs="Times New Roman"/>
                <w:color w:val="000000" w:themeColor="text1"/>
                <w:sz w:val="24"/>
              </w:rPr>
              <w:t>二、</w:t>
            </w:r>
            <w:r>
              <w:rPr>
                <w:rFonts w:hint="default" w:ascii="Times New Roman" w:hAnsi="Times New Roman" w:cs="Times New Roman"/>
                <w:color w:val="000000" w:themeColor="text1"/>
                <w:sz w:val="24"/>
                <w:lang w:val="zh-CN"/>
              </w:rPr>
              <w:t>地表水环境质量现状评价</w:t>
            </w:r>
          </w:p>
          <w:p w14:paraId="1B385BF2">
            <w:pPr>
              <w:adjustRightInd w:val="0"/>
              <w:spacing w:line="360" w:lineRule="auto"/>
              <w:ind w:firstLine="480"/>
              <w:textAlignment w:val="baseline"/>
              <w:rPr>
                <w:rFonts w:hint="eastAsia" w:ascii="Times New Roman" w:hAnsi="Times New Roman" w:cs="Times New Roman"/>
                <w:color w:val="000000" w:themeColor="text1"/>
                <w:sz w:val="24"/>
                <w:lang w:val="en-US" w:eastAsia="zh-CN"/>
              </w:rPr>
            </w:pPr>
            <w:r>
              <w:rPr>
                <w:rFonts w:hint="default" w:ascii="Times New Roman" w:hAnsi="Times New Roman" w:cs="Times New Roman"/>
                <w:color w:val="000000" w:themeColor="text1"/>
                <w:sz w:val="24"/>
              </w:rPr>
              <w:t>本项目区域</w:t>
            </w:r>
            <w:r>
              <w:rPr>
                <w:rFonts w:hint="eastAsia" w:ascii="Times New Roman" w:hAnsi="Times New Roman" w:cs="Times New Roman"/>
                <w:color w:val="000000" w:themeColor="text1"/>
                <w:sz w:val="24"/>
                <w:lang w:val="en-US" w:eastAsia="zh-CN"/>
              </w:rPr>
              <w:t>涉及的地表水主要为岱河，岱河汇入龙河，本次评价岱河地表水质监测数据引用</w:t>
            </w:r>
            <w:r>
              <w:rPr>
                <w:rFonts w:hint="default" w:ascii="Times New Roman" w:hAnsi="Times New Roman" w:cs="Times New Roman"/>
                <w:color w:val="000000" w:themeColor="text1"/>
                <w:sz w:val="24"/>
              </w:rPr>
              <w:t>《安徽淮北杜集经济开发区总体发展规划（2023-2035 年）环境影响报告书》中现状监测数据</w:t>
            </w:r>
            <w:r>
              <w:rPr>
                <w:rFonts w:hint="eastAsia" w:ascii="Times New Roman" w:hAnsi="Times New Roman" w:cs="Times New Roman"/>
                <w:color w:val="000000" w:themeColor="text1"/>
                <w:sz w:val="24"/>
                <w:lang w:eastAsia="zh-CN"/>
              </w:rPr>
              <w:t>，</w:t>
            </w:r>
            <w:r>
              <w:rPr>
                <w:rFonts w:hint="eastAsia" w:ascii="Times New Roman" w:hAnsi="Times New Roman" w:cs="Times New Roman"/>
                <w:color w:val="000000" w:themeColor="text1"/>
                <w:sz w:val="24"/>
                <w:lang w:val="en-US" w:eastAsia="zh-CN"/>
              </w:rPr>
              <w:t>监测时间为2023年7月，具体监测结果如下表所示：</w:t>
            </w:r>
          </w:p>
          <w:p w14:paraId="7772080E">
            <w:pPr>
              <w:adjustRightInd w:val="0"/>
              <w:snapToGrid w:val="0"/>
              <w:jc w:val="center"/>
              <w:rPr>
                <w:rFonts w:hint="eastAsia" w:ascii="Times New Roman" w:hAnsi="Times New Roman" w:eastAsia="宋体" w:cs="Times New Roman"/>
                <w:b/>
                <w:bCs/>
                <w:color w:val="000000" w:themeColor="text1"/>
                <w:sz w:val="24"/>
                <w:lang w:val="en-US" w:eastAsia="zh-CN"/>
              </w:rPr>
            </w:pPr>
            <w:r>
              <w:rPr>
                <w:rFonts w:hint="eastAsia" w:ascii="Times New Roman" w:hAnsi="Times New Roman" w:eastAsia="宋体" w:cs="Times New Roman"/>
                <w:b/>
                <w:bCs/>
                <w:color w:val="000000" w:themeColor="text1"/>
                <w:sz w:val="24"/>
                <w:lang w:val="en-US" w:eastAsia="zh-CN"/>
              </w:rPr>
              <w:t>表3-4  项目所在区域地表水水质现状监测结果  单位：mg/L（pH除外）</w:t>
            </w:r>
          </w:p>
          <w:tbl>
            <w:tblPr>
              <w:tblStyle w:val="3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3"/>
              <w:gridCol w:w="1538"/>
              <w:gridCol w:w="870"/>
              <w:gridCol w:w="928"/>
              <w:gridCol w:w="949"/>
              <w:gridCol w:w="976"/>
              <w:gridCol w:w="883"/>
              <w:gridCol w:w="883"/>
            </w:tblGrid>
            <w:tr w14:paraId="3BF15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6" w:type="dxa"/>
                  <w:noWrap w:val="0"/>
                  <w:vAlign w:val="center"/>
                </w:tcPr>
                <w:p w14:paraId="23101E56">
                  <w:pPr>
                    <w:jc w:val="center"/>
                    <w:textAlignment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监测断面</w:t>
                  </w:r>
                </w:p>
              </w:tc>
              <w:tc>
                <w:tcPr>
                  <w:tcW w:w="986" w:type="dxa"/>
                  <w:noWrap w:val="0"/>
                  <w:vAlign w:val="center"/>
                </w:tcPr>
                <w:p w14:paraId="75F5BDF0">
                  <w:pPr>
                    <w:jc w:val="center"/>
                    <w:textAlignment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日期</w:t>
                  </w:r>
                </w:p>
              </w:tc>
              <w:tc>
                <w:tcPr>
                  <w:tcW w:w="953" w:type="dxa"/>
                  <w:noWrap w:val="0"/>
                  <w:vAlign w:val="center"/>
                </w:tcPr>
                <w:p w14:paraId="35F8144A">
                  <w:pPr>
                    <w:jc w:val="center"/>
                    <w:textAlignment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pH</w:t>
                  </w:r>
                </w:p>
              </w:tc>
              <w:tc>
                <w:tcPr>
                  <w:tcW w:w="985" w:type="dxa"/>
                  <w:noWrap w:val="0"/>
                  <w:vAlign w:val="center"/>
                </w:tcPr>
                <w:p w14:paraId="42F954F7">
                  <w:pPr>
                    <w:jc w:val="center"/>
                    <w:textAlignment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COD</w:t>
                  </w:r>
                </w:p>
              </w:tc>
              <w:tc>
                <w:tcPr>
                  <w:tcW w:w="996" w:type="dxa"/>
                  <w:noWrap w:val="0"/>
                  <w:vAlign w:val="center"/>
                </w:tcPr>
                <w:p w14:paraId="01EE7E5A">
                  <w:pPr>
                    <w:jc w:val="center"/>
                    <w:textAlignment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BOD</w:t>
                  </w:r>
                  <w:r>
                    <w:rPr>
                      <w:rFonts w:hint="eastAsia" w:ascii="Times New Roman" w:hAnsi="Times New Roman" w:eastAsia="宋体" w:cs="Times New Roman"/>
                      <w:b w:val="0"/>
                      <w:bCs w:val="0"/>
                      <w:color w:val="000000" w:themeColor="text1"/>
                      <w:sz w:val="21"/>
                      <w:szCs w:val="21"/>
                      <w:vertAlign w:val="subscript"/>
                      <w:lang w:val="en-US" w:eastAsia="zh-CN"/>
                    </w:rPr>
                    <w:t>5</w:t>
                  </w:r>
                </w:p>
              </w:tc>
              <w:tc>
                <w:tcPr>
                  <w:tcW w:w="1011" w:type="dxa"/>
                  <w:noWrap w:val="0"/>
                  <w:vAlign w:val="center"/>
                </w:tcPr>
                <w:p w14:paraId="4C30ED34">
                  <w:pPr>
                    <w:jc w:val="center"/>
                    <w:textAlignment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NH</w:t>
                  </w:r>
                  <w:r>
                    <w:rPr>
                      <w:rFonts w:hint="eastAsia" w:ascii="Times New Roman" w:hAnsi="Times New Roman" w:eastAsia="宋体" w:cs="Times New Roman"/>
                      <w:b w:val="0"/>
                      <w:bCs w:val="0"/>
                      <w:color w:val="000000" w:themeColor="text1"/>
                      <w:sz w:val="21"/>
                      <w:szCs w:val="21"/>
                      <w:vertAlign w:val="subscript"/>
                      <w:lang w:val="en-US" w:eastAsia="zh-CN"/>
                    </w:rPr>
                    <w:t>3</w:t>
                  </w:r>
                  <w:r>
                    <w:rPr>
                      <w:rFonts w:hint="eastAsia" w:ascii="Times New Roman" w:hAnsi="Times New Roman" w:eastAsia="宋体" w:cs="Times New Roman"/>
                      <w:b w:val="0"/>
                      <w:bCs w:val="0"/>
                      <w:color w:val="000000" w:themeColor="text1"/>
                      <w:sz w:val="21"/>
                      <w:szCs w:val="21"/>
                      <w:lang w:val="en-US" w:eastAsia="zh-CN"/>
                    </w:rPr>
                    <w:t>-N</w:t>
                  </w:r>
                </w:p>
              </w:tc>
              <w:tc>
                <w:tcPr>
                  <w:tcW w:w="946" w:type="dxa"/>
                  <w:noWrap w:val="0"/>
                  <w:vAlign w:val="center"/>
                </w:tcPr>
                <w:p w14:paraId="60F8E2FC">
                  <w:pPr>
                    <w:jc w:val="center"/>
                    <w:textAlignment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总磷</w:t>
                  </w:r>
                </w:p>
              </w:tc>
              <w:tc>
                <w:tcPr>
                  <w:tcW w:w="946" w:type="dxa"/>
                  <w:noWrap w:val="0"/>
                  <w:vAlign w:val="center"/>
                </w:tcPr>
                <w:p w14:paraId="270469AE">
                  <w:pPr>
                    <w:jc w:val="center"/>
                    <w:textAlignment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石油类</w:t>
                  </w:r>
                </w:p>
              </w:tc>
            </w:tr>
            <w:tr w14:paraId="549057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6" w:type="dxa"/>
                  <w:noWrap w:val="0"/>
                  <w:vAlign w:val="center"/>
                </w:tcPr>
                <w:p w14:paraId="288D1746">
                  <w:pPr>
                    <w:jc w:val="center"/>
                    <w:textAlignment w:val="center"/>
                    <w:rPr>
                      <w:rFonts w:hint="default" w:ascii="Times New Roman" w:hAnsi="Times New Roman" w:eastAsia="宋体" w:cs="Times New Roman"/>
                      <w:b w:val="0"/>
                      <w:bCs w:val="0"/>
                      <w:color w:val="000000" w:themeColor="text1"/>
                      <w:sz w:val="21"/>
                      <w:szCs w:val="21"/>
                      <w:lang w:val="en-US" w:eastAsia="zh-CN"/>
                    </w:rPr>
                  </w:pPr>
                  <w:r>
                    <w:rPr>
                      <w:rFonts w:hint="default" w:ascii="Times New Roman" w:hAnsi="Times New Roman" w:eastAsia="宋体" w:cs="Times New Roman"/>
                      <w:b w:val="0"/>
                      <w:bCs w:val="0"/>
                      <w:color w:val="000000" w:themeColor="text1"/>
                      <w:sz w:val="21"/>
                      <w:szCs w:val="21"/>
                      <w:lang w:val="en-US" w:eastAsia="zh-CN"/>
                    </w:rPr>
                    <w:t>东山北路断面</w:t>
                  </w:r>
                </w:p>
              </w:tc>
              <w:tc>
                <w:tcPr>
                  <w:tcW w:w="986" w:type="dxa"/>
                  <w:vMerge w:val="restart"/>
                  <w:noWrap w:val="0"/>
                  <w:vAlign w:val="center"/>
                </w:tcPr>
                <w:p w14:paraId="2FB989F1">
                  <w:pPr>
                    <w:jc w:val="center"/>
                    <w:textAlignment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2023.7.16~7.18</w:t>
                  </w:r>
                </w:p>
              </w:tc>
              <w:tc>
                <w:tcPr>
                  <w:tcW w:w="953" w:type="dxa"/>
                  <w:noWrap w:val="0"/>
                  <w:vAlign w:val="center"/>
                </w:tcPr>
                <w:p w14:paraId="45E0C1A4">
                  <w:pPr>
                    <w:jc w:val="center"/>
                    <w:textAlignment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7.5</w:t>
                  </w:r>
                </w:p>
              </w:tc>
              <w:tc>
                <w:tcPr>
                  <w:tcW w:w="985" w:type="dxa"/>
                  <w:noWrap w:val="0"/>
                  <w:vAlign w:val="center"/>
                </w:tcPr>
                <w:p w14:paraId="028E8232">
                  <w:pPr>
                    <w:jc w:val="center"/>
                    <w:textAlignment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23</w:t>
                  </w:r>
                </w:p>
              </w:tc>
              <w:tc>
                <w:tcPr>
                  <w:tcW w:w="996" w:type="dxa"/>
                  <w:noWrap w:val="0"/>
                  <w:vAlign w:val="center"/>
                </w:tcPr>
                <w:p w14:paraId="0EB4942F">
                  <w:pPr>
                    <w:jc w:val="center"/>
                    <w:textAlignment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4.2</w:t>
                  </w:r>
                </w:p>
              </w:tc>
              <w:tc>
                <w:tcPr>
                  <w:tcW w:w="1011" w:type="dxa"/>
                  <w:noWrap w:val="0"/>
                  <w:vAlign w:val="center"/>
                </w:tcPr>
                <w:p w14:paraId="519991B3">
                  <w:pPr>
                    <w:jc w:val="center"/>
                    <w:textAlignment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0.19</w:t>
                  </w:r>
                </w:p>
              </w:tc>
              <w:tc>
                <w:tcPr>
                  <w:tcW w:w="946" w:type="dxa"/>
                  <w:noWrap w:val="0"/>
                  <w:vAlign w:val="center"/>
                </w:tcPr>
                <w:p w14:paraId="0D36AFAB">
                  <w:pPr>
                    <w:jc w:val="center"/>
                    <w:textAlignment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0.19</w:t>
                  </w:r>
                </w:p>
              </w:tc>
              <w:tc>
                <w:tcPr>
                  <w:tcW w:w="946" w:type="dxa"/>
                  <w:noWrap w:val="0"/>
                  <w:vAlign w:val="center"/>
                </w:tcPr>
                <w:p w14:paraId="57361B7F">
                  <w:pPr>
                    <w:jc w:val="center"/>
                    <w:textAlignment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0.03</w:t>
                  </w:r>
                </w:p>
              </w:tc>
            </w:tr>
            <w:tr w14:paraId="03C6E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6" w:type="dxa"/>
                  <w:noWrap w:val="0"/>
                  <w:vAlign w:val="center"/>
                </w:tcPr>
                <w:p w14:paraId="3FC6022C">
                  <w:pPr>
                    <w:jc w:val="center"/>
                    <w:textAlignment w:val="center"/>
                    <w:rPr>
                      <w:rFonts w:hint="default" w:ascii="Times New Roman" w:hAnsi="Times New Roman" w:eastAsia="宋体" w:cs="Times New Roman"/>
                      <w:b w:val="0"/>
                      <w:bCs w:val="0"/>
                      <w:color w:val="000000" w:themeColor="text1"/>
                      <w:sz w:val="21"/>
                      <w:szCs w:val="21"/>
                      <w:lang w:val="en-US" w:eastAsia="zh-CN"/>
                    </w:rPr>
                  </w:pPr>
                  <w:r>
                    <w:rPr>
                      <w:rFonts w:hint="default" w:ascii="Times New Roman" w:hAnsi="Times New Roman" w:eastAsia="宋体" w:cs="Times New Roman"/>
                      <w:b w:val="0"/>
                      <w:bCs w:val="0"/>
                      <w:color w:val="000000" w:themeColor="text1"/>
                      <w:sz w:val="21"/>
                      <w:szCs w:val="21"/>
                      <w:lang w:val="en-US" w:eastAsia="zh-CN"/>
                    </w:rPr>
                    <w:t>北外环路断面</w:t>
                  </w:r>
                </w:p>
              </w:tc>
              <w:tc>
                <w:tcPr>
                  <w:tcW w:w="986" w:type="dxa"/>
                  <w:vMerge w:val="continue"/>
                  <w:noWrap w:val="0"/>
                  <w:vAlign w:val="center"/>
                </w:tcPr>
                <w:p w14:paraId="2E9985CB">
                  <w:pPr>
                    <w:jc w:val="center"/>
                    <w:textAlignment w:val="center"/>
                    <w:rPr>
                      <w:rFonts w:hint="default" w:ascii="Times New Roman" w:hAnsi="Times New Roman" w:eastAsia="宋体" w:cs="Times New Roman"/>
                      <w:b w:val="0"/>
                      <w:bCs w:val="0"/>
                      <w:color w:val="000000" w:themeColor="text1"/>
                      <w:sz w:val="21"/>
                      <w:szCs w:val="21"/>
                      <w:lang w:val="en-US" w:eastAsia="zh-CN"/>
                    </w:rPr>
                  </w:pPr>
                </w:p>
              </w:tc>
              <w:tc>
                <w:tcPr>
                  <w:tcW w:w="953" w:type="dxa"/>
                  <w:noWrap w:val="0"/>
                  <w:vAlign w:val="center"/>
                </w:tcPr>
                <w:p w14:paraId="30B77D2C">
                  <w:pPr>
                    <w:jc w:val="center"/>
                    <w:textAlignment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7.5</w:t>
                  </w:r>
                </w:p>
              </w:tc>
              <w:tc>
                <w:tcPr>
                  <w:tcW w:w="985" w:type="dxa"/>
                  <w:noWrap w:val="0"/>
                  <w:vAlign w:val="center"/>
                </w:tcPr>
                <w:p w14:paraId="05F8D2A3">
                  <w:pPr>
                    <w:jc w:val="center"/>
                    <w:textAlignment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28</w:t>
                  </w:r>
                </w:p>
              </w:tc>
              <w:tc>
                <w:tcPr>
                  <w:tcW w:w="996" w:type="dxa"/>
                  <w:noWrap w:val="0"/>
                  <w:vAlign w:val="center"/>
                </w:tcPr>
                <w:p w14:paraId="54D78A32">
                  <w:pPr>
                    <w:jc w:val="center"/>
                    <w:textAlignment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5.2</w:t>
                  </w:r>
                </w:p>
              </w:tc>
              <w:tc>
                <w:tcPr>
                  <w:tcW w:w="1011" w:type="dxa"/>
                  <w:noWrap w:val="0"/>
                  <w:vAlign w:val="center"/>
                </w:tcPr>
                <w:p w14:paraId="75DB8253">
                  <w:pPr>
                    <w:jc w:val="center"/>
                    <w:textAlignment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0.196</w:t>
                  </w:r>
                </w:p>
              </w:tc>
              <w:tc>
                <w:tcPr>
                  <w:tcW w:w="946" w:type="dxa"/>
                  <w:noWrap w:val="0"/>
                  <w:vAlign w:val="center"/>
                </w:tcPr>
                <w:p w14:paraId="3937FCAC">
                  <w:pPr>
                    <w:jc w:val="center"/>
                    <w:textAlignment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0.17</w:t>
                  </w:r>
                </w:p>
              </w:tc>
              <w:tc>
                <w:tcPr>
                  <w:tcW w:w="946" w:type="dxa"/>
                  <w:noWrap w:val="0"/>
                  <w:vAlign w:val="center"/>
                </w:tcPr>
                <w:p w14:paraId="6E6C0926">
                  <w:pPr>
                    <w:jc w:val="center"/>
                    <w:textAlignment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0.04</w:t>
                  </w:r>
                </w:p>
              </w:tc>
            </w:tr>
            <w:tr w14:paraId="6CCD8E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6" w:type="dxa"/>
                  <w:noWrap w:val="0"/>
                  <w:vAlign w:val="center"/>
                </w:tcPr>
                <w:p w14:paraId="5D21D8C5">
                  <w:pPr>
                    <w:jc w:val="center"/>
                    <w:textAlignment w:val="center"/>
                    <w:rPr>
                      <w:rFonts w:hint="default" w:ascii="Times New Roman" w:hAnsi="Times New Roman" w:eastAsia="宋体" w:cs="Times New Roman"/>
                      <w:b w:val="0"/>
                      <w:bCs w:val="0"/>
                      <w:color w:val="000000" w:themeColor="text1"/>
                      <w:sz w:val="21"/>
                      <w:szCs w:val="21"/>
                      <w:lang w:val="en-US" w:eastAsia="zh-CN"/>
                    </w:rPr>
                  </w:pPr>
                  <w:r>
                    <w:rPr>
                      <w:rFonts w:hint="default" w:ascii="Times New Roman" w:hAnsi="Times New Roman" w:eastAsia="宋体" w:cs="Times New Roman"/>
                      <w:b w:val="0"/>
                      <w:bCs w:val="0"/>
                      <w:color w:val="000000" w:themeColor="text1"/>
                      <w:sz w:val="21"/>
                      <w:szCs w:val="21"/>
                      <w:lang w:val="en-US" w:eastAsia="zh-CN"/>
                    </w:rPr>
                    <w:t>青年路断面</w:t>
                  </w:r>
                </w:p>
              </w:tc>
              <w:tc>
                <w:tcPr>
                  <w:tcW w:w="986" w:type="dxa"/>
                  <w:vMerge w:val="continue"/>
                  <w:noWrap w:val="0"/>
                  <w:vAlign w:val="center"/>
                </w:tcPr>
                <w:p w14:paraId="77FA740E">
                  <w:pPr>
                    <w:jc w:val="center"/>
                    <w:textAlignment w:val="center"/>
                    <w:rPr>
                      <w:rFonts w:hint="default" w:ascii="Times New Roman" w:hAnsi="Times New Roman" w:eastAsia="宋体" w:cs="Times New Roman"/>
                      <w:b w:val="0"/>
                      <w:bCs w:val="0"/>
                      <w:color w:val="000000" w:themeColor="text1"/>
                      <w:sz w:val="21"/>
                      <w:szCs w:val="21"/>
                      <w:lang w:val="en-US" w:eastAsia="zh-CN"/>
                    </w:rPr>
                  </w:pPr>
                </w:p>
              </w:tc>
              <w:tc>
                <w:tcPr>
                  <w:tcW w:w="953" w:type="dxa"/>
                  <w:noWrap w:val="0"/>
                  <w:vAlign w:val="center"/>
                </w:tcPr>
                <w:p w14:paraId="118BF8F5">
                  <w:pPr>
                    <w:jc w:val="center"/>
                    <w:textAlignment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7.5</w:t>
                  </w:r>
                </w:p>
              </w:tc>
              <w:tc>
                <w:tcPr>
                  <w:tcW w:w="985" w:type="dxa"/>
                  <w:noWrap w:val="0"/>
                  <w:vAlign w:val="center"/>
                </w:tcPr>
                <w:p w14:paraId="1917BE6C">
                  <w:pPr>
                    <w:jc w:val="center"/>
                    <w:textAlignment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24</w:t>
                  </w:r>
                </w:p>
              </w:tc>
              <w:tc>
                <w:tcPr>
                  <w:tcW w:w="996" w:type="dxa"/>
                  <w:noWrap w:val="0"/>
                  <w:vAlign w:val="center"/>
                </w:tcPr>
                <w:p w14:paraId="3881CACD">
                  <w:pPr>
                    <w:jc w:val="center"/>
                    <w:textAlignment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5.7</w:t>
                  </w:r>
                </w:p>
              </w:tc>
              <w:tc>
                <w:tcPr>
                  <w:tcW w:w="1011" w:type="dxa"/>
                  <w:noWrap w:val="0"/>
                  <w:vAlign w:val="center"/>
                </w:tcPr>
                <w:p w14:paraId="37E5A561">
                  <w:pPr>
                    <w:jc w:val="center"/>
                    <w:textAlignment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0.21</w:t>
                  </w:r>
                </w:p>
              </w:tc>
              <w:tc>
                <w:tcPr>
                  <w:tcW w:w="946" w:type="dxa"/>
                  <w:noWrap w:val="0"/>
                  <w:vAlign w:val="center"/>
                </w:tcPr>
                <w:p w14:paraId="2E4D60DB">
                  <w:pPr>
                    <w:jc w:val="center"/>
                    <w:textAlignment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0.16</w:t>
                  </w:r>
                </w:p>
              </w:tc>
              <w:tc>
                <w:tcPr>
                  <w:tcW w:w="946" w:type="dxa"/>
                  <w:noWrap w:val="0"/>
                  <w:vAlign w:val="center"/>
                </w:tcPr>
                <w:p w14:paraId="581ECFE3">
                  <w:pPr>
                    <w:jc w:val="center"/>
                    <w:textAlignment w:val="center"/>
                    <w:rPr>
                      <w:rFonts w:hint="default" w:ascii="Times New Roman" w:hAnsi="Times New Roman" w:eastAsia="宋体" w:cs="Times New Roman"/>
                      <w:b w:val="0"/>
                      <w:bCs w:val="0"/>
                      <w:color w:val="000000" w:themeColor="text1"/>
                      <w:sz w:val="21"/>
                      <w:szCs w:val="21"/>
                      <w:lang w:val="en-US" w:eastAsia="zh-CN"/>
                    </w:rPr>
                  </w:pPr>
                  <w:r>
                    <w:rPr>
                      <w:rFonts w:hint="eastAsia" w:ascii="Times New Roman" w:hAnsi="Times New Roman" w:eastAsia="宋体" w:cs="Times New Roman"/>
                      <w:b w:val="0"/>
                      <w:bCs w:val="0"/>
                      <w:color w:val="000000" w:themeColor="text1"/>
                      <w:sz w:val="21"/>
                      <w:szCs w:val="21"/>
                      <w:lang w:val="en-US" w:eastAsia="zh-CN"/>
                    </w:rPr>
                    <w:t>0.03</w:t>
                  </w:r>
                </w:p>
              </w:tc>
            </w:tr>
          </w:tbl>
          <w:p w14:paraId="26FA0E3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rPr>
            </w:pPr>
            <w:r>
              <w:rPr>
                <w:rFonts w:hint="default" w:ascii="Times New Roman" w:hAnsi="Times New Roman" w:eastAsia="宋体" w:cs="Times New Roman"/>
                <w:color w:val="000000" w:themeColor="text1"/>
                <w:sz w:val="24"/>
                <w:szCs w:val="24"/>
              </w:rPr>
              <w:t>监测结果表明，</w:t>
            </w:r>
            <w:r>
              <w:rPr>
                <w:rFonts w:hint="default" w:ascii="Times New Roman" w:hAnsi="Times New Roman" w:eastAsia="宋体" w:cs="Times New Roman"/>
                <w:bCs/>
                <w:color w:val="000000" w:themeColor="text1"/>
                <w:sz w:val="24"/>
                <w:szCs w:val="24"/>
              </w:rPr>
              <w:t>岱河</w:t>
            </w:r>
            <w:r>
              <w:rPr>
                <w:rFonts w:hint="default" w:ascii="Times New Roman" w:hAnsi="Times New Roman" w:eastAsia="宋体" w:cs="Times New Roman"/>
                <w:color w:val="000000" w:themeColor="text1"/>
                <w:sz w:val="24"/>
                <w:szCs w:val="24"/>
              </w:rPr>
              <w:t>各监测断面各监测因子均能满足《地表水环境质量标准》（GB3838-2002）中</w:t>
            </w:r>
            <w:r>
              <w:rPr>
                <w:rFonts w:hint="default" w:ascii="Times New Roman" w:hAnsi="Times New Roman" w:eastAsia="宋体" w:cs="Times New Roman"/>
                <w:bCs/>
                <w:color w:val="000000" w:themeColor="text1"/>
                <w:sz w:val="24"/>
                <w:szCs w:val="24"/>
              </w:rPr>
              <w:t>Ⅳ</w:t>
            </w:r>
            <w:r>
              <w:rPr>
                <w:rFonts w:hint="default" w:ascii="Times New Roman" w:hAnsi="Times New Roman" w:eastAsia="宋体" w:cs="Times New Roman"/>
                <w:color w:val="000000" w:themeColor="text1"/>
                <w:sz w:val="24"/>
                <w:szCs w:val="24"/>
              </w:rPr>
              <w:t>类水质标准要求。</w:t>
            </w:r>
          </w:p>
          <w:p w14:paraId="021F230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rPr>
            </w:pPr>
            <w:r>
              <w:rPr>
                <w:rFonts w:hint="eastAsia" w:cs="Times New Roman"/>
                <w:color w:val="000000" w:themeColor="text1"/>
                <w:sz w:val="24"/>
                <w:lang w:val="en-US" w:eastAsia="zh-CN"/>
              </w:rPr>
              <w:t>根据</w:t>
            </w:r>
            <w:r>
              <w:rPr>
                <w:rFonts w:hint="default" w:ascii="Times New Roman" w:hAnsi="Times New Roman" w:cs="Times New Roman"/>
                <w:color w:val="000000" w:themeColor="text1"/>
                <w:sz w:val="24"/>
              </w:rPr>
              <w:t>《安徽淮北杜集经济开发区总体发展规划（2023-2035 年）环境影响报告书》</w:t>
            </w:r>
            <w:r>
              <w:rPr>
                <w:rFonts w:hint="eastAsia" w:ascii="Times New Roman" w:hAnsi="Times New Roman" w:cs="Times New Roman"/>
                <w:color w:val="000000" w:themeColor="text1"/>
                <w:sz w:val="24"/>
                <w:lang w:val="en-US" w:eastAsia="zh-CN"/>
              </w:rPr>
              <w:t>中关于龙河水质的分析，</w:t>
            </w:r>
            <w:r>
              <w:rPr>
                <w:rFonts w:eastAsiaTheme="minorEastAsia"/>
                <w:color w:val="000000" w:themeColor="text1"/>
                <w:kern w:val="0"/>
                <w:sz w:val="24"/>
                <w:szCs w:val="24"/>
              </w:rPr>
              <w:t>龙河水质稳定，化学需氧量、氨氮、高锰酸盐指数、总磷等污染物均有总体下降的趋势</w:t>
            </w:r>
            <w:r>
              <w:rPr>
                <w:rFonts w:hint="eastAsia" w:eastAsiaTheme="minorEastAsia"/>
                <w:color w:val="000000" w:themeColor="text1"/>
                <w:kern w:val="0"/>
                <w:sz w:val="24"/>
                <w:szCs w:val="24"/>
                <w:lang w:eastAsia="zh-CN"/>
              </w:rPr>
              <w:t>，</w:t>
            </w:r>
            <w:r>
              <w:rPr>
                <w:rFonts w:hint="eastAsia" w:eastAsiaTheme="minorEastAsia"/>
                <w:color w:val="000000" w:themeColor="text1"/>
                <w:kern w:val="0"/>
                <w:sz w:val="24"/>
                <w:szCs w:val="24"/>
                <w:lang w:val="en-US" w:eastAsia="zh-CN"/>
              </w:rPr>
              <w:t>水质满足</w:t>
            </w:r>
            <w:r>
              <w:rPr>
                <w:rFonts w:hint="default" w:ascii="Times New Roman" w:hAnsi="Times New Roman" w:eastAsia="宋体" w:cs="Times New Roman"/>
                <w:color w:val="000000" w:themeColor="text1"/>
                <w:sz w:val="24"/>
                <w:szCs w:val="24"/>
              </w:rPr>
              <w:t>《地表水环境质量标准》（GB3838-2002）中</w:t>
            </w:r>
            <w:r>
              <w:rPr>
                <w:rFonts w:hint="default" w:ascii="Times New Roman" w:hAnsi="Times New Roman" w:eastAsia="宋体" w:cs="Times New Roman"/>
                <w:bCs/>
                <w:color w:val="000000" w:themeColor="text1"/>
                <w:sz w:val="24"/>
                <w:szCs w:val="24"/>
              </w:rPr>
              <w:t>Ⅳ</w:t>
            </w:r>
            <w:r>
              <w:rPr>
                <w:rFonts w:hint="default" w:ascii="Times New Roman" w:hAnsi="Times New Roman" w:eastAsia="宋体" w:cs="Times New Roman"/>
                <w:color w:val="000000" w:themeColor="text1"/>
                <w:sz w:val="24"/>
                <w:szCs w:val="24"/>
              </w:rPr>
              <w:t>类水质标准要求。</w:t>
            </w:r>
          </w:p>
          <w:p w14:paraId="0E2A6D1D">
            <w:pPr>
              <w:adjustRightInd w:val="0"/>
              <w:spacing w:line="360" w:lineRule="auto"/>
              <w:ind w:firstLine="480"/>
              <w:textAlignment w:val="baseline"/>
              <w:rPr>
                <w:rFonts w:hint="default" w:ascii="Times New Roman" w:hAnsi="Times New Roman" w:cs="Times New Roman"/>
                <w:color w:val="000000" w:themeColor="text1"/>
                <w:sz w:val="24"/>
                <w:lang w:val="zh-CN"/>
              </w:rPr>
            </w:pPr>
            <w:r>
              <w:rPr>
                <w:rFonts w:hint="default" w:ascii="Times New Roman" w:hAnsi="Times New Roman" w:cs="Times New Roman"/>
                <w:color w:val="000000" w:themeColor="text1"/>
                <w:sz w:val="24"/>
              </w:rPr>
              <w:t>三、</w:t>
            </w:r>
            <w:r>
              <w:rPr>
                <w:rFonts w:hint="default" w:ascii="Times New Roman" w:hAnsi="Times New Roman" w:cs="Times New Roman"/>
                <w:color w:val="000000" w:themeColor="text1"/>
                <w:sz w:val="24"/>
                <w:lang w:val="zh-CN"/>
              </w:rPr>
              <w:t>声环境质量现状监测与评价</w:t>
            </w:r>
          </w:p>
          <w:p w14:paraId="3EBACE01">
            <w:pPr>
              <w:spacing w:line="360" w:lineRule="auto"/>
              <w:ind w:firstLine="480" w:firstLineChars="200"/>
              <w:rPr>
                <w:rFonts w:hint="eastAsia"/>
                <w:color w:val="000000" w:themeColor="text1"/>
                <w:kern w:val="0"/>
                <w:sz w:val="24"/>
                <w:szCs w:val="24"/>
              </w:rPr>
            </w:pPr>
            <w:r>
              <w:rPr>
                <w:rFonts w:hint="eastAsia"/>
                <w:color w:val="000000" w:themeColor="text1"/>
                <w:kern w:val="0"/>
                <w:sz w:val="24"/>
                <w:szCs w:val="24"/>
              </w:rPr>
              <w:t>项目厂界外50m范围内有声环境保护目标，本次评价根据《建设项目环境影响报告表编制技术指南(污染影响类)(试行)》要求，监测保护目标声环境质量现状并评价达标情况。</w:t>
            </w:r>
            <w:r>
              <w:rPr>
                <w:rFonts w:hint="eastAsia"/>
                <w:color w:val="000000" w:themeColor="text1"/>
                <w:kern w:val="0"/>
                <w:sz w:val="24"/>
                <w:szCs w:val="24"/>
                <w:lang w:val="en-US" w:eastAsia="zh-CN"/>
              </w:rPr>
              <w:t>因企业夜间不生产，故本次声环境保护目标仅监测昼间噪声，</w:t>
            </w:r>
            <w:r>
              <w:rPr>
                <w:rFonts w:hint="eastAsia"/>
                <w:color w:val="000000" w:themeColor="text1"/>
                <w:kern w:val="0"/>
                <w:sz w:val="24"/>
                <w:szCs w:val="24"/>
              </w:rPr>
              <w:t>监测结果及评价结果如下表3-</w:t>
            </w:r>
            <w:r>
              <w:rPr>
                <w:rFonts w:hint="eastAsia"/>
                <w:color w:val="000000" w:themeColor="text1"/>
                <w:kern w:val="0"/>
                <w:sz w:val="24"/>
                <w:szCs w:val="24"/>
                <w:lang w:val="en-US" w:eastAsia="zh-CN"/>
              </w:rPr>
              <w:t>5</w:t>
            </w:r>
            <w:r>
              <w:rPr>
                <w:rFonts w:hint="eastAsia"/>
                <w:color w:val="000000" w:themeColor="text1"/>
                <w:kern w:val="0"/>
                <w:sz w:val="24"/>
                <w:szCs w:val="24"/>
              </w:rPr>
              <w:t>。由统计结果可知，保护目标声环境质量现状能够满足《声环境质量标准》(GB 3096-2008)中</w:t>
            </w:r>
            <w:r>
              <w:rPr>
                <w:rFonts w:hint="eastAsia"/>
                <w:color w:val="000000" w:themeColor="text1"/>
                <w:kern w:val="0"/>
                <w:sz w:val="24"/>
                <w:szCs w:val="24"/>
                <w:lang w:val="en-US" w:eastAsia="zh-CN"/>
              </w:rPr>
              <w:t>2</w:t>
            </w:r>
            <w:r>
              <w:rPr>
                <w:rFonts w:hint="eastAsia"/>
                <w:color w:val="000000" w:themeColor="text1"/>
                <w:kern w:val="0"/>
                <w:sz w:val="24"/>
                <w:szCs w:val="24"/>
              </w:rPr>
              <w:t>类区限值要求。</w:t>
            </w:r>
          </w:p>
          <w:p w14:paraId="082B6645">
            <w:pPr>
              <w:pStyle w:val="158"/>
              <w:spacing w:before="60" w:beforeLines="0" w:line="320" w:lineRule="exact"/>
              <w:rPr>
                <w:color w:val="000000" w:themeColor="text1"/>
              </w:rPr>
            </w:pPr>
            <w:r>
              <w:rPr>
                <w:rFonts w:hint="eastAsia"/>
                <w:color w:val="000000" w:themeColor="text1"/>
                <w:sz w:val="24"/>
                <w:szCs w:val="60"/>
              </w:rPr>
              <w:t>表3-</w:t>
            </w:r>
            <w:r>
              <w:rPr>
                <w:rFonts w:hint="eastAsia"/>
                <w:color w:val="000000" w:themeColor="text1"/>
                <w:sz w:val="24"/>
                <w:szCs w:val="60"/>
                <w:lang w:val="en-US" w:eastAsia="zh-CN"/>
              </w:rPr>
              <w:t>5</w:t>
            </w:r>
            <w:r>
              <w:rPr>
                <w:rFonts w:hint="eastAsia"/>
                <w:color w:val="000000" w:themeColor="text1"/>
                <w:sz w:val="24"/>
                <w:szCs w:val="60"/>
              </w:rPr>
              <w:t xml:space="preserve">  声环境质量现状及达标情况  单位：dB(A)</w:t>
            </w:r>
          </w:p>
          <w:tbl>
            <w:tblPr>
              <w:tblStyle w:val="34"/>
              <w:tblW w:w="4997"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275"/>
              <w:gridCol w:w="1282"/>
              <w:gridCol w:w="1070"/>
              <w:gridCol w:w="1158"/>
              <w:gridCol w:w="1056"/>
              <w:gridCol w:w="1283"/>
              <w:gridCol w:w="1286"/>
            </w:tblGrid>
            <w:tr w14:paraId="15DB81B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04" w:hRule="atLeast"/>
                <w:jc w:val="center"/>
              </w:trPr>
              <w:tc>
                <w:tcPr>
                  <w:tcW w:w="767" w:type="pct"/>
                  <w:vMerge w:val="restart"/>
                  <w:tcBorders>
                    <w:top w:val="single" w:color="auto" w:sz="2" w:space="0"/>
                    <w:left w:val="single" w:color="auto" w:sz="2" w:space="0"/>
                    <w:right w:val="single" w:color="auto" w:sz="2" w:space="0"/>
                  </w:tcBorders>
                  <w:vAlign w:val="center"/>
                </w:tcPr>
                <w:p w14:paraId="0121B1C2">
                  <w:pPr>
                    <w:pStyle w:val="85"/>
                    <w:keepNext w:val="0"/>
                    <w:keepLines w:val="0"/>
                    <w:pageBreakBefore w:val="0"/>
                    <w:widowControl w:val="0"/>
                    <w:kinsoku/>
                    <w:wordWrap/>
                    <w:overflowPunct/>
                    <w:topLinePunct w:val="0"/>
                    <w:autoSpaceDE/>
                    <w:autoSpaceDN/>
                    <w:bidi w:val="0"/>
                    <w:adjustRightInd w:val="0"/>
                    <w:snapToGrid w:val="0"/>
                    <w:spacing w:before="0" w:after="0" w:line="240" w:lineRule="auto"/>
                    <w:ind w:right="0"/>
                    <w:jc w:val="center"/>
                    <w:textAlignment w:val="auto"/>
                    <w:rPr>
                      <w:rFonts w:hint="eastAsia" w:eastAsia="宋体"/>
                      <w:b/>
                      <w:bCs/>
                      <w:color w:val="000000" w:themeColor="text1"/>
                      <w:sz w:val="21"/>
                      <w:szCs w:val="21"/>
                      <w:lang w:eastAsia="zh-CN"/>
                    </w:rPr>
                  </w:pPr>
                  <w:r>
                    <w:rPr>
                      <w:rFonts w:hint="eastAsia"/>
                      <w:b/>
                      <w:bCs/>
                      <w:color w:val="000000" w:themeColor="text1"/>
                      <w:sz w:val="21"/>
                      <w:szCs w:val="21"/>
                      <w:lang w:val="en-US" w:eastAsia="zh-CN"/>
                    </w:rPr>
                    <w:t>测点编号</w:t>
                  </w:r>
                </w:p>
              </w:tc>
              <w:tc>
                <w:tcPr>
                  <w:tcW w:w="771" w:type="pct"/>
                  <w:vMerge w:val="restart"/>
                  <w:tcBorders>
                    <w:top w:val="single" w:color="auto" w:sz="2" w:space="0"/>
                    <w:left w:val="single" w:color="auto" w:sz="2" w:space="0"/>
                    <w:right w:val="single" w:color="auto" w:sz="2" w:space="0"/>
                  </w:tcBorders>
                  <w:vAlign w:val="center"/>
                </w:tcPr>
                <w:p w14:paraId="44224B69">
                  <w:pPr>
                    <w:pStyle w:val="85"/>
                    <w:keepNext w:val="0"/>
                    <w:keepLines w:val="0"/>
                    <w:pageBreakBefore w:val="0"/>
                    <w:widowControl w:val="0"/>
                    <w:kinsoku/>
                    <w:wordWrap/>
                    <w:overflowPunct/>
                    <w:topLinePunct w:val="0"/>
                    <w:autoSpaceDE/>
                    <w:autoSpaceDN/>
                    <w:bidi w:val="0"/>
                    <w:adjustRightInd w:val="0"/>
                    <w:snapToGrid w:val="0"/>
                    <w:spacing w:before="0" w:after="0" w:line="240" w:lineRule="auto"/>
                    <w:ind w:right="0"/>
                    <w:jc w:val="center"/>
                    <w:textAlignment w:val="auto"/>
                    <w:rPr>
                      <w:rFonts w:hint="eastAsia" w:eastAsia="宋体"/>
                      <w:b/>
                      <w:bCs/>
                      <w:color w:val="000000" w:themeColor="text1"/>
                      <w:sz w:val="21"/>
                      <w:szCs w:val="21"/>
                      <w:lang w:eastAsia="zh-CN"/>
                    </w:rPr>
                  </w:pPr>
                  <w:r>
                    <w:rPr>
                      <w:rFonts w:hint="eastAsia"/>
                      <w:b/>
                      <w:bCs/>
                      <w:color w:val="000000" w:themeColor="text1"/>
                      <w:sz w:val="21"/>
                      <w:szCs w:val="21"/>
                      <w:lang w:val="en-US" w:eastAsia="zh-CN"/>
                    </w:rPr>
                    <w:t>测点位置</w:t>
                  </w:r>
                </w:p>
              </w:tc>
              <w:tc>
                <w:tcPr>
                  <w:tcW w:w="645" w:type="pct"/>
                  <w:vMerge w:val="restart"/>
                  <w:tcBorders>
                    <w:top w:val="single" w:color="auto" w:sz="2" w:space="0"/>
                    <w:left w:val="single" w:color="auto" w:sz="2" w:space="0"/>
                    <w:right w:val="single" w:color="auto" w:sz="4" w:space="0"/>
                  </w:tcBorders>
                  <w:vAlign w:val="center"/>
                </w:tcPr>
                <w:p w14:paraId="162A769F">
                  <w:pPr>
                    <w:pStyle w:val="85"/>
                    <w:keepNext w:val="0"/>
                    <w:keepLines w:val="0"/>
                    <w:pageBreakBefore w:val="0"/>
                    <w:widowControl w:val="0"/>
                    <w:kinsoku/>
                    <w:wordWrap/>
                    <w:overflowPunct/>
                    <w:topLinePunct w:val="0"/>
                    <w:autoSpaceDE/>
                    <w:autoSpaceDN/>
                    <w:bidi w:val="0"/>
                    <w:adjustRightInd w:val="0"/>
                    <w:snapToGrid w:val="0"/>
                    <w:spacing w:before="0" w:after="0" w:line="240" w:lineRule="auto"/>
                    <w:ind w:right="0"/>
                    <w:jc w:val="center"/>
                    <w:textAlignment w:val="auto"/>
                    <w:rPr>
                      <w:rFonts w:hint="eastAsia" w:eastAsia="宋体"/>
                      <w:b/>
                      <w:bCs/>
                      <w:color w:val="000000" w:themeColor="text1"/>
                      <w:sz w:val="21"/>
                      <w:szCs w:val="21"/>
                      <w:lang w:val="en-US" w:eastAsia="zh-CN"/>
                    </w:rPr>
                  </w:pPr>
                  <w:r>
                    <w:rPr>
                      <w:rFonts w:hint="eastAsia" w:eastAsia="宋体"/>
                      <w:b/>
                      <w:bCs/>
                      <w:color w:val="000000" w:themeColor="text1"/>
                      <w:sz w:val="21"/>
                      <w:szCs w:val="21"/>
                      <w:lang w:val="en-US" w:eastAsia="zh-CN"/>
                    </w:rPr>
                    <w:t>噪声来源</w:t>
                  </w:r>
                </w:p>
              </w:tc>
              <w:tc>
                <w:tcPr>
                  <w:tcW w:w="697" w:type="pct"/>
                  <w:vMerge w:val="restart"/>
                  <w:tcBorders>
                    <w:top w:val="single" w:color="auto" w:sz="2" w:space="0"/>
                    <w:left w:val="single" w:color="auto" w:sz="4" w:space="0"/>
                    <w:right w:val="single" w:color="auto" w:sz="2" w:space="0"/>
                  </w:tcBorders>
                  <w:vAlign w:val="center"/>
                </w:tcPr>
                <w:p w14:paraId="1BAD5BCE">
                  <w:pPr>
                    <w:pStyle w:val="85"/>
                    <w:keepNext w:val="0"/>
                    <w:keepLines w:val="0"/>
                    <w:pageBreakBefore w:val="0"/>
                    <w:widowControl w:val="0"/>
                    <w:kinsoku/>
                    <w:wordWrap/>
                    <w:overflowPunct/>
                    <w:topLinePunct w:val="0"/>
                    <w:autoSpaceDE/>
                    <w:autoSpaceDN/>
                    <w:bidi w:val="0"/>
                    <w:adjustRightInd w:val="0"/>
                    <w:snapToGrid w:val="0"/>
                    <w:spacing w:before="0" w:after="0" w:line="240" w:lineRule="auto"/>
                    <w:ind w:right="0"/>
                    <w:jc w:val="center"/>
                    <w:textAlignment w:val="auto"/>
                    <w:rPr>
                      <w:rFonts w:hint="eastAsia" w:eastAsia="宋体"/>
                      <w:b/>
                      <w:bCs/>
                      <w:color w:val="000000" w:themeColor="text1"/>
                      <w:sz w:val="21"/>
                      <w:szCs w:val="21"/>
                      <w:lang w:eastAsia="zh-CN"/>
                    </w:rPr>
                  </w:pPr>
                  <w:r>
                    <w:rPr>
                      <w:rFonts w:hint="eastAsia"/>
                      <w:b/>
                      <w:bCs/>
                      <w:color w:val="000000" w:themeColor="text1"/>
                      <w:sz w:val="21"/>
                      <w:szCs w:val="21"/>
                      <w:lang w:val="en-US" w:eastAsia="zh-CN"/>
                    </w:rPr>
                    <w:t>检测时段</w:t>
                  </w:r>
                </w:p>
              </w:tc>
              <w:tc>
                <w:tcPr>
                  <w:tcW w:w="573" w:type="pct"/>
                  <w:vMerge w:val="restart"/>
                  <w:tcBorders>
                    <w:top w:val="single" w:color="auto" w:sz="2" w:space="0"/>
                    <w:left w:val="single" w:color="auto" w:sz="2" w:space="0"/>
                    <w:right w:val="single" w:color="auto" w:sz="4" w:space="0"/>
                  </w:tcBorders>
                  <w:vAlign w:val="center"/>
                </w:tcPr>
                <w:p w14:paraId="5ABEFD8D">
                  <w:pPr>
                    <w:pStyle w:val="85"/>
                    <w:keepNext w:val="0"/>
                    <w:keepLines w:val="0"/>
                    <w:pageBreakBefore w:val="0"/>
                    <w:widowControl w:val="0"/>
                    <w:kinsoku/>
                    <w:wordWrap/>
                    <w:overflowPunct/>
                    <w:topLinePunct w:val="0"/>
                    <w:autoSpaceDE/>
                    <w:autoSpaceDN/>
                    <w:bidi w:val="0"/>
                    <w:adjustRightInd w:val="0"/>
                    <w:snapToGrid w:val="0"/>
                    <w:spacing w:before="0" w:after="0" w:line="240" w:lineRule="auto"/>
                    <w:ind w:right="0"/>
                    <w:jc w:val="center"/>
                    <w:textAlignment w:val="auto"/>
                    <w:rPr>
                      <w:rFonts w:hint="default" w:eastAsia="宋体"/>
                      <w:b/>
                      <w:bCs/>
                      <w:color w:val="000000" w:themeColor="text1"/>
                      <w:sz w:val="21"/>
                      <w:szCs w:val="21"/>
                      <w:lang w:val="en-US" w:eastAsia="zh-CN"/>
                    </w:rPr>
                  </w:pPr>
                  <w:r>
                    <w:rPr>
                      <w:rFonts w:hint="eastAsia" w:eastAsia="宋体"/>
                      <w:b/>
                      <w:bCs/>
                      <w:color w:val="000000" w:themeColor="text1"/>
                      <w:sz w:val="21"/>
                      <w:szCs w:val="21"/>
                      <w:lang w:val="en-US" w:eastAsia="zh-CN"/>
                    </w:rPr>
                    <w:t>检测时间</w:t>
                  </w:r>
                </w:p>
              </w:tc>
              <w:tc>
                <w:tcPr>
                  <w:tcW w:w="1544" w:type="pct"/>
                  <w:gridSpan w:val="2"/>
                  <w:tcBorders>
                    <w:top w:val="single" w:color="auto" w:sz="2" w:space="0"/>
                    <w:left w:val="single" w:color="auto" w:sz="4" w:space="0"/>
                    <w:bottom w:val="single" w:color="auto" w:sz="2" w:space="0"/>
                    <w:right w:val="single" w:color="auto" w:sz="2" w:space="0"/>
                  </w:tcBorders>
                  <w:vAlign w:val="center"/>
                </w:tcPr>
                <w:p w14:paraId="076C5AF1">
                  <w:pPr>
                    <w:pStyle w:val="85"/>
                    <w:keepNext w:val="0"/>
                    <w:keepLines w:val="0"/>
                    <w:pageBreakBefore w:val="0"/>
                    <w:widowControl w:val="0"/>
                    <w:kinsoku/>
                    <w:wordWrap/>
                    <w:overflowPunct/>
                    <w:topLinePunct w:val="0"/>
                    <w:autoSpaceDE/>
                    <w:autoSpaceDN/>
                    <w:bidi w:val="0"/>
                    <w:adjustRightInd w:val="0"/>
                    <w:snapToGrid w:val="0"/>
                    <w:spacing w:before="0" w:after="0" w:line="240" w:lineRule="auto"/>
                    <w:ind w:right="0"/>
                    <w:jc w:val="center"/>
                    <w:textAlignment w:val="auto"/>
                    <w:rPr>
                      <w:rFonts w:hint="default" w:eastAsia="宋体"/>
                      <w:b/>
                      <w:bCs/>
                      <w:color w:val="000000" w:themeColor="text1"/>
                      <w:sz w:val="21"/>
                      <w:szCs w:val="21"/>
                      <w:lang w:val="en-US" w:eastAsia="zh-CN"/>
                    </w:rPr>
                  </w:pPr>
                  <w:r>
                    <w:rPr>
                      <w:rFonts w:hint="eastAsia"/>
                      <w:b/>
                      <w:bCs/>
                      <w:color w:val="000000" w:themeColor="text1"/>
                      <w:sz w:val="21"/>
                      <w:szCs w:val="21"/>
                      <w:lang w:val="en-US" w:eastAsia="zh-CN"/>
                    </w:rPr>
                    <w:t>检测结果</w:t>
                  </w:r>
                </w:p>
              </w:tc>
            </w:tr>
            <w:tr w14:paraId="1D34DD4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22" w:hRule="atLeast"/>
                <w:jc w:val="center"/>
              </w:trPr>
              <w:tc>
                <w:tcPr>
                  <w:tcW w:w="767" w:type="pct"/>
                  <w:vMerge w:val="continue"/>
                  <w:tcBorders>
                    <w:left w:val="single" w:color="auto" w:sz="2" w:space="0"/>
                    <w:bottom w:val="single" w:color="auto" w:sz="2" w:space="0"/>
                    <w:right w:val="single" w:color="auto" w:sz="2" w:space="0"/>
                  </w:tcBorders>
                  <w:vAlign w:val="center"/>
                </w:tcPr>
                <w:p w14:paraId="7F0FDD6C">
                  <w:pPr>
                    <w:pStyle w:val="85"/>
                    <w:keepNext w:val="0"/>
                    <w:keepLines w:val="0"/>
                    <w:pageBreakBefore w:val="0"/>
                    <w:widowControl w:val="0"/>
                    <w:kinsoku/>
                    <w:wordWrap/>
                    <w:overflowPunct/>
                    <w:topLinePunct w:val="0"/>
                    <w:autoSpaceDE/>
                    <w:autoSpaceDN/>
                    <w:bidi w:val="0"/>
                    <w:adjustRightInd w:val="0"/>
                    <w:snapToGrid w:val="0"/>
                    <w:spacing w:before="0" w:after="0" w:line="240" w:lineRule="auto"/>
                    <w:ind w:right="0"/>
                    <w:jc w:val="center"/>
                    <w:textAlignment w:val="auto"/>
                    <w:rPr>
                      <w:b/>
                      <w:bCs/>
                      <w:sz w:val="21"/>
                      <w:szCs w:val="21"/>
                    </w:rPr>
                  </w:pPr>
                </w:p>
              </w:tc>
              <w:tc>
                <w:tcPr>
                  <w:tcW w:w="771" w:type="pct"/>
                  <w:vMerge w:val="continue"/>
                  <w:tcBorders>
                    <w:left w:val="single" w:color="auto" w:sz="2" w:space="0"/>
                    <w:bottom w:val="single" w:color="auto" w:sz="2" w:space="0"/>
                    <w:right w:val="single" w:color="auto" w:sz="2" w:space="0"/>
                  </w:tcBorders>
                  <w:vAlign w:val="center"/>
                </w:tcPr>
                <w:p w14:paraId="56830E5F">
                  <w:pPr>
                    <w:pStyle w:val="85"/>
                    <w:keepNext w:val="0"/>
                    <w:keepLines w:val="0"/>
                    <w:pageBreakBefore w:val="0"/>
                    <w:widowControl w:val="0"/>
                    <w:kinsoku/>
                    <w:wordWrap/>
                    <w:overflowPunct/>
                    <w:topLinePunct w:val="0"/>
                    <w:autoSpaceDE/>
                    <w:autoSpaceDN/>
                    <w:bidi w:val="0"/>
                    <w:adjustRightInd w:val="0"/>
                    <w:snapToGrid w:val="0"/>
                    <w:spacing w:before="0" w:after="0" w:line="240" w:lineRule="auto"/>
                    <w:ind w:right="0"/>
                    <w:jc w:val="center"/>
                    <w:textAlignment w:val="auto"/>
                    <w:rPr>
                      <w:b/>
                      <w:bCs/>
                      <w:sz w:val="21"/>
                      <w:szCs w:val="21"/>
                    </w:rPr>
                  </w:pPr>
                </w:p>
              </w:tc>
              <w:tc>
                <w:tcPr>
                  <w:tcW w:w="645" w:type="pct"/>
                  <w:vMerge w:val="continue"/>
                  <w:tcBorders>
                    <w:left w:val="single" w:color="auto" w:sz="2" w:space="0"/>
                    <w:bottom w:val="single" w:color="auto" w:sz="2" w:space="0"/>
                    <w:right w:val="single" w:color="auto" w:sz="4" w:space="0"/>
                  </w:tcBorders>
                  <w:vAlign w:val="center"/>
                </w:tcPr>
                <w:p w14:paraId="2A954E78">
                  <w:pPr>
                    <w:pStyle w:val="85"/>
                    <w:keepNext w:val="0"/>
                    <w:keepLines w:val="0"/>
                    <w:pageBreakBefore w:val="0"/>
                    <w:widowControl w:val="0"/>
                    <w:kinsoku/>
                    <w:wordWrap/>
                    <w:overflowPunct/>
                    <w:topLinePunct w:val="0"/>
                    <w:autoSpaceDE/>
                    <w:autoSpaceDN/>
                    <w:bidi w:val="0"/>
                    <w:adjustRightInd w:val="0"/>
                    <w:snapToGrid w:val="0"/>
                    <w:spacing w:before="0" w:after="0" w:line="240" w:lineRule="auto"/>
                    <w:ind w:right="0"/>
                    <w:jc w:val="center"/>
                    <w:textAlignment w:val="auto"/>
                    <w:rPr>
                      <w:b/>
                      <w:bCs/>
                      <w:sz w:val="21"/>
                      <w:szCs w:val="21"/>
                    </w:rPr>
                  </w:pPr>
                </w:p>
              </w:tc>
              <w:tc>
                <w:tcPr>
                  <w:tcW w:w="697" w:type="pct"/>
                  <w:vMerge w:val="continue"/>
                  <w:tcBorders>
                    <w:left w:val="single" w:color="auto" w:sz="4" w:space="0"/>
                    <w:bottom w:val="single" w:color="auto" w:sz="2" w:space="0"/>
                    <w:right w:val="single" w:color="auto" w:sz="2" w:space="0"/>
                  </w:tcBorders>
                  <w:vAlign w:val="center"/>
                </w:tcPr>
                <w:p w14:paraId="63D98AB4">
                  <w:pPr>
                    <w:pStyle w:val="85"/>
                    <w:keepNext w:val="0"/>
                    <w:keepLines w:val="0"/>
                    <w:pageBreakBefore w:val="0"/>
                    <w:widowControl w:val="0"/>
                    <w:kinsoku/>
                    <w:wordWrap/>
                    <w:overflowPunct/>
                    <w:topLinePunct w:val="0"/>
                    <w:autoSpaceDE/>
                    <w:autoSpaceDN/>
                    <w:bidi w:val="0"/>
                    <w:adjustRightInd w:val="0"/>
                    <w:snapToGrid w:val="0"/>
                    <w:spacing w:before="0" w:after="0" w:line="240" w:lineRule="auto"/>
                    <w:ind w:right="0"/>
                    <w:jc w:val="center"/>
                    <w:textAlignment w:val="auto"/>
                    <w:rPr>
                      <w:b/>
                      <w:bCs/>
                      <w:sz w:val="21"/>
                      <w:szCs w:val="21"/>
                    </w:rPr>
                  </w:pPr>
                </w:p>
              </w:tc>
              <w:tc>
                <w:tcPr>
                  <w:tcW w:w="573" w:type="pct"/>
                  <w:vMerge w:val="continue"/>
                  <w:tcBorders>
                    <w:left w:val="single" w:color="auto" w:sz="2" w:space="0"/>
                    <w:bottom w:val="single" w:color="auto" w:sz="2" w:space="0"/>
                    <w:right w:val="single" w:color="auto" w:sz="4" w:space="0"/>
                  </w:tcBorders>
                  <w:vAlign w:val="center"/>
                </w:tcPr>
                <w:p w14:paraId="7262B5AB">
                  <w:pPr>
                    <w:pStyle w:val="85"/>
                    <w:keepNext w:val="0"/>
                    <w:keepLines w:val="0"/>
                    <w:pageBreakBefore w:val="0"/>
                    <w:widowControl w:val="0"/>
                    <w:kinsoku/>
                    <w:wordWrap/>
                    <w:overflowPunct/>
                    <w:topLinePunct w:val="0"/>
                    <w:autoSpaceDE/>
                    <w:autoSpaceDN/>
                    <w:bidi w:val="0"/>
                    <w:adjustRightInd w:val="0"/>
                    <w:snapToGrid w:val="0"/>
                    <w:spacing w:before="0" w:after="0" w:line="240" w:lineRule="auto"/>
                    <w:ind w:right="0"/>
                    <w:jc w:val="center"/>
                    <w:textAlignment w:val="auto"/>
                    <w:rPr>
                      <w:b/>
                      <w:bCs/>
                      <w:sz w:val="21"/>
                      <w:szCs w:val="21"/>
                    </w:rPr>
                  </w:pPr>
                </w:p>
              </w:tc>
              <w:tc>
                <w:tcPr>
                  <w:tcW w:w="771" w:type="pct"/>
                  <w:tcBorders>
                    <w:top w:val="single" w:color="auto" w:sz="2" w:space="0"/>
                    <w:left w:val="single" w:color="auto" w:sz="4" w:space="0"/>
                    <w:bottom w:val="single" w:color="auto" w:sz="2" w:space="0"/>
                    <w:right w:val="single" w:color="auto" w:sz="2" w:space="0"/>
                  </w:tcBorders>
                  <w:vAlign w:val="center"/>
                </w:tcPr>
                <w:p w14:paraId="6A28C115">
                  <w:pPr>
                    <w:pStyle w:val="85"/>
                    <w:keepNext w:val="0"/>
                    <w:keepLines w:val="0"/>
                    <w:pageBreakBefore w:val="0"/>
                    <w:widowControl w:val="0"/>
                    <w:kinsoku/>
                    <w:wordWrap/>
                    <w:overflowPunct/>
                    <w:topLinePunct w:val="0"/>
                    <w:autoSpaceDE/>
                    <w:autoSpaceDN/>
                    <w:bidi w:val="0"/>
                    <w:adjustRightInd w:val="0"/>
                    <w:snapToGrid w:val="0"/>
                    <w:spacing w:before="0" w:after="0" w:line="240" w:lineRule="auto"/>
                    <w:ind w:right="0"/>
                    <w:jc w:val="center"/>
                    <w:textAlignment w:val="auto"/>
                    <w:rPr>
                      <w:rFonts w:hint="default" w:eastAsia="宋体"/>
                      <w:b/>
                      <w:bCs/>
                      <w:color w:val="000000" w:themeColor="text1"/>
                      <w:sz w:val="21"/>
                      <w:szCs w:val="21"/>
                      <w:lang w:val="en-US" w:eastAsia="zh-CN"/>
                    </w:rPr>
                  </w:pPr>
                  <w:r>
                    <w:rPr>
                      <w:rFonts w:hint="eastAsia"/>
                      <w:b/>
                      <w:bCs/>
                      <w:color w:val="000000" w:themeColor="text1"/>
                      <w:sz w:val="21"/>
                      <w:szCs w:val="21"/>
                      <w:lang w:val="en-US" w:eastAsia="zh-CN"/>
                    </w:rPr>
                    <w:t>Leq</w:t>
                  </w:r>
                </w:p>
              </w:tc>
              <w:tc>
                <w:tcPr>
                  <w:tcW w:w="772" w:type="pct"/>
                  <w:tcBorders>
                    <w:left w:val="single" w:color="auto" w:sz="4" w:space="0"/>
                    <w:bottom w:val="single" w:color="auto" w:sz="2" w:space="0"/>
                    <w:right w:val="single" w:color="auto" w:sz="2" w:space="0"/>
                  </w:tcBorders>
                  <w:vAlign w:val="center"/>
                </w:tcPr>
                <w:p w14:paraId="09F5814C">
                  <w:pPr>
                    <w:pStyle w:val="85"/>
                    <w:keepNext w:val="0"/>
                    <w:keepLines w:val="0"/>
                    <w:pageBreakBefore w:val="0"/>
                    <w:widowControl w:val="0"/>
                    <w:kinsoku/>
                    <w:wordWrap/>
                    <w:overflowPunct/>
                    <w:topLinePunct w:val="0"/>
                    <w:autoSpaceDE/>
                    <w:autoSpaceDN/>
                    <w:bidi w:val="0"/>
                    <w:adjustRightInd w:val="0"/>
                    <w:snapToGrid w:val="0"/>
                    <w:spacing w:before="0" w:after="0" w:line="240" w:lineRule="auto"/>
                    <w:ind w:right="0"/>
                    <w:jc w:val="center"/>
                    <w:textAlignment w:val="auto"/>
                    <w:rPr>
                      <w:rFonts w:hint="default" w:eastAsia="宋体"/>
                      <w:b/>
                      <w:bCs/>
                      <w:color w:val="000000" w:themeColor="text1"/>
                      <w:sz w:val="21"/>
                      <w:szCs w:val="21"/>
                      <w:lang w:val="en-US" w:eastAsia="zh-CN"/>
                    </w:rPr>
                  </w:pPr>
                  <w:r>
                    <w:rPr>
                      <w:rFonts w:hint="eastAsia"/>
                      <w:b/>
                      <w:bCs/>
                      <w:color w:val="000000" w:themeColor="text1"/>
                      <w:sz w:val="21"/>
                      <w:szCs w:val="21"/>
                      <w:lang w:val="en-US" w:eastAsia="zh-CN"/>
                    </w:rPr>
                    <w:t>Lmax</w:t>
                  </w:r>
                </w:p>
              </w:tc>
            </w:tr>
            <w:tr w14:paraId="53F3C74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767" w:type="pct"/>
                  <w:tcBorders>
                    <w:top w:val="single" w:color="auto" w:sz="2" w:space="0"/>
                    <w:left w:val="single" w:color="auto" w:sz="2" w:space="0"/>
                    <w:bottom w:val="single" w:color="auto" w:sz="2" w:space="0"/>
                    <w:right w:val="single" w:color="auto" w:sz="2" w:space="0"/>
                  </w:tcBorders>
                  <w:vAlign w:val="center"/>
                </w:tcPr>
                <w:p w14:paraId="46F1678E">
                  <w:pPr>
                    <w:pStyle w:val="85"/>
                    <w:keepNext w:val="0"/>
                    <w:keepLines w:val="0"/>
                    <w:pageBreakBefore w:val="0"/>
                    <w:widowControl w:val="0"/>
                    <w:kinsoku/>
                    <w:wordWrap/>
                    <w:overflowPunct/>
                    <w:topLinePunct w:val="0"/>
                    <w:autoSpaceDE/>
                    <w:autoSpaceDN/>
                    <w:bidi w:val="0"/>
                    <w:adjustRightInd w:val="0"/>
                    <w:snapToGrid w:val="0"/>
                    <w:spacing w:before="0" w:after="0" w:line="240" w:lineRule="auto"/>
                    <w:ind w:right="0"/>
                    <w:jc w:val="center"/>
                    <w:textAlignment w:val="auto"/>
                    <w:rPr>
                      <w:rFonts w:hint="eastAsia" w:eastAsia="宋体"/>
                      <w:color w:val="000000" w:themeColor="text1"/>
                      <w:kern w:val="2"/>
                      <w:sz w:val="21"/>
                      <w:szCs w:val="21"/>
                      <w:lang w:eastAsia="zh-CN"/>
                    </w:rPr>
                  </w:pPr>
                  <w:r>
                    <w:rPr>
                      <w:rFonts w:hint="eastAsia"/>
                      <w:color w:val="000000" w:themeColor="text1"/>
                      <w:sz w:val="21"/>
                      <w:szCs w:val="21"/>
                    </w:rPr>
                    <w:t>N</w:t>
                  </w:r>
                  <w:r>
                    <w:rPr>
                      <w:rFonts w:hint="eastAsia"/>
                      <w:color w:val="000000" w:themeColor="text1"/>
                      <w:sz w:val="21"/>
                      <w:szCs w:val="21"/>
                      <w:lang w:val="en-US" w:eastAsia="zh-CN"/>
                    </w:rPr>
                    <w:t>1</w:t>
                  </w:r>
                </w:p>
              </w:tc>
              <w:tc>
                <w:tcPr>
                  <w:tcW w:w="771" w:type="pct"/>
                  <w:tcBorders>
                    <w:top w:val="single" w:color="auto" w:sz="2" w:space="0"/>
                    <w:left w:val="single" w:color="auto" w:sz="2" w:space="0"/>
                    <w:bottom w:val="single" w:color="auto" w:sz="2" w:space="0"/>
                    <w:right w:val="single" w:color="auto" w:sz="2" w:space="0"/>
                  </w:tcBorders>
                  <w:vAlign w:val="center"/>
                </w:tcPr>
                <w:p w14:paraId="45A1DB8F">
                  <w:pPr>
                    <w:pStyle w:val="85"/>
                    <w:keepNext w:val="0"/>
                    <w:keepLines w:val="0"/>
                    <w:pageBreakBefore w:val="0"/>
                    <w:widowControl w:val="0"/>
                    <w:kinsoku/>
                    <w:wordWrap/>
                    <w:overflowPunct/>
                    <w:topLinePunct w:val="0"/>
                    <w:autoSpaceDE/>
                    <w:autoSpaceDN/>
                    <w:bidi w:val="0"/>
                    <w:adjustRightInd w:val="0"/>
                    <w:snapToGrid w:val="0"/>
                    <w:spacing w:before="0" w:after="0" w:line="240" w:lineRule="auto"/>
                    <w:ind w:right="0"/>
                    <w:jc w:val="center"/>
                    <w:textAlignment w:val="auto"/>
                    <w:rPr>
                      <w:rFonts w:hint="default" w:eastAsia="宋体"/>
                      <w:color w:val="000000" w:themeColor="text1"/>
                      <w:sz w:val="21"/>
                      <w:szCs w:val="21"/>
                      <w:lang w:val="en-US" w:eastAsia="zh-CN"/>
                    </w:rPr>
                  </w:pPr>
                  <w:r>
                    <w:rPr>
                      <w:rFonts w:hint="eastAsia"/>
                      <w:color w:val="000000" w:themeColor="text1"/>
                      <w:sz w:val="21"/>
                      <w:szCs w:val="21"/>
                      <w:lang w:val="en-US" w:eastAsia="zh-CN"/>
                    </w:rPr>
                    <w:t>谢庄居民点</w:t>
                  </w:r>
                </w:p>
              </w:tc>
              <w:tc>
                <w:tcPr>
                  <w:tcW w:w="645" w:type="pct"/>
                  <w:tcBorders>
                    <w:top w:val="single" w:color="auto" w:sz="2" w:space="0"/>
                    <w:left w:val="single" w:color="auto" w:sz="2" w:space="0"/>
                    <w:bottom w:val="single" w:color="auto" w:sz="2" w:space="0"/>
                    <w:right w:val="single" w:color="auto" w:sz="4" w:space="0"/>
                  </w:tcBorders>
                  <w:vAlign w:val="center"/>
                </w:tcPr>
                <w:p w14:paraId="3B70E122">
                  <w:pPr>
                    <w:pStyle w:val="85"/>
                    <w:keepNext w:val="0"/>
                    <w:keepLines w:val="0"/>
                    <w:pageBreakBefore w:val="0"/>
                    <w:widowControl w:val="0"/>
                    <w:kinsoku/>
                    <w:wordWrap/>
                    <w:overflowPunct/>
                    <w:topLinePunct w:val="0"/>
                    <w:autoSpaceDE/>
                    <w:autoSpaceDN/>
                    <w:bidi w:val="0"/>
                    <w:adjustRightInd w:val="0"/>
                    <w:snapToGrid w:val="0"/>
                    <w:spacing w:before="0" w:after="0" w:line="240" w:lineRule="auto"/>
                    <w:ind w:right="0"/>
                    <w:jc w:val="center"/>
                    <w:textAlignment w:val="auto"/>
                    <w:rPr>
                      <w:rFonts w:hint="default" w:eastAsia="宋体"/>
                      <w:color w:val="000000" w:themeColor="text1"/>
                      <w:sz w:val="21"/>
                      <w:szCs w:val="21"/>
                      <w:lang w:val="en-US" w:eastAsia="zh-CN"/>
                    </w:rPr>
                  </w:pPr>
                  <w:r>
                    <w:rPr>
                      <w:rFonts w:hint="eastAsia"/>
                      <w:color w:val="000000" w:themeColor="text1"/>
                      <w:sz w:val="21"/>
                      <w:szCs w:val="21"/>
                      <w:lang w:val="en-US" w:eastAsia="zh-CN"/>
                    </w:rPr>
                    <w:t>环境噪声</w:t>
                  </w:r>
                </w:p>
              </w:tc>
              <w:tc>
                <w:tcPr>
                  <w:tcW w:w="697" w:type="pct"/>
                  <w:tcBorders>
                    <w:top w:val="single" w:color="auto" w:sz="2" w:space="0"/>
                    <w:left w:val="single" w:color="auto" w:sz="4" w:space="0"/>
                    <w:bottom w:val="single" w:color="auto" w:sz="2" w:space="0"/>
                    <w:right w:val="single" w:color="auto" w:sz="2" w:space="0"/>
                  </w:tcBorders>
                  <w:vAlign w:val="center"/>
                </w:tcPr>
                <w:p w14:paraId="28D8991E">
                  <w:pPr>
                    <w:pStyle w:val="85"/>
                    <w:keepNext w:val="0"/>
                    <w:keepLines w:val="0"/>
                    <w:pageBreakBefore w:val="0"/>
                    <w:widowControl w:val="0"/>
                    <w:kinsoku/>
                    <w:wordWrap/>
                    <w:overflowPunct/>
                    <w:topLinePunct w:val="0"/>
                    <w:autoSpaceDE/>
                    <w:autoSpaceDN/>
                    <w:bidi w:val="0"/>
                    <w:adjustRightInd w:val="0"/>
                    <w:snapToGrid w:val="0"/>
                    <w:spacing w:before="0" w:after="0" w:line="240" w:lineRule="auto"/>
                    <w:ind w:right="0"/>
                    <w:jc w:val="center"/>
                    <w:textAlignment w:val="auto"/>
                    <w:rPr>
                      <w:rFonts w:hint="eastAsia" w:eastAsia="宋体"/>
                      <w:color w:val="000000" w:themeColor="text1"/>
                      <w:sz w:val="21"/>
                      <w:szCs w:val="21"/>
                      <w:lang w:eastAsia="zh-CN"/>
                    </w:rPr>
                  </w:pPr>
                  <w:r>
                    <w:rPr>
                      <w:rFonts w:hint="eastAsia"/>
                      <w:color w:val="000000" w:themeColor="text1"/>
                      <w:sz w:val="21"/>
                      <w:szCs w:val="21"/>
                      <w:lang w:val="en-US" w:eastAsia="zh-CN"/>
                    </w:rPr>
                    <w:t>昼间</w:t>
                  </w:r>
                </w:p>
              </w:tc>
              <w:tc>
                <w:tcPr>
                  <w:tcW w:w="573" w:type="pct"/>
                  <w:tcBorders>
                    <w:top w:val="single" w:color="auto" w:sz="2" w:space="0"/>
                    <w:left w:val="single" w:color="auto" w:sz="2" w:space="0"/>
                    <w:bottom w:val="single" w:color="auto" w:sz="2" w:space="0"/>
                    <w:right w:val="single" w:color="auto" w:sz="4" w:space="0"/>
                  </w:tcBorders>
                  <w:vAlign w:val="center"/>
                </w:tcPr>
                <w:p w14:paraId="59F0EC81">
                  <w:pPr>
                    <w:pStyle w:val="85"/>
                    <w:keepNext w:val="0"/>
                    <w:keepLines w:val="0"/>
                    <w:pageBreakBefore w:val="0"/>
                    <w:widowControl w:val="0"/>
                    <w:kinsoku/>
                    <w:wordWrap/>
                    <w:overflowPunct/>
                    <w:topLinePunct w:val="0"/>
                    <w:autoSpaceDE/>
                    <w:autoSpaceDN/>
                    <w:bidi w:val="0"/>
                    <w:adjustRightInd w:val="0"/>
                    <w:snapToGrid w:val="0"/>
                    <w:spacing w:before="0" w:after="0" w:line="240" w:lineRule="auto"/>
                    <w:ind w:right="0"/>
                    <w:jc w:val="center"/>
                    <w:textAlignment w:val="auto"/>
                    <w:rPr>
                      <w:rFonts w:hint="default" w:eastAsia="宋体"/>
                      <w:color w:val="000000" w:themeColor="text1"/>
                      <w:sz w:val="21"/>
                      <w:szCs w:val="21"/>
                      <w:lang w:val="en-US" w:eastAsia="zh-CN"/>
                    </w:rPr>
                  </w:pPr>
                  <w:r>
                    <w:rPr>
                      <w:rFonts w:hint="eastAsia"/>
                      <w:color w:val="000000" w:themeColor="text1"/>
                      <w:sz w:val="21"/>
                      <w:szCs w:val="21"/>
                      <w:lang w:val="en-US" w:eastAsia="zh-CN"/>
                    </w:rPr>
                    <w:t>2026.4.26</w:t>
                  </w:r>
                </w:p>
              </w:tc>
              <w:tc>
                <w:tcPr>
                  <w:tcW w:w="771" w:type="pct"/>
                  <w:tcBorders>
                    <w:top w:val="single" w:color="auto" w:sz="2" w:space="0"/>
                    <w:left w:val="single" w:color="auto" w:sz="4" w:space="0"/>
                    <w:bottom w:val="single" w:color="auto" w:sz="2" w:space="0"/>
                    <w:right w:val="single" w:color="auto" w:sz="2" w:space="0"/>
                  </w:tcBorders>
                  <w:vAlign w:val="center"/>
                </w:tcPr>
                <w:p w14:paraId="1C50FEDB">
                  <w:pPr>
                    <w:pStyle w:val="85"/>
                    <w:keepNext w:val="0"/>
                    <w:keepLines w:val="0"/>
                    <w:pageBreakBefore w:val="0"/>
                    <w:widowControl w:val="0"/>
                    <w:kinsoku/>
                    <w:wordWrap/>
                    <w:overflowPunct/>
                    <w:topLinePunct w:val="0"/>
                    <w:autoSpaceDE/>
                    <w:autoSpaceDN/>
                    <w:bidi w:val="0"/>
                    <w:adjustRightInd w:val="0"/>
                    <w:snapToGrid w:val="0"/>
                    <w:spacing w:before="0" w:after="0" w:line="240" w:lineRule="auto"/>
                    <w:ind w:right="0"/>
                    <w:jc w:val="center"/>
                    <w:textAlignment w:val="auto"/>
                    <w:rPr>
                      <w:rFonts w:hint="default" w:eastAsia="宋体"/>
                      <w:color w:val="000000" w:themeColor="text1"/>
                      <w:sz w:val="21"/>
                      <w:szCs w:val="21"/>
                      <w:lang w:val="en-US" w:eastAsia="zh-CN"/>
                    </w:rPr>
                  </w:pPr>
                  <w:r>
                    <w:rPr>
                      <w:rFonts w:hint="eastAsia"/>
                      <w:color w:val="000000" w:themeColor="text1"/>
                      <w:sz w:val="21"/>
                      <w:szCs w:val="21"/>
                      <w:lang w:val="en-US" w:eastAsia="zh-CN"/>
                    </w:rPr>
                    <w:t>47</w:t>
                  </w:r>
                </w:p>
              </w:tc>
              <w:tc>
                <w:tcPr>
                  <w:tcW w:w="772" w:type="pct"/>
                  <w:tcBorders>
                    <w:top w:val="single" w:color="auto" w:sz="2" w:space="0"/>
                    <w:left w:val="single" w:color="auto" w:sz="4" w:space="0"/>
                    <w:bottom w:val="single" w:color="auto" w:sz="2" w:space="0"/>
                    <w:right w:val="single" w:color="auto" w:sz="2" w:space="0"/>
                  </w:tcBorders>
                  <w:vAlign w:val="center"/>
                </w:tcPr>
                <w:p w14:paraId="5F6D097C">
                  <w:pPr>
                    <w:pStyle w:val="85"/>
                    <w:keepNext w:val="0"/>
                    <w:keepLines w:val="0"/>
                    <w:pageBreakBefore w:val="0"/>
                    <w:widowControl w:val="0"/>
                    <w:kinsoku/>
                    <w:wordWrap/>
                    <w:overflowPunct/>
                    <w:topLinePunct w:val="0"/>
                    <w:autoSpaceDE/>
                    <w:autoSpaceDN/>
                    <w:bidi w:val="0"/>
                    <w:adjustRightInd w:val="0"/>
                    <w:snapToGrid w:val="0"/>
                    <w:spacing w:before="0" w:after="0" w:line="240" w:lineRule="auto"/>
                    <w:ind w:right="0"/>
                    <w:jc w:val="center"/>
                    <w:textAlignment w:val="auto"/>
                    <w:rPr>
                      <w:rFonts w:hint="eastAsia" w:eastAsia="宋体"/>
                      <w:color w:val="000000" w:themeColor="text1"/>
                      <w:sz w:val="21"/>
                      <w:szCs w:val="21"/>
                      <w:lang w:val="en-US" w:eastAsia="zh-CN"/>
                    </w:rPr>
                  </w:pPr>
                  <w:r>
                    <w:rPr>
                      <w:rFonts w:hint="eastAsia"/>
                      <w:color w:val="000000" w:themeColor="text1"/>
                      <w:sz w:val="21"/>
                      <w:szCs w:val="21"/>
                      <w:lang w:val="en-US" w:eastAsia="zh-CN"/>
                    </w:rPr>
                    <w:t>/</w:t>
                  </w:r>
                </w:p>
              </w:tc>
            </w:tr>
          </w:tbl>
          <w:p w14:paraId="0824242A">
            <w:pPr>
              <w:adjustRightInd w:val="0"/>
              <w:spacing w:line="360" w:lineRule="auto"/>
              <w:ind w:firstLine="480"/>
              <w:textAlignment w:val="baseline"/>
              <w:rPr>
                <w:rFonts w:hint="default" w:ascii="Times New Roman" w:hAnsi="Times New Roman" w:cs="Times New Roman"/>
                <w:color w:val="000000" w:themeColor="text1"/>
                <w:sz w:val="24"/>
              </w:rPr>
            </w:pPr>
            <w:r>
              <w:rPr>
                <w:rFonts w:hint="default" w:ascii="Times New Roman" w:hAnsi="Times New Roman" w:cs="Times New Roman"/>
                <w:color w:val="000000" w:themeColor="text1"/>
                <w:sz w:val="24"/>
              </w:rPr>
              <w:t>四、地下水</w:t>
            </w:r>
            <w:r>
              <w:rPr>
                <w:rFonts w:hint="eastAsia" w:cs="Times New Roman"/>
                <w:color w:val="000000" w:themeColor="text1"/>
                <w:sz w:val="24"/>
                <w:lang w:eastAsia="zh-CN"/>
              </w:rPr>
              <w:t>、</w:t>
            </w:r>
            <w:r>
              <w:rPr>
                <w:rFonts w:hint="eastAsia" w:cs="Times New Roman"/>
                <w:color w:val="000000" w:themeColor="text1"/>
                <w:sz w:val="24"/>
                <w:lang w:val="en-US" w:eastAsia="zh-CN"/>
              </w:rPr>
              <w:t>土壤</w:t>
            </w:r>
            <w:r>
              <w:rPr>
                <w:rFonts w:hint="default" w:ascii="Times New Roman" w:hAnsi="Times New Roman" w:cs="Times New Roman"/>
                <w:color w:val="000000" w:themeColor="text1"/>
                <w:sz w:val="24"/>
              </w:rPr>
              <w:t>环境</w:t>
            </w:r>
          </w:p>
          <w:p w14:paraId="33004F26">
            <w:pPr>
              <w:adjustRightInd w:val="0"/>
              <w:spacing w:line="360" w:lineRule="auto"/>
              <w:ind w:firstLine="480"/>
              <w:textAlignment w:val="baseline"/>
              <w:rPr>
                <w:rFonts w:hint="eastAsia" w:eastAsiaTheme="minorEastAsia"/>
                <w:color w:val="000000" w:themeColor="text1"/>
                <w:kern w:val="0"/>
                <w:sz w:val="24"/>
                <w:szCs w:val="24"/>
                <w:lang w:val="en-US" w:eastAsia="zh-CN"/>
              </w:rPr>
            </w:pPr>
            <w:r>
              <w:rPr>
                <w:rFonts w:hint="eastAsia" w:cs="Times New Roman"/>
                <w:color w:val="000000" w:themeColor="text1"/>
                <w:sz w:val="24"/>
                <w:lang w:val="en-US" w:eastAsia="zh-CN"/>
              </w:rPr>
              <w:t>项目区域地下水和土壤环境质量现状</w:t>
            </w:r>
            <w:r>
              <w:rPr>
                <w:rFonts w:hint="eastAsia" w:ascii="Times New Roman" w:hAnsi="Times New Roman" w:cs="Times New Roman"/>
                <w:color w:val="000000" w:themeColor="text1"/>
                <w:sz w:val="24"/>
                <w:lang w:val="en-US" w:eastAsia="zh-CN"/>
              </w:rPr>
              <w:t>引用</w:t>
            </w:r>
            <w:r>
              <w:rPr>
                <w:rFonts w:hint="default" w:ascii="Times New Roman" w:hAnsi="Times New Roman" w:cs="Times New Roman"/>
                <w:color w:val="000000" w:themeColor="text1"/>
                <w:sz w:val="24"/>
              </w:rPr>
              <w:t>《安徽淮北杜集经济开发区总体发展规划（2023-2035 年）环境影响报告书》中现状监测数据</w:t>
            </w:r>
            <w:r>
              <w:rPr>
                <w:rFonts w:hint="eastAsia" w:ascii="Times New Roman" w:hAnsi="Times New Roman" w:cs="Times New Roman"/>
                <w:color w:val="000000" w:themeColor="text1"/>
                <w:sz w:val="24"/>
                <w:lang w:eastAsia="zh-CN"/>
              </w:rPr>
              <w:t>，</w:t>
            </w:r>
            <w:r>
              <w:rPr>
                <w:rFonts w:hint="eastAsia" w:ascii="Times New Roman" w:hAnsi="Times New Roman" w:cs="Times New Roman"/>
                <w:color w:val="000000" w:themeColor="text1"/>
                <w:sz w:val="24"/>
                <w:lang w:val="en-US" w:eastAsia="zh-CN"/>
              </w:rPr>
              <w:t>地下水监测时间为2023年7月16日，土壤监测时间为2023年7月22日，监测点位均位于安徽矿业机电装备有限责任公司，距本项目</w:t>
            </w:r>
            <w:r>
              <w:rPr>
                <w:rFonts w:hint="eastAsia" w:cs="Times New Roman"/>
                <w:color w:val="000000" w:themeColor="text1"/>
                <w:sz w:val="24"/>
                <w:lang w:val="en-US" w:eastAsia="zh-CN"/>
              </w:rPr>
              <w:t>北</w:t>
            </w:r>
            <w:r>
              <w:rPr>
                <w:rFonts w:hint="eastAsia" w:ascii="Times New Roman" w:hAnsi="Times New Roman" w:cs="Times New Roman"/>
                <w:color w:val="000000" w:themeColor="text1"/>
                <w:sz w:val="24"/>
                <w:lang w:val="en-US" w:eastAsia="zh-CN"/>
              </w:rPr>
              <w:t>侧</w:t>
            </w:r>
            <w:r>
              <w:rPr>
                <w:rFonts w:hint="eastAsia" w:cs="Times New Roman"/>
                <w:color w:val="000000" w:themeColor="text1"/>
                <w:sz w:val="24"/>
                <w:lang w:val="en-US" w:eastAsia="zh-CN"/>
              </w:rPr>
              <w:t>1370</w:t>
            </w:r>
            <w:r>
              <w:rPr>
                <w:rFonts w:hint="eastAsia" w:ascii="Times New Roman" w:hAnsi="Times New Roman" w:cs="Times New Roman"/>
                <w:color w:val="000000" w:themeColor="text1"/>
                <w:sz w:val="24"/>
                <w:lang w:val="en-US" w:eastAsia="zh-CN"/>
              </w:rPr>
              <w:t>m。地下水监测因子为：</w:t>
            </w:r>
            <w:r>
              <w:rPr>
                <w:rFonts w:eastAsiaTheme="minorEastAsia"/>
                <w:color w:val="000000" w:themeColor="text1"/>
                <w:spacing w:val="-2"/>
                <w:sz w:val="24"/>
                <w:szCs w:val="24"/>
              </w:rPr>
              <w:t>K</w:t>
            </w:r>
            <w:r>
              <w:rPr>
                <w:rFonts w:eastAsiaTheme="minorEastAsia"/>
                <w:color w:val="000000" w:themeColor="text1"/>
                <w:spacing w:val="-2"/>
                <w:sz w:val="24"/>
                <w:szCs w:val="24"/>
                <w:vertAlign w:val="superscript"/>
              </w:rPr>
              <w:t>+</w:t>
            </w:r>
            <w:r>
              <w:rPr>
                <w:rFonts w:eastAsiaTheme="minorEastAsia"/>
                <w:color w:val="000000" w:themeColor="text1"/>
                <w:spacing w:val="-2"/>
                <w:sz w:val="24"/>
                <w:szCs w:val="24"/>
              </w:rPr>
              <w:t>、Na</w:t>
            </w:r>
            <w:r>
              <w:rPr>
                <w:rFonts w:eastAsiaTheme="minorEastAsia"/>
                <w:color w:val="000000" w:themeColor="text1"/>
                <w:spacing w:val="-2"/>
                <w:sz w:val="24"/>
                <w:szCs w:val="24"/>
                <w:vertAlign w:val="superscript"/>
              </w:rPr>
              <w:t>+</w:t>
            </w:r>
            <w:r>
              <w:rPr>
                <w:rFonts w:eastAsiaTheme="minorEastAsia"/>
                <w:color w:val="000000" w:themeColor="text1"/>
                <w:spacing w:val="-2"/>
                <w:sz w:val="24"/>
                <w:szCs w:val="24"/>
              </w:rPr>
              <w:t>、Ca</w:t>
            </w:r>
            <w:r>
              <w:rPr>
                <w:rFonts w:eastAsiaTheme="minorEastAsia"/>
                <w:color w:val="000000" w:themeColor="text1"/>
                <w:spacing w:val="-2"/>
                <w:sz w:val="24"/>
                <w:szCs w:val="24"/>
                <w:vertAlign w:val="superscript"/>
              </w:rPr>
              <w:t>2+</w:t>
            </w:r>
            <w:r>
              <w:rPr>
                <w:rFonts w:eastAsiaTheme="minorEastAsia"/>
                <w:color w:val="000000" w:themeColor="text1"/>
                <w:spacing w:val="-2"/>
                <w:sz w:val="24"/>
                <w:szCs w:val="24"/>
              </w:rPr>
              <w:t>、Mg</w:t>
            </w:r>
            <w:r>
              <w:rPr>
                <w:rFonts w:eastAsiaTheme="minorEastAsia"/>
                <w:color w:val="000000" w:themeColor="text1"/>
                <w:spacing w:val="-2"/>
                <w:sz w:val="24"/>
                <w:szCs w:val="24"/>
                <w:vertAlign w:val="superscript"/>
              </w:rPr>
              <w:t>2+</w:t>
            </w:r>
            <w:r>
              <w:rPr>
                <w:rFonts w:eastAsiaTheme="minorEastAsia"/>
                <w:color w:val="000000" w:themeColor="text1"/>
                <w:spacing w:val="-2"/>
                <w:sz w:val="24"/>
                <w:szCs w:val="24"/>
              </w:rPr>
              <w:t>、CO</w:t>
            </w:r>
            <w:r>
              <w:rPr>
                <w:rFonts w:eastAsiaTheme="minorEastAsia"/>
                <w:color w:val="000000" w:themeColor="text1"/>
                <w:spacing w:val="-2"/>
                <w:sz w:val="24"/>
                <w:szCs w:val="24"/>
                <w:vertAlign w:val="subscript"/>
              </w:rPr>
              <w:t>3</w:t>
            </w:r>
            <w:r>
              <w:rPr>
                <w:rFonts w:eastAsiaTheme="minorEastAsia"/>
                <w:color w:val="000000" w:themeColor="text1"/>
                <w:spacing w:val="-2"/>
                <w:sz w:val="24"/>
                <w:szCs w:val="24"/>
                <w:vertAlign w:val="superscript"/>
              </w:rPr>
              <w:t>2-</w:t>
            </w:r>
            <w:r>
              <w:rPr>
                <w:rFonts w:eastAsiaTheme="minorEastAsia"/>
                <w:color w:val="000000" w:themeColor="text1"/>
                <w:spacing w:val="-2"/>
                <w:sz w:val="24"/>
                <w:szCs w:val="24"/>
              </w:rPr>
              <w:t>、HCO</w:t>
            </w:r>
            <w:r>
              <w:rPr>
                <w:rFonts w:eastAsiaTheme="minorEastAsia"/>
                <w:color w:val="000000" w:themeColor="text1"/>
                <w:spacing w:val="-2"/>
                <w:sz w:val="24"/>
                <w:szCs w:val="24"/>
                <w:vertAlign w:val="subscript"/>
              </w:rPr>
              <w:t>3</w:t>
            </w:r>
            <w:r>
              <w:rPr>
                <w:rFonts w:eastAsiaTheme="minorEastAsia"/>
                <w:color w:val="000000" w:themeColor="text1"/>
                <w:spacing w:val="-2"/>
                <w:sz w:val="24"/>
                <w:szCs w:val="24"/>
                <w:vertAlign w:val="superscript"/>
              </w:rPr>
              <w:t>-</w:t>
            </w:r>
            <w:r>
              <w:rPr>
                <w:rFonts w:eastAsiaTheme="minorEastAsia"/>
                <w:color w:val="000000" w:themeColor="text1"/>
                <w:spacing w:val="-2"/>
                <w:sz w:val="24"/>
                <w:szCs w:val="24"/>
              </w:rPr>
              <w:t>、Cl</w:t>
            </w:r>
            <w:r>
              <w:rPr>
                <w:rFonts w:eastAsiaTheme="minorEastAsia"/>
                <w:color w:val="000000" w:themeColor="text1"/>
                <w:spacing w:val="-2"/>
                <w:sz w:val="24"/>
                <w:szCs w:val="24"/>
                <w:vertAlign w:val="superscript"/>
              </w:rPr>
              <w:t>-</w:t>
            </w:r>
            <w:r>
              <w:rPr>
                <w:rFonts w:eastAsiaTheme="minorEastAsia"/>
                <w:color w:val="000000" w:themeColor="text1"/>
                <w:spacing w:val="-2"/>
                <w:sz w:val="24"/>
                <w:szCs w:val="24"/>
              </w:rPr>
              <w:t>、SO</w:t>
            </w:r>
            <w:r>
              <w:rPr>
                <w:rFonts w:eastAsiaTheme="minorEastAsia"/>
                <w:color w:val="000000" w:themeColor="text1"/>
                <w:spacing w:val="-2"/>
                <w:sz w:val="24"/>
                <w:szCs w:val="24"/>
                <w:vertAlign w:val="subscript"/>
              </w:rPr>
              <w:t>4</w:t>
            </w:r>
            <w:r>
              <w:rPr>
                <w:rFonts w:eastAsiaTheme="minorEastAsia"/>
                <w:color w:val="000000" w:themeColor="text1"/>
                <w:spacing w:val="-2"/>
                <w:sz w:val="24"/>
                <w:szCs w:val="24"/>
                <w:vertAlign w:val="superscript"/>
              </w:rPr>
              <w:t>2-</w:t>
            </w:r>
            <w:r>
              <w:rPr>
                <w:rFonts w:eastAsiaTheme="minorEastAsia"/>
                <w:color w:val="000000" w:themeColor="text1"/>
                <w:spacing w:val="-2"/>
                <w:sz w:val="24"/>
                <w:szCs w:val="24"/>
              </w:rPr>
              <w:t>、pH、总硬度、溶解性总固体、铁、锰、铜、锌、铝、挥发酚类、阴离子表面活性剂、耗氧量、氨氮、硫化物、总大肠菌群、细菌总数、亚硝酸盐、硝酸盐、氟化物、汞、砷、镉、六价铬、铅、硫酸盐、氯化物</w:t>
            </w:r>
            <w:r>
              <w:rPr>
                <w:rFonts w:hint="eastAsia" w:eastAsiaTheme="minorEastAsia"/>
                <w:color w:val="000000" w:themeColor="text1"/>
                <w:spacing w:val="-2"/>
                <w:sz w:val="24"/>
                <w:szCs w:val="24"/>
                <w:lang w:eastAsia="zh-CN"/>
              </w:rPr>
              <w:t>。</w:t>
            </w:r>
            <w:r>
              <w:rPr>
                <w:rFonts w:hint="eastAsia" w:eastAsiaTheme="minorEastAsia"/>
                <w:color w:val="000000" w:themeColor="text1"/>
                <w:spacing w:val="-2"/>
                <w:sz w:val="24"/>
                <w:szCs w:val="24"/>
                <w:lang w:val="en-US" w:eastAsia="zh-CN"/>
              </w:rPr>
              <w:t>土壤监测因子为：</w:t>
            </w:r>
            <w:r>
              <w:rPr>
                <w:rFonts w:eastAsiaTheme="minorEastAsia"/>
                <w:color w:val="000000" w:themeColor="text1"/>
                <w:spacing w:val="-2"/>
                <w:sz w:val="24"/>
                <w:szCs w:val="24"/>
              </w:rPr>
              <w:t>pH+砷、镉、铬（六价）、铜等45项及土壤理化性质</w:t>
            </w:r>
            <w:r>
              <w:rPr>
                <w:rFonts w:hint="eastAsia" w:eastAsiaTheme="minorEastAsia"/>
                <w:color w:val="000000" w:themeColor="text1"/>
                <w:spacing w:val="-2"/>
                <w:sz w:val="24"/>
                <w:szCs w:val="24"/>
                <w:lang w:eastAsia="zh-CN"/>
              </w:rPr>
              <w:t>。</w:t>
            </w:r>
            <w:r>
              <w:rPr>
                <w:rFonts w:hint="eastAsia" w:eastAsiaTheme="minorEastAsia"/>
                <w:color w:val="000000" w:themeColor="text1"/>
                <w:spacing w:val="-2"/>
                <w:sz w:val="24"/>
                <w:szCs w:val="24"/>
                <w:lang w:val="en-US" w:eastAsia="zh-CN"/>
              </w:rPr>
              <w:t>根据监测结果，项目所在地地下水满足</w:t>
            </w:r>
            <w:r>
              <w:rPr>
                <w:rFonts w:eastAsiaTheme="minorEastAsia"/>
                <w:color w:val="000000" w:themeColor="text1"/>
                <w:kern w:val="0"/>
                <w:sz w:val="24"/>
                <w:szCs w:val="24"/>
              </w:rPr>
              <w:t>《地下水质量标准》（GB/T14848-2017）中Ⅲ类标准要求</w:t>
            </w:r>
            <w:r>
              <w:rPr>
                <w:rFonts w:hint="eastAsia" w:eastAsiaTheme="minorEastAsia"/>
                <w:color w:val="000000" w:themeColor="text1"/>
                <w:kern w:val="0"/>
                <w:sz w:val="24"/>
                <w:szCs w:val="24"/>
                <w:lang w:eastAsia="zh-CN"/>
              </w:rPr>
              <w:t>，</w:t>
            </w:r>
            <w:r>
              <w:rPr>
                <w:rFonts w:hint="eastAsia" w:eastAsiaTheme="minorEastAsia"/>
                <w:color w:val="000000" w:themeColor="text1"/>
                <w:kern w:val="0"/>
                <w:sz w:val="24"/>
                <w:szCs w:val="24"/>
                <w:lang w:val="en-US" w:eastAsia="zh-CN"/>
              </w:rPr>
              <w:t>土壤均满足《土壤环境质量 建设用地土壤污染风险管控标准（试行）》（GB36600-2018）中相应用地筛选值。</w:t>
            </w:r>
          </w:p>
          <w:p w14:paraId="6DD32381">
            <w:pPr>
              <w:keepNext w:val="0"/>
              <w:keepLines w:val="0"/>
              <w:pageBreakBefore w:val="0"/>
              <w:widowControl w:val="0"/>
              <w:kinsoku/>
              <w:wordWrap/>
              <w:overflowPunct/>
              <w:topLinePunct w:val="0"/>
              <w:autoSpaceDE/>
              <w:autoSpaceDN/>
              <w:bidi w:val="0"/>
              <w:adjustRightInd w:val="0"/>
              <w:snapToGrid/>
              <w:spacing w:line="360" w:lineRule="auto"/>
              <w:ind w:firstLine="0"/>
              <w:textAlignment w:val="baseline"/>
              <w:rPr>
                <w:rFonts w:hint="default" w:eastAsiaTheme="minorEastAsia"/>
                <w:color w:val="000000" w:themeColor="text1"/>
                <w:kern w:val="0"/>
                <w:sz w:val="24"/>
                <w:szCs w:val="24"/>
                <w:lang w:val="en-US" w:eastAsia="zh-CN"/>
              </w:rPr>
            </w:pPr>
            <w:r>
              <w:rPr>
                <w:rFonts w:hint="default" w:ascii="Times New Roman" w:hAnsi="Times New Roman" w:eastAsia="宋体" w:cs="Times New Roman"/>
                <w:b/>
                <w:bCs/>
                <w:color w:val="000000" w:themeColor="text1"/>
                <w:sz w:val="24"/>
                <w:szCs w:val="24"/>
              </w:rPr>
              <w:pict>
                <v:shape id="_x0000_s1314" o:spid="_x0000_s1314" o:spt="75" alt="1620464052(1)" type="#_x0000_t75" style="position:absolute;left:0pt;margin-left:362.1pt;margin-top:0.85pt;height:51.55pt;width:59.4pt;z-index:251705344;mso-width-relative:page;mso-height-relative:page;" filled="f" o:preferrelative="t" stroked="t" coordsize="21600,21600">
                  <v:path/>
                  <v:fill on="f" focussize="0,0"/>
                  <v:stroke color="#000000" joinstyle="miter"/>
                  <v:imagedata r:id="rId11" o:title="1620464052(1)"/>
                  <o:lock v:ext="edit" aspectratio="t"/>
                </v:shape>
              </w:pict>
            </w:r>
            <w:r>
              <w:rPr>
                <w:sz w:val="21"/>
              </w:rPr>
              <w:pict>
                <v:shape id="_x0000_s1313" o:spid="_x0000_s1313" o:spt="202" type="#_x0000_t202" style="position:absolute;left:0pt;margin-left:200.6pt;margin-top:194.75pt;height:19.35pt;width:79.35pt;z-index:251704320;mso-width-relative:page;mso-height-relative:page;" filled="f" stroked="f" coordsize="21600,21600">
                  <v:path/>
                  <v:fill on="f" focussize="0,0"/>
                  <v:stroke on="f"/>
                  <v:imagedata o:title=""/>
                  <o:lock v:ext="edit" aspectratio="f"/>
                  <v:textbox>
                    <w:txbxContent>
                      <w:p w14:paraId="794FC492">
                        <w:pPr>
                          <w:rPr>
                            <w:rFonts w:hint="default" w:eastAsia="宋体"/>
                            <w:b/>
                            <w:bCs/>
                            <w:color w:val="FFFF00"/>
                            <w:lang w:val="en-US" w:eastAsia="zh-CN"/>
                          </w:rPr>
                        </w:pPr>
                        <w:r>
                          <w:rPr>
                            <w:rFonts w:hint="eastAsia"/>
                            <w:b/>
                            <w:bCs/>
                            <w:color w:val="FFFF00"/>
                            <w:lang w:val="en-US" w:eastAsia="zh-CN"/>
                          </w:rPr>
                          <w:t>1370m</w:t>
                        </w:r>
                      </w:p>
                    </w:txbxContent>
                  </v:textbox>
                </v:shape>
              </w:pict>
            </w:r>
            <w:r>
              <w:rPr>
                <w:sz w:val="21"/>
              </w:rPr>
              <w:pict>
                <v:line id="_x0000_s1312" o:spid="_x0000_s1312" o:spt="20" style="position:absolute;left:0pt;flip:x;margin-left:217.3pt;margin-top:70.75pt;height:230pt;width:13.25pt;z-index:251703296;mso-width-relative:page;mso-height-relative:page;" fillcolor="#FFFFFF" filled="t" stroked="t" coordsize="21600,21600">
                  <v:path arrowok="t"/>
                  <v:fill on="t" color2="#FFFFFF" focussize="0,0"/>
                  <v:stroke weight="1pt" color="#FFFF00" startarrow="block"/>
                  <v:imagedata o:title=""/>
                  <o:lock v:ext="edit" aspectratio="f"/>
                </v:line>
              </w:pict>
            </w:r>
            <w:r>
              <w:pict>
                <v:shape id="_x0000_i1149" o:spt="75" type="#_x0000_t75" style="height:389.75pt;width:422.65pt;" filled="f" stroked="f" coordsize="21600,21600">
                  <v:path/>
                  <v:fill on="f" focussize="0,0"/>
                  <v:stroke on="f"/>
                  <v:imagedata r:id="rId13" o:title=""/>
                  <o:lock v:ext="edit" aspectratio="t"/>
                  <w10:wrap type="none"/>
                  <w10:anchorlock/>
                </v:shape>
              </w:pict>
            </w:r>
          </w:p>
          <w:p w14:paraId="1EEA6E22">
            <w:pPr>
              <w:adjustRightInd w:val="0"/>
              <w:spacing w:line="360" w:lineRule="auto"/>
              <w:ind w:firstLine="480"/>
              <w:textAlignment w:val="baseline"/>
              <w:rPr>
                <w:rFonts w:hint="eastAsia" w:ascii="Times New Roman" w:hAnsi="Times New Roman" w:eastAsia="宋体" w:cs="Times New Roman"/>
                <w:color w:val="000000" w:themeColor="text1"/>
                <w:sz w:val="24"/>
                <w:lang w:eastAsia="zh-CN"/>
              </w:rPr>
            </w:pPr>
            <w:r>
              <w:rPr>
                <w:rFonts w:hint="default" w:ascii="Times New Roman" w:hAnsi="Times New Roman" w:cs="Times New Roman"/>
                <w:color w:val="000000" w:themeColor="text1"/>
                <w:sz w:val="24"/>
              </w:rPr>
              <w:t>五、</w:t>
            </w:r>
            <w:r>
              <w:rPr>
                <w:rFonts w:hint="eastAsia" w:ascii="Times New Roman" w:hAnsi="Times New Roman" w:cs="Times New Roman"/>
                <w:color w:val="000000" w:themeColor="text1"/>
                <w:sz w:val="24"/>
                <w:lang w:val="en-US" w:eastAsia="zh-CN"/>
              </w:rPr>
              <w:t>生态环境质量</w:t>
            </w:r>
          </w:p>
          <w:p w14:paraId="785FF9FC">
            <w:pPr>
              <w:autoSpaceDE w:val="0"/>
              <w:autoSpaceDN w:val="0"/>
              <w:adjustRightInd w:val="0"/>
              <w:snapToGrid w:val="0"/>
              <w:spacing w:line="360" w:lineRule="auto"/>
              <w:ind w:firstLine="480" w:firstLineChars="200"/>
              <w:jc w:val="left"/>
              <w:rPr>
                <w:rFonts w:hint="default" w:ascii="Times New Roman" w:hAnsi="Times New Roman" w:cs="Times New Roman"/>
                <w:color w:val="000000" w:themeColor="text1"/>
                <w:kern w:val="0"/>
                <w:szCs w:val="21"/>
              </w:rPr>
            </w:pPr>
            <w:r>
              <w:rPr>
                <w:rFonts w:hint="eastAsia" w:ascii="Times New Roman" w:hAnsi="Times New Roman" w:cs="Times New Roman"/>
                <w:color w:val="000000" w:themeColor="text1"/>
                <w:sz w:val="24"/>
                <w:lang w:val="en-US" w:eastAsia="zh-CN"/>
              </w:rPr>
              <w:t>本项目位于</w:t>
            </w:r>
            <w:r>
              <w:rPr>
                <w:rStyle w:val="41"/>
                <w:rFonts w:hint="eastAsia" w:cs="Times New Roman"/>
                <w:color w:val="000000" w:themeColor="text1"/>
                <w:kern w:val="0"/>
                <w:sz w:val="24"/>
                <w:szCs w:val="24"/>
                <w:lang w:eastAsia="zh-CN"/>
              </w:rPr>
              <w:t>安徽省淮北市杜集区经济开发区发展路10号</w:t>
            </w:r>
            <w:r>
              <w:rPr>
                <w:rFonts w:hint="eastAsia" w:ascii="Times New Roman" w:hAnsi="Times New Roman" w:eastAsia="宋体" w:cs="Times New Roman"/>
                <w:color w:val="000000" w:themeColor="text1"/>
                <w:sz w:val="24"/>
                <w:szCs w:val="24"/>
                <w:lang w:val="en-US" w:eastAsia="zh-CN" w:bidi="ar"/>
              </w:rPr>
              <w:t>，用地范围内不涉及野生保护动植物等生态环境保护坐标</w:t>
            </w:r>
            <w:r>
              <w:rPr>
                <w:rFonts w:hint="default" w:ascii="Times New Roman" w:hAnsi="Times New Roman" w:cs="Times New Roman"/>
                <w:color w:val="000000" w:themeColor="text1"/>
                <w:sz w:val="24"/>
              </w:rPr>
              <w:t>。</w:t>
            </w:r>
          </w:p>
        </w:tc>
      </w:tr>
      <w:tr w14:paraId="0967B6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424" w:type="dxa"/>
            <w:noWrap w:val="0"/>
            <w:vAlign w:val="center"/>
          </w:tcPr>
          <w:p w14:paraId="4682E687">
            <w:pPr>
              <w:adjustRightInd w:val="0"/>
              <w:snapToGrid w:val="0"/>
              <w:jc w:val="center"/>
              <w:rPr>
                <w:rFonts w:hint="default" w:ascii="Times New Roman" w:hAnsi="Times New Roman" w:cs="Times New Roman"/>
                <w:color w:val="000000" w:themeColor="text1"/>
                <w:kern w:val="0"/>
                <w:szCs w:val="21"/>
              </w:rPr>
            </w:pPr>
            <w:r>
              <w:rPr>
                <w:rFonts w:hint="default" w:ascii="Times New Roman" w:hAnsi="Times New Roman" w:cs="Times New Roman"/>
                <w:color w:val="000000" w:themeColor="text1"/>
                <w:kern w:val="0"/>
                <w:szCs w:val="21"/>
              </w:rPr>
              <w:t>环境</w:t>
            </w:r>
          </w:p>
          <w:p w14:paraId="1416BBFA">
            <w:pPr>
              <w:adjustRightInd w:val="0"/>
              <w:snapToGrid w:val="0"/>
              <w:jc w:val="center"/>
              <w:rPr>
                <w:rFonts w:hint="default" w:ascii="Times New Roman" w:hAnsi="Times New Roman" w:cs="Times New Roman"/>
                <w:color w:val="000000" w:themeColor="text1"/>
                <w:kern w:val="0"/>
                <w:szCs w:val="21"/>
              </w:rPr>
            </w:pPr>
            <w:r>
              <w:rPr>
                <w:rFonts w:hint="default" w:ascii="Times New Roman" w:hAnsi="Times New Roman" w:cs="Times New Roman"/>
                <w:color w:val="000000" w:themeColor="text1"/>
                <w:kern w:val="0"/>
                <w:szCs w:val="21"/>
              </w:rPr>
              <w:t>保护</w:t>
            </w:r>
          </w:p>
          <w:p w14:paraId="4B0FCDE8">
            <w:pPr>
              <w:adjustRightInd w:val="0"/>
              <w:snapToGrid w:val="0"/>
              <w:jc w:val="center"/>
              <w:rPr>
                <w:rFonts w:hint="default" w:ascii="Times New Roman" w:hAnsi="Times New Roman" w:cs="Times New Roman"/>
                <w:color w:val="000000" w:themeColor="text1"/>
                <w:kern w:val="0"/>
                <w:szCs w:val="21"/>
              </w:rPr>
            </w:pPr>
            <w:r>
              <w:rPr>
                <w:rFonts w:hint="default" w:ascii="Times New Roman" w:hAnsi="Times New Roman" w:cs="Times New Roman"/>
                <w:color w:val="000000" w:themeColor="text1"/>
                <w:kern w:val="0"/>
                <w:szCs w:val="21"/>
              </w:rPr>
              <w:t>目标</w:t>
            </w:r>
          </w:p>
        </w:tc>
        <w:tc>
          <w:tcPr>
            <w:tcW w:w="8637" w:type="dxa"/>
            <w:noWrap w:val="0"/>
            <w:vAlign w:val="center"/>
          </w:tcPr>
          <w:p w14:paraId="7E4AB16D">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themeColor="text1"/>
                <w:sz w:val="24"/>
                <w:highlight w:val="none"/>
              </w:rPr>
            </w:pPr>
            <w:r>
              <w:rPr>
                <w:rFonts w:hint="default" w:ascii="Times New Roman" w:hAnsi="Times New Roman" w:cs="Times New Roman"/>
                <w:color w:val="000000" w:themeColor="text1"/>
                <w:sz w:val="24"/>
                <w:highlight w:val="none"/>
              </w:rPr>
              <w:t>评价范围内无自然保护区、风景名胜区和文物古迹等需要特殊保护的环境敏感对象，总体上不因本项目的实施而改变区域环境现有功能。具体环境保护目标如下：</w:t>
            </w:r>
          </w:p>
          <w:p w14:paraId="2F458B01">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cs="Times New Roman"/>
                <w:color w:val="000000" w:themeColor="text1"/>
                <w:sz w:val="24"/>
                <w:highlight w:val="none"/>
                <w:lang w:val="en-US" w:eastAsia="zh-CN"/>
              </w:rPr>
            </w:pPr>
            <w:r>
              <w:rPr>
                <w:rFonts w:hint="eastAsia" w:ascii="Times New Roman" w:hAnsi="Times New Roman" w:cs="Times New Roman"/>
                <w:color w:val="000000" w:themeColor="text1"/>
                <w:kern w:val="2"/>
                <w:sz w:val="24"/>
                <w:szCs w:val="21"/>
                <w:lang w:val="en-US" w:eastAsia="zh-CN" w:bidi="ar-SA"/>
              </w:rPr>
              <w:t>1、</w:t>
            </w:r>
            <w:r>
              <w:rPr>
                <w:rFonts w:hint="eastAsia" w:ascii="Times New Roman" w:hAnsi="Times New Roman" w:cs="Times New Roman"/>
                <w:color w:val="000000" w:themeColor="text1"/>
                <w:sz w:val="24"/>
                <w:highlight w:val="none"/>
                <w:lang w:val="en-US" w:eastAsia="zh-CN"/>
              </w:rPr>
              <w:t>大气环境：本项目所在区域执行《环境空气质量标准》（GB3095-2026）过渡阶段浓度限值中的二级标准。</w:t>
            </w:r>
          </w:p>
          <w:p w14:paraId="5A5F055B">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themeColor="text1"/>
                <w:sz w:val="24"/>
                <w:highlight w:val="none"/>
              </w:rPr>
            </w:pPr>
            <w:r>
              <w:rPr>
                <w:rFonts w:hint="default" w:ascii="Times New Roman" w:hAnsi="Times New Roman" w:cs="Times New Roman"/>
                <w:color w:val="000000" w:themeColor="text1"/>
                <w:kern w:val="2"/>
                <w:sz w:val="24"/>
                <w:szCs w:val="21"/>
                <w:lang w:val="en-US" w:eastAsia="zh-CN" w:bidi="ar-SA"/>
              </w:rPr>
              <w:t>2、</w:t>
            </w:r>
            <w:r>
              <w:rPr>
                <w:rFonts w:hint="default" w:ascii="Times New Roman" w:hAnsi="Times New Roman" w:cs="Times New Roman"/>
                <w:color w:val="000000" w:themeColor="text1"/>
                <w:sz w:val="24"/>
                <w:highlight w:val="none"/>
              </w:rPr>
              <w:t>地表水：项目所在区域地表水岱河、龙河执行《地表水环境质量标准》（GB3838-2002）中 IV 类水质标准。</w:t>
            </w:r>
          </w:p>
          <w:p w14:paraId="1B382328">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themeColor="text1"/>
                <w:sz w:val="24"/>
                <w:highlight w:val="none"/>
              </w:rPr>
            </w:pPr>
            <w:r>
              <w:rPr>
                <w:rFonts w:hint="default" w:ascii="Times New Roman" w:hAnsi="Times New Roman" w:cs="Times New Roman"/>
                <w:color w:val="000000" w:themeColor="text1"/>
                <w:kern w:val="2"/>
                <w:sz w:val="24"/>
                <w:szCs w:val="21"/>
                <w:lang w:val="en-US" w:eastAsia="zh-CN" w:bidi="ar-SA"/>
              </w:rPr>
              <w:t>3、</w:t>
            </w:r>
            <w:r>
              <w:rPr>
                <w:rFonts w:hint="default" w:ascii="Times New Roman" w:hAnsi="Times New Roman" w:cs="Times New Roman"/>
                <w:color w:val="000000" w:themeColor="text1"/>
                <w:sz w:val="24"/>
                <w:highlight w:val="none"/>
              </w:rPr>
              <w:t>声环境：声环境保护目标主要为厂界外50m范围内居民点，区域</w:t>
            </w:r>
            <w:r>
              <w:rPr>
                <w:rFonts w:hint="eastAsia" w:cs="Times New Roman"/>
                <w:color w:val="000000" w:themeColor="text1"/>
                <w:sz w:val="24"/>
                <w:highlight w:val="none"/>
                <w:lang w:val="en-US" w:eastAsia="zh-CN"/>
              </w:rPr>
              <w:t>内声环境保护目标</w:t>
            </w:r>
            <w:r>
              <w:rPr>
                <w:rFonts w:hint="default" w:ascii="Times New Roman" w:hAnsi="Times New Roman" w:cs="Times New Roman"/>
                <w:color w:val="000000" w:themeColor="text1"/>
                <w:sz w:val="24"/>
                <w:highlight w:val="none"/>
              </w:rPr>
              <w:t>执行《声环境质量标准》（GB3096-2008）中的</w:t>
            </w:r>
            <w:r>
              <w:rPr>
                <w:rFonts w:hint="eastAsia" w:cs="Times New Roman"/>
                <w:color w:val="000000" w:themeColor="text1"/>
                <w:sz w:val="24"/>
                <w:highlight w:val="none"/>
                <w:lang w:val="en-US" w:eastAsia="zh-CN"/>
              </w:rPr>
              <w:t>2</w:t>
            </w:r>
            <w:r>
              <w:rPr>
                <w:rFonts w:hint="default" w:ascii="Times New Roman" w:hAnsi="Times New Roman" w:cs="Times New Roman"/>
                <w:color w:val="000000" w:themeColor="text1"/>
                <w:sz w:val="24"/>
                <w:highlight w:val="none"/>
              </w:rPr>
              <w:t>类区标准</w:t>
            </w:r>
            <w:r>
              <w:rPr>
                <w:rFonts w:hint="eastAsia" w:ascii="Times New Roman" w:hAnsi="Times New Roman" w:cs="Times New Roman"/>
                <w:color w:val="000000" w:themeColor="text1"/>
                <w:sz w:val="24"/>
                <w:highlight w:val="none"/>
                <w:lang w:eastAsia="zh-CN"/>
              </w:rPr>
              <w:t>。</w:t>
            </w:r>
          </w:p>
          <w:p w14:paraId="3E007AA5">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themeColor="text1"/>
                <w:sz w:val="24"/>
                <w:highlight w:val="none"/>
              </w:rPr>
            </w:pPr>
            <w:r>
              <w:rPr>
                <w:rFonts w:hint="default" w:ascii="Times New Roman" w:hAnsi="Times New Roman" w:cs="Times New Roman"/>
                <w:color w:val="000000" w:themeColor="text1"/>
                <w:kern w:val="2"/>
                <w:sz w:val="24"/>
                <w:szCs w:val="21"/>
                <w:lang w:val="en-US" w:eastAsia="zh-CN" w:bidi="ar-SA"/>
              </w:rPr>
              <w:t>4、</w:t>
            </w:r>
            <w:r>
              <w:rPr>
                <w:rFonts w:hint="default" w:ascii="Times New Roman" w:hAnsi="Times New Roman" w:cs="Times New Roman"/>
                <w:color w:val="000000" w:themeColor="text1"/>
                <w:sz w:val="24"/>
                <w:highlight w:val="none"/>
              </w:rPr>
              <w:t>地下水环境：本项目厂界外 500 米范围内无地下水集中式饮用水水源和热水、矿泉水、温泉等特殊地下水资源，区域地下水环境执行《地下水质量标准》（GB/T14848-2017）中的Ⅲ类标准。</w:t>
            </w:r>
          </w:p>
          <w:p w14:paraId="05CDECAC">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000000" w:themeColor="text1"/>
                <w:sz w:val="24"/>
                <w:highlight w:val="none"/>
                <w:lang w:val="en-US"/>
              </w:rPr>
            </w:pPr>
            <w:r>
              <w:rPr>
                <w:rFonts w:hint="eastAsia" w:ascii="Times New Roman" w:hAnsi="Times New Roman" w:cs="Times New Roman"/>
                <w:color w:val="000000" w:themeColor="text1"/>
                <w:kern w:val="2"/>
                <w:sz w:val="24"/>
                <w:szCs w:val="21"/>
                <w:lang w:val="en-US" w:eastAsia="zh-CN" w:bidi="ar-SA"/>
              </w:rPr>
              <w:t>具体保护目标如下：</w:t>
            </w:r>
          </w:p>
          <w:p w14:paraId="37242730">
            <w:pPr>
              <w:pStyle w:val="3"/>
              <w:keepNext/>
              <w:keepLines/>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eastAsia" w:ascii="Times New Roman" w:hAnsi="Times New Roman" w:eastAsia="宋体" w:cs="Times New Roman"/>
                <w:color w:val="000000" w:themeColor="text1"/>
                <w:sz w:val="24"/>
                <w:szCs w:val="24"/>
                <w:lang w:val="en-US" w:eastAsia="zh-CN"/>
              </w:rPr>
            </w:pPr>
            <w:r>
              <w:rPr>
                <w:rFonts w:hint="eastAsia" w:ascii="Times New Roman" w:hAnsi="Times New Roman" w:eastAsia="宋体" w:cs="Times New Roman"/>
                <w:color w:val="000000" w:themeColor="text1"/>
                <w:sz w:val="24"/>
                <w:szCs w:val="24"/>
                <w:lang w:val="en-US" w:eastAsia="zh-CN"/>
              </w:rPr>
              <w:t>表3-</w:t>
            </w:r>
            <w:r>
              <w:rPr>
                <w:rFonts w:hint="eastAsia" w:ascii="Times New Roman" w:hAnsi="Times New Roman" w:cs="Times New Roman"/>
                <w:color w:val="000000" w:themeColor="text1"/>
                <w:sz w:val="24"/>
                <w:szCs w:val="24"/>
                <w:lang w:val="en-US" w:eastAsia="zh-CN"/>
              </w:rPr>
              <w:t xml:space="preserve">6  </w:t>
            </w:r>
            <w:r>
              <w:rPr>
                <w:rFonts w:hint="eastAsia" w:ascii="Times New Roman" w:hAnsi="Times New Roman" w:eastAsia="宋体" w:cs="Times New Roman"/>
                <w:color w:val="000000" w:themeColor="text1"/>
                <w:sz w:val="24"/>
                <w:szCs w:val="24"/>
                <w:lang w:val="en-US" w:eastAsia="zh-CN"/>
              </w:rPr>
              <w:t>环境保护目标一览表</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0"/>
              <w:gridCol w:w="926"/>
              <w:gridCol w:w="859"/>
              <w:gridCol w:w="825"/>
              <w:gridCol w:w="735"/>
              <w:gridCol w:w="827"/>
              <w:gridCol w:w="2243"/>
              <w:gridCol w:w="634"/>
              <w:gridCol w:w="821"/>
            </w:tblGrid>
            <w:tr w14:paraId="7227A6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540" w:type="dxa"/>
                  <w:vMerge w:val="restart"/>
                  <w:noWrap w:val="0"/>
                  <w:vAlign w:val="center"/>
                </w:tcPr>
                <w:p w14:paraId="28EE63FB">
                  <w:pPr>
                    <w:pStyle w:val="85"/>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b/>
                      <w:bCs/>
                      <w:color w:val="000000" w:themeColor="text1"/>
                      <w:sz w:val="21"/>
                      <w:szCs w:val="21"/>
                    </w:rPr>
                  </w:pPr>
                  <w:r>
                    <w:rPr>
                      <w:rFonts w:hint="default" w:ascii="Times New Roman" w:hAnsi="Times New Roman" w:eastAsia="宋体" w:cs="Times New Roman"/>
                      <w:b/>
                      <w:bCs/>
                      <w:color w:val="000000" w:themeColor="text1"/>
                      <w:sz w:val="21"/>
                      <w:szCs w:val="21"/>
                    </w:rPr>
                    <w:t>类别</w:t>
                  </w:r>
                </w:p>
              </w:tc>
              <w:tc>
                <w:tcPr>
                  <w:tcW w:w="926" w:type="dxa"/>
                  <w:vMerge w:val="restart"/>
                  <w:noWrap w:val="0"/>
                  <w:vAlign w:val="center"/>
                </w:tcPr>
                <w:p w14:paraId="4410C9EB">
                  <w:pPr>
                    <w:pStyle w:val="85"/>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b/>
                      <w:bCs/>
                      <w:color w:val="000000" w:themeColor="text1"/>
                      <w:sz w:val="21"/>
                      <w:szCs w:val="21"/>
                    </w:rPr>
                  </w:pPr>
                  <w:r>
                    <w:rPr>
                      <w:rFonts w:hint="default" w:ascii="Times New Roman" w:hAnsi="Times New Roman" w:eastAsia="宋体" w:cs="Times New Roman"/>
                      <w:b/>
                      <w:bCs/>
                      <w:color w:val="000000" w:themeColor="text1"/>
                      <w:sz w:val="21"/>
                      <w:szCs w:val="21"/>
                    </w:rPr>
                    <w:t>名称</w:t>
                  </w:r>
                </w:p>
              </w:tc>
              <w:tc>
                <w:tcPr>
                  <w:tcW w:w="1684" w:type="dxa"/>
                  <w:gridSpan w:val="2"/>
                  <w:noWrap w:val="0"/>
                  <w:vAlign w:val="center"/>
                </w:tcPr>
                <w:p w14:paraId="23902E34">
                  <w:pPr>
                    <w:pStyle w:val="85"/>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b/>
                      <w:bCs/>
                      <w:color w:val="000000" w:themeColor="text1"/>
                      <w:sz w:val="21"/>
                      <w:szCs w:val="21"/>
                    </w:rPr>
                  </w:pPr>
                  <w:r>
                    <w:rPr>
                      <w:rFonts w:hint="default" w:ascii="Times New Roman" w:hAnsi="Times New Roman" w:eastAsia="宋体" w:cs="Times New Roman"/>
                      <w:b/>
                      <w:bCs/>
                      <w:color w:val="000000" w:themeColor="text1"/>
                      <w:sz w:val="21"/>
                      <w:szCs w:val="21"/>
                    </w:rPr>
                    <w:t>坐标</w:t>
                  </w:r>
                </w:p>
              </w:tc>
              <w:tc>
                <w:tcPr>
                  <w:tcW w:w="735" w:type="dxa"/>
                  <w:vMerge w:val="restart"/>
                  <w:noWrap w:val="0"/>
                  <w:vAlign w:val="center"/>
                </w:tcPr>
                <w:p w14:paraId="0A3A673A">
                  <w:pPr>
                    <w:pStyle w:val="85"/>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b/>
                      <w:bCs/>
                      <w:color w:val="000000" w:themeColor="text1"/>
                      <w:sz w:val="21"/>
                      <w:szCs w:val="21"/>
                    </w:rPr>
                  </w:pPr>
                  <w:r>
                    <w:rPr>
                      <w:rFonts w:hint="default" w:ascii="Times New Roman" w:hAnsi="Times New Roman" w:eastAsia="宋体" w:cs="Times New Roman"/>
                      <w:b/>
                      <w:bCs/>
                      <w:color w:val="000000" w:themeColor="text1"/>
                      <w:sz w:val="21"/>
                      <w:szCs w:val="21"/>
                    </w:rPr>
                    <w:t>保护对象</w:t>
                  </w:r>
                </w:p>
              </w:tc>
              <w:tc>
                <w:tcPr>
                  <w:tcW w:w="827" w:type="dxa"/>
                  <w:vMerge w:val="restart"/>
                  <w:noWrap w:val="0"/>
                  <w:vAlign w:val="center"/>
                </w:tcPr>
                <w:p w14:paraId="40D5861D">
                  <w:pPr>
                    <w:pStyle w:val="85"/>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b/>
                      <w:bCs/>
                      <w:color w:val="000000" w:themeColor="text1"/>
                      <w:sz w:val="21"/>
                      <w:szCs w:val="21"/>
                    </w:rPr>
                  </w:pPr>
                  <w:r>
                    <w:rPr>
                      <w:rFonts w:hint="default" w:ascii="Times New Roman" w:hAnsi="Times New Roman" w:eastAsia="宋体" w:cs="Times New Roman"/>
                      <w:b/>
                      <w:bCs/>
                      <w:color w:val="000000" w:themeColor="text1"/>
                      <w:sz w:val="21"/>
                      <w:szCs w:val="21"/>
                    </w:rPr>
                    <w:t>保护内容</w:t>
                  </w:r>
                </w:p>
              </w:tc>
              <w:tc>
                <w:tcPr>
                  <w:tcW w:w="2243" w:type="dxa"/>
                  <w:vMerge w:val="restart"/>
                  <w:noWrap w:val="0"/>
                  <w:vAlign w:val="center"/>
                </w:tcPr>
                <w:p w14:paraId="4180B3CF">
                  <w:pPr>
                    <w:pStyle w:val="85"/>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b/>
                      <w:bCs/>
                      <w:color w:val="000000" w:themeColor="text1"/>
                      <w:sz w:val="21"/>
                      <w:szCs w:val="21"/>
                    </w:rPr>
                  </w:pPr>
                  <w:r>
                    <w:rPr>
                      <w:rFonts w:hint="default" w:ascii="Times New Roman" w:hAnsi="Times New Roman" w:eastAsia="宋体" w:cs="Times New Roman"/>
                      <w:b/>
                      <w:bCs/>
                      <w:color w:val="000000" w:themeColor="text1"/>
                      <w:sz w:val="21"/>
                      <w:szCs w:val="21"/>
                    </w:rPr>
                    <w:t>环境功能区</w:t>
                  </w:r>
                </w:p>
              </w:tc>
              <w:tc>
                <w:tcPr>
                  <w:tcW w:w="634" w:type="dxa"/>
                  <w:vMerge w:val="restart"/>
                  <w:noWrap w:val="0"/>
                  <w:vAlign w:val="center"/>
                </w:tcPr>
                <w:p w14:paraId="0F2FF1A1">
                  <w:pPr>
                    <w:pStyle w:val="85"/>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b/>
                      <w:bCs/>
                      <w:color w:val="000000" w:themeColor="text1"/>
                      <w:sz w:val="21"/>
                      <w:szCs w:val="21"/>
                    </w:rPr>
                  </w:pPr>
                  <w:r>
                    <w:rPr>
                      <w:rFonts w:hint="default" w:ascii="Times New Roman" w:hAnsi="Times New Roman" w:eastAsia="宋体" w:cs="Times New Roman"/>
                      <w:b/>
                      <w:bCs/>
                      <w:color w:val="000000" w:themeColor="text1"/>
                      <w:sz w:val="21"/>
                      <w:szCs w:val="21"/>
                    </w:rPr>
                    <w:t>相对厂址方位</w:t>
                  </w:r>
                </w:p>
              </w:tc>
              <w:tc>
                <w:tcPr>
                  <w:tcW w:w="821" w:type="dxa"/>
                  <w:vMerge w:val="restart"/>
                  <w:noWrap w:val="0"/>
                  <w:vAlign w:val="center"/>
                </w:tcPr>
                <w:p w14:paraId="2AF493B1">
                  <w:pPr>
                    <w:pStyle w:val="85"/>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b/>
                      <w:bCs/>
                      <w:color w:val="000000" w:themeColor="text1"/>
                      <w:sz w:val="21"/>
                      <w:szCs w:val="21"/>
                    </w:rPr>
                  </w:pPr>
                  <w:r>
                    <w:rPr>
                      <w:rFonts w:hint="default" w:ascii="Times New Roman" w:hAnsi="Times New Roman" w:eastAsia="宋体" w:cs="Times New Roman"/>
                      <w:b/>
                      <w:bCs/>
                      <w:color w:val="000000" w:themeColor="text1"/>
                      <w:sz w:val="21"/>
                      <w:szCs w:val="21"/>
                    </w:rPr>
                    <w:t>相对厂界距离/m</w:t>
                  </w:r>
                </w:p>
              </w:tc>
            </w:tr>
            <w:tr w14:paraId="459AD7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0" w:type="dxa"/>
                  <w:vMerge w:val="continue"/>
                  <w:noWrap w:val="0"/>
                  <w:vAlign w:val="center"/>
                </w:tcPr>
                <w:p w14:paraId="7CF088BB">
                  <w:pPr>
                    <w:pStyle w:val="85"/>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sz w:val="21"/>
                      <w:szCs w:val="21"/>
                    </w:rPr>
                  </w:pPr>
                </w:p>
              </w:tc>
              <w:tc>
                <w:tcPr>
                  <w:tcW w:w="926" w:type="dxa"/>
                  <w:vMerge w:val="continue"/>
                  <w:noWrap w:val="0"/>
                  <w:vAlign w:val="center"/>
                </w:tcPr>
                <w:p w14:paraId="531C2E71">
                  <w:pPr>
                    <w:pStyle w:val="85"/>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sz w:val="21"/>
                      <w:szCs w:val="21"/>
                    </w:rPr>
                  </w:pPr>
                </w:p>
              </w:tc>
              <w:tc>
                <w:tcPr>
                  <w:tcW w:w="859" w:type="dxa"/>
                  <w:noWrap w:val="0"/>
                  <w:vAlign w:val="center"/>
                </w:tcPr>
                <w:p w14:paraId="2A330E95">
                  <w:pPr>
                    <w:pStyle w:val="85"/>
                    <w:keepNext w:val="0"/>
                    <w:keepLines w:val="0"/>
                    <w:pageBreakBefore w:val="0"/>
                    <w:kinsoku/>
                    <w:wordWrap/>
                    <w:overflowPunct/>
                    <w:topLinePunct w:val="0"/>
                    <w:autoSpaceDE/>
                    <w:autoSpaceDN/>
                    <w:bidi w:val="0"/>
                    <w:spacing w:line="240" w:lineRule="auto"/>
                    <w:jc w:val="center"/>
                    <w:rPr>
                      <w:rFonts w:hint="eastAsia" w:ascii="Times New Roman" w:hAnsi="Times New Roman" w:eastAsia="宋体" w:cs="Times New Roman"/>
                      <w:b/>
                      <w:bCs/>
                      <w:color w:val="000000" w:themeColor="text1"/>
                      <w:sz w:val="21"/>
                      <w:szCs w:val="21"/>
                      <w:lang w:eastAsia="zh-CN"/>
                    </w:rPr>
                  </w:pPr>
                  <w:r>
                    <w:rPr>
                      <w:rFonts w:hint="eastAsia" w:cs="Times New Roman"/>
                      <w:b/>
                      <w:bCs/>
                      <w:color w:val="000000" w:themeColor="text1"/>
                      <w:sz w:val="21"/>
                      <w:szCs w:val="21"/>
                      <w:lang w:val="en-US" w:eastAsia="zh-CN"/>
                    </w:rPr>
                    <w:t>X</w:t>
                  </w:r>
                </w:p>
              </w:tc>
              <w:tc>
                <w:tcPr>
                  <w:tcW w:w="825" w:type="dxa"/>
                  <w:noWrap w:val="0"/>
                  <w:vAlign w:val="center"/>
                </w:tcPr>
                <w:p w14:paraId="31AD2F51">
                  <w:pPr>
                    <w:pStyle w:val="85"/>
                    <w:keepNext w:val="0"/>
                    <w:keepLines w:val="0"/>
                    <w:pageBreakBefore w:val="0"/>
                    <w:kinsoku/>
                    <w:wordWrap/>
                    <w:overflowPunct/>
                    <w:topLinePunct w:val="0"/>
                    <w:autoSpaceDE/>
                    <w:autoSpaceDN/>
                    <w:bidi w:val="0"/>
                    <w:spacing w:line="240" w:lineRule="auto"/>
                    <w:jc w:val="center"/>
                    <w:rPr>
                      <w:rFonts w:hint="eastAsia" w:ascii="Times New Roman" w:hAnsi="Times New Roman" w:eastAsia="宋体" w:cs="Times New Roman"/>
                      <w:b/>
                      <w:bCs/>
                      <w:color w:val="000000" w:themeColor="text1"/>
                      <w:sz w:val="21"/>
                      <w:szCs w:val="21"/>
                      <w:lang w:eastAsia="zh-CN"/>
                    </w:rPr>
                  </w:pPr>
                  <w:r>
                    <w:rPr>
                      <w:rFonts w:hint="eastAsia" w:cs="Times New Roman"/>
                      <w:b/>
                      <w:bCs/>
                      <w:color w:val="000000" w:themeColor="text1"/>
                      <w:sz w:val="21"/>
                      <w:szCs w:val="21"/>
                      <w:lang w:val="en-US" w:eastAsia="zh-CN"/>
                    </w:rPr>
                    <w:t>Y</w:t>
                  </w:r>
                </w:p>
              </w:tc>
              <w:tc>
                <w:tcPr>
                  <w:tcW w:w="735" w:type="dxa"/>
                  <w:vMerge w:val="continue"/>
                  <w:noWrap w:val="0"/>
                  <w:vAlign w:val="center"/>
                </w:tcPr>
                <w:p w14:paraId="61E0FB51">
                  <w:pPr>
                    <w:pStyle w:val="85"/>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sz w:val="21"/>
                      <w:szCs w:val="21"/>
                    </w:rPr>
                  </w:pPr>
                </w:p>
              </w:tc>
              <w:tc>
                <w:tcPr>
                  <w:tcW w:w="827" w:type="dxa"/>
                  <w:vMerge w:val="continue"/>
                  <w:noWrap w:val="0"/>
                  <w:vAlign w:val="center"/>
                </w:tcPr>
                <w:p w14:paraId="5742115C">
                  <w:pPr>
                    <w:pStyle w:val="85"/>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sz w:val="21"/>
                      <w:szCs w:val="21"/>
                    </w:rPr>
                  </w:pPr>
                </w:p>
              </w:tc>
              <w:tc>
                <w:tcPr>
                  <w:tcW w:w="2243" w:type="dxa"/>
                  <w:vMerge w:val="continue"/>
                  <w:noWrap w:val="0"/>
                  <w:vAlign w:val="center"/>
                </w:tcPr>
                <w:p w14:paraId="2C2A1D7C">
                  <w:pPr>
                    <w:pStyle w:val="85"/>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sz w:val="21"/>
                      <w:szCs w:val="21"/>
                    </w:rPr>
                  </w:pPr>
                </w:p>
              </w:tc>
              <w:tc>
                <w:tcPr>
                  <w:tcW w:w="634" w:type="dxa"/>
                  <w:vMerge w:val="continue"/>
                  <w:noWrap w:val="0"/>
                  <w:vAlign w:val="center"/>
                </w:tcPr>
                <w:p w14:paraId="42FBBA5D">
                  <w:pPr>
                    <w:pStyle w:val="85"/>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sz w:val="21"/>
                      <w:szCs w:val="21"/>
                    </w:rPr>
                  </w:pPr>
                </w:p>
              </w:tc>
              <w:tc>
                <w:tcPr>
                  <w:tcW w:w="821" w:type="dxa"/>
                  <w:vMerge w:val="continue"/>
                  <w:noWrap w:val="0"/>
                  <w:vAlign w:val="center"/>
                </w:tcPr>
                <w:p w14:paraId="184676CB">
                  <w:pPr>
                    <w:pStyle w:val="85"/>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sz w:val="21"/>
                      <w:szCs w:val="21"/>
                    </w:rPr>
                  </w:pPr>
                </w:p>
              </w:tc>
            </w:tr>
            <w:tr w14:paraId="30E51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540" w:type="dxa"/>
                  <w:vMerge w:val="restart"/>
                  <w:noWrap w:val="0"/>
                  <w:vAlign w:val="center"/>
                </w:tcPr>
                <w:p w14:paraId="24B2478A">
                  <w:pPr>
                    <w:pStyle w:val="85"/>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大气环境</w:t>
                  </w:r>
                </w:p>
              </w:tc>
              <w:tc>
                <w:tcPr>
                  <w:tcW w:w="926" w:type="dxa"/>
                  <w:noWrap w:val="0"/>
                  <w:vAlign w:val="center"/>
                </w:tcPr>
                <w:p w14:paraId="656CBA53">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谢庄</w:t>
                  </w:r>
                </w:p>
              </w:tc>
              <w:tc>
                <w:tcPr>
                  <w:tcW w:w="859" w:type="dxa"/>
                  <w:noWrap w:val="0"/>
                  <w:vAlign w:val="center"/>
                </w:tcPr>
                <w:p w14:paraId="32DB93AA">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highlight w:val="none"/>
                      <w:lang w:val="en-US" w:eastAsia="zh-CN"/>
                    </w:rPr>
                    <w:t>0</w:t>
                  </w:r>
                </w:p>
              </w:tc>
              <w:tc>
                <w:tcPr>
                  <w:tcW w:w="825" w:type="dxa"/>
                  <w:noWrap w:val="0"/>
                  <w:vAlign w:val="center"/>
                </w:tcPr>
                <w:p w14:paraId="096E3839">
                  <w:pPr>
                    <w:keepNext w:val="0"/>
                    <w:keepLines w:val="0"/>
                    <w:pageBreakBefore w:val="0"/>
                    <w:widowControl/>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highlight w:val="none"/>
                      <w:lang w:val="en-US" w:eastAsia="zh-CN"/>
                    </w:rPr>
                    <w:t>172.2</w:t>
                  </w:r>
                </w:p>
              </w:tc>
              <w:tc>
                <w:tcPr>
                  <w:tcW w:w="1562" w:type="dxa"/>
                  <w:gridSpan w:val="2"/>
                  <w:noWrap w:val="0"/>
                  <w:vAlign w:val="center"/>
                </w:tcPr>
                <w:p w14:paraId="2F70DD03">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sz w:val="21"/>
                      <w:szCs w:val="21"/>
                      <w:lang w:val="en-US" w:eastAsia="zh-CN"/>
                    </w:rPr>
                  </w:pPr>
                  <w:r>
                    <w:rPr>
                      <w:rFonts w:hint="default" w:ascii="Times New Roman" w:hAnsi="Times New Roman" w:cs="Times New Roman"/>
                      <w:color w:val="000000" w:themeColor="text1"/>
                      <w:lang w:eastAsia="zh-CN"/>
                    </w:rPr>
                    <w:t>居民，约</w:t>
                  </w:r>
                  <w:r>
                    <w:rPr>
                      <w:rFonts w:hint="default" w:ascii="Times New Roman" w:hAnsi="Times New Roman" w:cs="Times New Roman"/>
                      <w:color w:val="000000" w:themeColor="text1"/>
                      <w:lang w:val="en-US" w:eastAsia="zh-CN"/>
                    </w:rPr>
                    <w:t>2</w:t>
                  </w:r>
                  <w:r>
                    <w:rPr>
                      <w:rFonts w:hint="eastAsia" w:cs="Times New Roman"/>
                      <w:color w:val="000000" w:themeColor="text1"/>
                      <w:lang w:val="en-US" w:eastAsia="zh-CN"/>
                    </w:rPr>
                    <w:t>30</w:t>
                  </w:r>
                  <w:r>
                    <w:rPr>
                      <w:rFonts w:hint="default" w:ascii="Times New Roman" w:hAnsi="Times New Roman" w:cs="Times New Roman"/>
                      <w:color w:val="000000" w:themeColor="text1"/>
                      <w:lang w:val="en-US" w:eastAsia="zh-CN"/>
                    </w:rPr>
                    <w:t>人</w:t>
                  </w:r>
                </w:p>
              </w:tc>
              <w:tc>
                <w:tcPr>
                  <w:tcW w:w="2243" w:type="dxa"/>
                  <w:vMerge w:val="restart"/>
                  <w:noWrap w:val="0"/>
                  <w:vAlign w:val="center"/>
                </w:tcPr>
                <w:p w14:paraId="5E82CCA1">
                  <w:pPr>
                    <w:pStyle w:val="85"/>
                    <w:keepNext w:val="0"/>
                    <w:keepLines w:val="0"/>
                    <w:pageBreakBefore w:val="0"/>
                    <w:kinsoku/>
                    <w:wordWrap/>
                    <w:overflowPunct/>
                    <w:topLinePunct w:val="0"/>
                    <w:autoSpaceDE/>
                    <w:autoSpaceDN/>
                    <w:bidi w:val="0"/>
                    <w:spacing w:line="240" w:lineRule="auto"/>
                    <w:rPr>
                      <w:rFonts w:hint="default" w:ascii="Times New Roman" w:hAnsi="Times New Roman" w:eastAsia="宋体" w:cs="Times New Roman"/>
                      <w:color w:val="000000" w:themeColor="text1"/>
                      <w:sz w:val="21"/>
                      <w:szCs w:val="21"/>
                      <w:lang w:val="en-US" w:eastAsia="zh-CN"/>
                    </w:rPr>
                  </w:pPr>
                  <w:r>
                    <w:rPr>
                      <w:rFonts w:hint="default" w:ascii="Times New Roman" w:hAnsi="Times New Roman" w:eastAsia="宋体" w:cs="Times New Roman"/>
                      <w:color w:val="000000" w:themeColor="text1"/>
                      <w:sz w:val="21"/>
                      <w:szCs w:val="21"/>
                      <w:lang w:val="en-US" w:eastAsia="zh-CN"/>
                    </w:rPr>
                    <w:t>《环境空气质量标准》（GB3095-2026）过渡阶段浓度限值中的二级标准</w:t>
                  </w:r>
                </w:p>
              </w:tc>
              <w:tc>
                <w:tcPr>
                  <w:tcW w:w="634" w:type="dxa"/>
                  <w:noWrap w:val="0"/>
                  <w:vAlign w:val="center"/>
                </w:tcPr>
                <w:p w14:paraId="2A13E71E">
                  <w:pPr>
                    <w:pStyle w:val="85"/>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000000" w:themeColor="text1"/>
                      <w:sz w:val="21"/>
                      <w:szCs w:val="21"/>
                    </w:rPr>
                  </w:pPr>
                  <w:r>
                    <w:rPr>
                      <w:rFonts w:hint="eastAsia" w:cs="Times New Roman"/>
                      <w:color w:val="000000" w:themeColor="text1"/>
                      <w:sz w:val="21"/>
                      <w:szCs w:val="21"/>
                      <w:lang w:val="en-US" w:eastAsia="zh-CN"/>
                    </w:rPr>
                    <w:t>N</w:t>
                  </w:r>
                </w:p>
              </w:tc>
              <w:tc>
                <w:tcPr>
                  <w:tcW w:w="821" w:type="dxa"/>
                  <w:noWrap w:val="0"/>
                  <w:vAlign w:val="center"/>
                </w:tcPr>
                <w:p w14:paraId="3D1CB140">
                  <w:pPr>
                    <w:pStyle w:val="85"/>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12</w:t>
                  </w:r>
                </w:p>
              </w:tc>
            </w:tr>
            <w:tr w14:paraId="5B5BD9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540" w:type="dxa"/>
                  <w:vMerge w:val="continue"/>
                  <w:noWrap w:val="0"/>
                  <w:vAlign w:val="center"/>
                </w:tcPr>
                <w:p w14:paraId="3CB4DCD9">
                  <w:pPr>
                    <w:keepNext w:val="0"/>
                    <w:keepLines w:val="0"/>
                    <w:pageBreakBefore w:val="0"/>
                    <w:kinsoku/>
                    <w:wordWrap/>
                    <w:overflowPunct/>
                    <w:topLinePunct w:val="0"/>
                    <w:autoSpaceDE/>
                    <w:autoSpaceDN/>
                    <w:bidi w:val="0"/>
                    <w:spacing w:line="240" w:lineRule="auto"/>
                    <w:jc w:val="center"/>
                    <w:rPr>
                      <w:rFonts w:hint="default" w:ascii="Times New Roman" w:hAnsi="Times New Roman" w:cs="Times New Roman"/>
                      <w:color w:val="000000" w:themeColor="text1"/>
                    </w:rPr>
                  </w:pPr>
                </w:p>
              </w:tc>
              <w:tc>
                <w:tcPr>
                  <w:tcW w:w="926" w:type="dxa"/>
                  <w:noWrap w:val="0"/>
                  <w:vAlign w:val="center"/>
                </w:tcPr>
                <w:p w14:paraId="4C5E9C3C">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lang w:eastAsia="zh-CN"/>
                    </w:rPr>
                  </w:pPr>
                  <w:r>
                    <w:rPr>
                      <w:rFonts w:hint="eastAsia" w:cs="Times New Roman"/>
                      <w:color w:val="000000" w:themeColor="text1"/>
                      <w:lang w:val="en-US" w:eastAsia="zh-CN"/>
                    </w:rPr>
                    <w:t>孙庄村</w:t>
                  </w:r>
                </w:p>
              </w:tc>
              <w:tc>
                <w:tcPr>
                  <w:tcW w:w="859" w:type="dxa"/>
                  <w:noWrap w:val="0"/>
                  <w:vAlign w:val="center"/>
                </w:tcPr>
                <w:p w14:paraId="7378BFED">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lang w:val="en-US" w:eastAsia="zh-CN"/>
                    </w:rPr>
                  </w:pPr>
                  <w:r>
                    <w:rPr>
                      <w:rFonts w:hint="eastAsia" w:cs="Times New Roman"/>
                      <w:color w:val="000000" w:themeColor="text1"/>
                      <w:sz w:val="21"/>
                      <w:szCs w:val="21"/>
                      <w:highlight w:val="none"/>
                      <w:lang w:val="en-US" w:eastAsia="zh-CN"/>
                    </w:rPr>
                    <w:t>210.0</w:t>
                  </w:r>
                </w:p>
              </w:tc>
              <w:tc>
                <w:tcPr>
                  <w:tcW w:w="825" w:type="dxa"/>
                  <w:noWrap w:val="0"/>
                  <w:vAlign w:val="center"/>
                </w:tcPr>
                <w:p w14:paraId="0EB26908">
                  <w:pPr>
                    <w:keepNext w:val="0"/>
                    <w:keepLines w:val="0"/>
                    <w:pageBreakBefore w:val="0"/>
                    <w:widowControl/>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lang w:val="en-US" w:eastAsia="zh-CN"/>
                    </w:rPr>
                  </w:pPr>
                  <w:r>
                    <w:rPr>
                      <w:rFonts w:hint="eastAsia" w:cs="Times New Roman"/>
                      <w:color w:val="000000" w:themeColor="text1"/>
                      <w:sz w:val="21"/>
                      <w:szCs w:val="21"/>
                      <w:highlight w:val="none"/>
                      <w:lang w:val="en-US" w:eastAsia="zh-CN"/>
                    </w:rPr>
                    <w:t>0</w:t>
                  </w:r>
                </w:p>
              </w:tc>
              <w:tc>
                <w:tcPr>
                  <w:tcW w:w="1562" w:type="dxa"/>
                  <w:gridSpan w:val="2"/>
                  <w:noWrap w:val="0"/>
                  <w:vAlign w:val="center"/>
                </w:tcPr>
                <w:p w14:paraId="19C850DC">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sz w:val="21"/>
                      <w:szCs w:val="21"/>
                      <w:lang w:val="en-US" w:eastAsia="zh-CN"/>
                    </w:rPr>
                  </w:pPr>
                  <w:r>
                    <w:rPr>
                      <w:rFonts w:hint="default" w:ascii="Times New Roman" w:hAnsi="Times New Roman" w:cs="Times New Roman"/>
                      <w:color w:val="000000" w:themeColor="text1"/>
                      <w:lang w:eastAsia="zh-CN"/>
                    </w:rPr>
                    <w:t>居民，约</w:t>
                  </w:r>
                  <w:r>
                    <w:rPr>
                      <w:rFonts w:hint="eastAsia" w:cs="Times New Roman"/>
                      <w:color w:val="000000" w:themeColor="text1"/>
                      <w:lang w:val="en-US" w:eastAsia="zh-CN"/>
                    </w:rPr>
                    <w:t>1460</w:t>
                  </w:r>
                  <w:r>
                    <w:rPr>
                      <w:rFonts w:hint="default" w:ascii="Times New Roman" w:hAnsi="Times New Roman" w:cs="Times New Roman"/>
                      <w:color w:val="000000" w:themeColor="text1"/>
                      <w:lang w:val="en-US" w:eastAsia="zh-CN"/>
                    </w:rPr>
                    <w:t>人</w:t>
                  </w:r>
                </w:p>
              </w:tc>
              <w:tc>
                <w:tcPr>
                  <w:tcW w:w="2243" w:type="dxa"/>
                  <w:vMerge w:val="continue"/>
                  <w:noWrap w:val="0"/>
                  <w:vAlign w:val="center"/>
                </w:tcPr>
                <w:p w14:paraId="05806E67">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sz w:val="21"/>
                      <w:szCs w:val="21"/>
                      <w:lang w:val="en-US" w:eastAsia="zh-CN"/>
                    </w:rPr>
                  </w:pPr>
                </w:p>
              </w:tc>
              <w:tc>
                <w:tcPr>
                  <w:tcW w:w="634" w:type="dxa"/>
                  <w:noWrap w:val="0"/>
                  <w:vAlign w:val="center"/>
                </w:tcPr>
                <w:p w14:paraId="30D19AC3">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E</w:t>
                  </w:r>
                </w:p>
              </w:tc>
              <w:tc>
                <w:tcPr>
                  <w:tcW w:w="821" w:type="dxa"/>
                  <w:noWrap w:val="0"/>
                  <w:vAlign w:val="center"/>
                </w:tcPr>
                <w:p w14:paraId="4D3AE237">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53</w:t>
                  </w:r>
                </w:p>
              </w:tc>
            </w:tr>
            <w:tr w14:paraId="0420D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540" w:type="dxa"/>
                  <w:vMerge w:val="continue"/>
                  <w:noWrap w:val="0"/>
                  <w:vAlign w:val="center"/>
                </w:tcPr>
                <w:p w14:paraId="28A0C238">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sz w:val="21"/>
                      <w:szCs w:val="21"/>
                      <w:lang w:val="en-US" w:eastAsia="zh-CN"/>
                    </w:rPr>
                  </w:pPr>
                </w:p>
              </w:tc>
              <w:tc>
                <w:tcPr>
                  <w:tcW w:w="926" w:type="dxa"/>
                  <w:noWrap w:val="0"/>
                  <w:vAlign w:val="center"/>
                </w:tcPr>
                <w:p w14:paraId="33CE3454">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青年路公租房小区</w:t>
                  </w:r>
                </w:p>
              </w:tc>
              <w:tc>
                <w:tcPr>
                  <w:tcW w:w="859" w:type="dxa"/>
                  <w:noWrap w:val="0"/>
                  <w:vAlign w:val="center"/>
                </w:tcPr>
                <w:p w14:paraId="6594B31A">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highlight w:val="none"/>
                      <w:lang w:val="en-US" w:eastAsia="zh-CN"/>
                    </w:rPr>
                    <w:t>230.0</w:t>
                  </w:r>
                </w:p>
              </w:tc>
              <w:tc>
                <w:tcPr>
                  <w:tcW w:w="825" w:type="dxa"/>
                  <w:noWrap w:val="0"/>
                  <w:vAlign w:val="center"/>
                </w:tcPr>
                <w:p w14:paraId="4C8CD1AE">
                  <w:pPr>
                    <w:keepNext w:val="0"/>
                    <w:keepLines w:val="0"/>
                    <w:pageBreakBefore w:val="0"/>
                    <w:widowControl/>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highlight w:val="none"/>
                      <w:lang w:val="en-US" w:eastAsia="zh-CN"/>
                    </w:rPr>
                    <w:t>-39.8</w:t>
                  </w:r>
                </w:p>
              </w:tc>
              <w:tc>
                <w:tcPr>
                  <w:tcW w:w="1562" w:type="dxa"/>
                  <w:gridSpan w:val="2"/>
                  <w:noWrap w:val="0"/>
                  <w:vAlign w:val="center"/>
                </w:tcPr>
                <w:p w14:paraId="0AACC292">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sz w:val="21"/>
                      <w:szCs w:val="21"/>
                      <w:lang w:val="en-US" w:eastAsia="zh-CN"/>
                    </w:rPr>
                  </w:pPr>
                  <w:r>
                    <w:rPr>
                      <w:rFonts w:hint="default" w:ascii="Times New Roman" w:hAnsi="Times New Roman" w:cs="Times New Roman"/>
                      <w:color w:val="000000" w:themeColor="text1"/>
                      <w:lang w:eastAsia="zh-CN"/>
                    </w:rPr>
                    <w:t>居民，约</w:t>
                  </w:r>
                  <w:r>
                    <w:rPr>
                      <w:rFonts w:hint="eastAsia" w:cs="Times New Roman"/>
                      <w:color w:val="000000" w:themeColor="text1"/>
                      <w:lang w:val="en-US" w:eastAsia="zh-CN"/>
                    </w:rPr>
                    <w:t>8</w:t>
                  </w:r>
                  <w:r>
                    <w:rPr>
                      <w:rFonts w:hint="default" w:ascii="Times New Roman" w:hAnsi="Times New Roman" w:cs="Times New Roman"/>
                      <w:color w:val="000000" w:themeColor="text1"/>
                      <w:lang w:val="en-US" w:eastAsia="zh-CN"/>
                    </w:rPr>
                    <w:t>40人</w:t>
                  </w:r>
                </w:p>
              </w:tc>
              <w:tc>
                <w:tcPr>
                  <w:tcW w:w="2243" w:type="dxa"/>
                  <w:vMerge w:val="continue"/>
                  <w:noWrap w:val="0"/>
                  <w:vAlign w:val="center"/>
                </w:tcPr>
                <w:p w14:paraId="3166FAD5">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sz w:val="21"/>
                      <w:szCs w:val="21"/>
                      <w:lang w:val="en-US" w:eastAsia="zh-CN"/>
                    </w:rPr>
                  </w:pPr>
                </w:p>
              </w:tc>
              <w:tc>
                <w:tcPr>
                  <w:tcW w:w="634" w:type="dxa"/>
                  <w:noWrap w:val="0"/>
                  <w:vAlign w:val="center"/>
                </w:tcPr>
                <w:p w14:paraId="08237EB1">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E</w:t>
                  </w:r>
                </w:p>
              </w:tc>
              <w:tc>
                <w:tcPr>
                  <w:tcW w:w="821" w:type="dxa"/>
                  <w:noWrap w:val="0"/>
                  <w:vAlign w:val="center"/>
                </w:tcPr>
                <w:p w14:paraId="361CC38E">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70</w:t>
                  </w:r>
                </w:p>
              </w:tc>
            </w:tr>
            <w:tr w14:paraId="5CD787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540" w:type="dxa"/>
                  <w:noWrap w:val="0"/>
                  <w:vAlign w:val="center"/>
                </w:tcPr>
                <w:p w14:paraId="15DF33B2">
                  <w:pPr>
                    <w:pStyle w:val="85"/>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声环境</w:t>
                  </w:r>
                </w:p>
              </w:tc>
              <w:tc>
                <w:tcPr>
                  <w:tcW w:w="926" w:type="dxa"/>
                  <w:noWrap w:val="0"/>
                  <w:vAlign w:val="center"/>
                </w:tcPr>
                <w:p w14:paraId="6EB3E92A">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sz w:val="21"/>
                      <w:szCs w:val="21"/>
                    </w:rPr>
                  </w:pPr>
                  <w:r>
                    <w:rPr>
                      <w:rFonts w:hint="eastAsia" w:cs="Times New Roman"/>
                      <w:color w:val="000000" w:themeColor="text1"/>
                      <w:sz w:val="21"/>
                      <w:szCs w:val="21"/>
                      <w:lang w:val="en-US" w:eastAsia="zh-CN"/>
                    </w:rPr>
                    <w:t>谢庄</w:t>
                  </w:r>
                </w:p>
              </w:tc>
              <w:tc>
                <w:tcPr>
                  <w:tcW w:w="859" w:type="dxa"/>
                  <w:noWrap w:val="0"/>
                  <w:vAlign w:val="center"/>
                </w:tcPr>
                <w:p w14:paraId="741D368A">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sz w:val="21"/>
                      <w:szCs w:val="21"/>
                    </w:rPr>
                  </w:pPr>
                  <w:r>
                    <w:rPr>
                      <w:rFonts w:hint="eastAsia" w:cs="Times New Roman"/>
                      <w:color w:val="000000" w:themeColor="text1"/>
                      <w:sz w:val="21"/>
                      <w:szCs w:val="21"/>
                      <w:highlight w:val="none"/>
                      <w:lang w:val="en-US" w:eastAsia="zh-CN"/>
                    </w:rPr>
                    <w:t>0</w:t>
                  </w:r>
                </w:p>
              </w:tc>
              <w:tc>
                <w:tcPr>
                  <w:tcW w:w="825" w:type="dxa"/>
                  <w:noWrap w:val="0"/>
                  <w:vAlign w:val="center"/>
                </w:tcPr>
                <w:p w14:paraId="602F4668">
                  <w:pPr>
                    <w:keepNext w:val="0"/>
                    <w:keepLines w:val="0"/>
                    <w:pageBreakBefore w:val="0"/>
                    <w:widowControl/>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sz w:val="21"/>
                      <w:szCs w:val="21"/>
                    </w:rPr>
                  </w:pPr>
                  <w:r>
                    <w:rPr>
                      <w:rFonts w:hint="eastAsia" w:cs="Times New Roman"/>
                      <w:color w:val="000000" w:themeColor="text1"/>
                      <w:sz w:val="21"/>
                      <w:szCs w:val="21"/>
                      <w:highlight w:val="none"/>
                      <w:lang w:val="en-US" w:eastAsia="zh-CN"/>
                    </w:rPr>
                    <w:t>172.2</w:t>
                  </w:r>
                </w:p>
              </w:tc>
              <w:tc>
                <w:tcPr>
                  <w:tcW w:w="1562" w:type="dxa"/>
                  <w:gridSpan w:val="2"/>
                  <w:noWrap w:val="0"/>
                  <w:vAlign w:val="center"/>
                </w:tcPr>
                <w:p w14:paraId="6A53C2FF">
                  <w:pPr>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sz w:val="21"/>
                      <w:szCs w:val="21"/>
                    </w:rPr>
                  </w:pPr>
                  <w:r>
                    <w:rPr>
                      <w:rFonts w:hint="default" w:ascii="Times New Roman" w:hAnsi="Times New Roman" w:cs="Times New Roman"/>
                      <w:color w:val="000000" w:themeColor="text1"/>
                      <w:lang w:eastAsia="zh-CN"/>
                    </w:rPr>
                    <w:t>居民，约</w:t>
                  </w:r>
                  <w:r>
                    <w:rPr>
                      <w:rFonts w:hint="default" w:ascii="Times New Roman" w:hAnsi="Times New Roman" w:cs="Times New Roman"/>
                      <w:color w:val="000000" w:themeColor="text1"/>
                      <w:lang w:val="en-US" w:eastAsia="zh-CN"/>
                    </w:rPr>
                    <w:t>2</w:t>
                  </w:r>
                  <w:r>
                    <w:rPr>
                      <w:rFonts w:hint="eastAsia" w:cs="Times New Roman"/>
                      <w:color w:val="000000" w:themeColor="text1"/>
                      <w:lang w:val="en-US" w:eastAsia="zh-CN"/>
                    </w:rPr>
                    <w:t>30</w:t>
                  </w:r>
                  <w:r>
                    <w:rPr>
                      <w:rFonts w:hint="default" w:ascii="Times New Roman" w:hAnsi="Times New Roman" w:cs="Times New Roman"/>
                      <w:color w:val="000000" w:themeColor="text1"/>
                      <w:lang w:val="en-US" w:eastAsia="zh-CN"/>
                    </w:rPr>
                    <w:t>人</w:t>
                  </w:r>
                </w:p>
              </w:tc>
              <w:tc>
                <w:tcPr>
                  <w:tcW w:w="2243" w:type="dxa"/>
                  <w:noWrap w:val="0"/>
                  <w:vAlign w:val="center"/>
                </w:tcPr>
                <w:p w14:paraId="509BB396">
                  <w:pPr>
                    <w:pStyle w:val="85"/>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sz w:val="21"/>
                      <w:szCs w:val="21"/>
                    </w:rPr>
                  </w:pPr>
                  <w:r>
                    <w:rPr>
                      <w:rFonts w:hint="default" w:ascii="Times New Roman" w:hAnsi="Times New Roman" w:cs="Times New Roman"/>
                      <w:color w:val="000000" w:themeColor="text1"/>
                      <w:sz w:val="21"/>
                      <w:szCs w:val="21"/>
                      <w:lang w:val="en-US" w:eastAsia="zh-CN"/>
                    </w:rPr>
                    <w:t>《声环境质量标准》（GB3096-2008）</w:t>
                  </w:r>
                  <w:r>
                    <w:rPr>
                      <w:rFonts w:hint="eastAsia" w:cs="Times New Roman"/>
                      <w:color w:val="000000" w:themeColor="text1"/>
                      <w:sz w:val="21"/>
                      <w:szCs w:val="21"/>
                      <w:lang w:val="en-US" w:eastAsia="zh-CN"/>
                    </w:rPr>
                    <w:t>2</w:t>
                  </w:r>
                  <w:r>
                    <w:rPr>
                      <w:rFonts w:hint="default" w:ascii="Times New Roman" w:hAnsi="Times New Roman" w:cs="Times New Roman"/>
                      <w:color w:val="000000" w:themeColor="text1"/>
                      <w:sz w:val="21"/>
                      <w:szCs w:val="21"/>
                    </w:rPr>
                    <w:t>类标准</w:t>
                  </w:r>
                </w:p>
              </w:tc>
              <w:tc>
                <w:tcPr>
                  <w:tcW w:w="634" w:type="dxa"/>
                  <w:noWrap w:val="0"/>
                  <w:vAlign w:val="center"/>
                </w:tcPr>
                <w:p w14:paraId="3FCED5A5">
                  <w:pPr>
                    <w:pStyle w:val="85"/>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New Roman"/>
                      <w:color w:val="000000" w:themeColor="text1"/>
                      <w:sz w:val="21"/>
                      <w:szCs w:val="21"/>
                    </w:rPr>
                  </w:pPr>
                  <w:r>
                    <w:rPr>
                      <w:rFonts w:hint="eastAsia" w:cs="Times New Roman"/>
                      <w:color w:val="000000" w:themeColor="text1"/>
                      <w:sz w:val="21"/>
                      <w:szCs w:val="21"/>
                      <w:lang w:val="en-US" w:eastAsia="zh-CN"/>
                    </w:rPr>
                    <w:t>N</w:t>
                  </w:r>
                </w:p>
              </w:tc>
              <w:tc>
                <w:tcPr>
                  <w:tcW w:w="821" w:type="dxa"/>
                  <w:noWrap w:val="0"/>
                  <w:vAlign w:val="center"/>
                </w:tcPr>
                <w:p w14:paraId="4EFB87B0">
                  <w:pPr>
                    <w:pStyle w:val="85"/>
                    <w:keepNext w:val="0"/>
                    <w:keepLines w:val="0"/>
                    <w:pageBreakBefore w:val="0"/>
                    <w:kinsoku/>
                    <w:wordWrap/>
                    <w:overflowPunct/>
                    <w:topLinePunct w:val="0"/>
                    <w:autoSpaceDE/>
                    <w:autoSpaceDN/>
                    <w:bidi w:val="0"/>
                    <w:spacing w:line="240" w:lineRule="auto"/>
                    <w:ind w:right="113" w:rightChars="0"/>
                    <w:jc w:val="center"/>
                    <w:rPr>
                      <w:rFonts w:hint="default" w:ascii="Times New Roman" w:hAnsi="Times New Roman" w:eastAsia="宋体" w:cs="Times New Roman"/>
                      <w:color w:val="000000" w:themeColor="text1"/>
                      <w:sz w:val="21"/>
                      <w:szCs w:val="21"/>
                    </w:rPr>
                  </w:pPr>
                  <w:r>
                    <w:rPr>
                      <w:rFonts w:hint="eastAsia" w:cs="Times New Roman"/>
                      <w:color w:val="000000" w:themeColor="text1"/>
                      <w:sz w:val="21"/>
                      <w:szCs w:val="21"/>
                      <w:lang w:val="en-US" w:eastAsia="zh-CN"/>
                    </w:rPr>
                    <w:t>12</w:t>
                  </w:r>
                </w:p>
              </w:tc>
            </w:tr>
            <w:tr w14:paraId="595148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0" w:type="dxa"/>
                  <w:noWrap w:val="0"/>
                  <w:vAlign w:val="center"/>
                </w:tcPr>
                <w:p w14:paraId="5C963623">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lang w:val="en-US" w:eastAsia="zh-CN"/>
                    </w:rPr>
                  </w:pPr>
                  <w:r>
                    <w:rPr>
                      <w:rFonts w:hint="default" w:ascii="Times New Roman" w:hAnsi="Times New Roman" w:cs="Times New Roman"/>
                      <w:color w:val="000000" w:themeColor="text1"/>
                      <w:szCs w:val="21"/>
                    </w:rPr>
                    <w:t>地下水</w:t>
                  </w:r>
                </w:p>
              </w:tc>
              <w:tc>
                <w:tcPr>
                  <w:tcW w:w="4172" w:type="dxa"/>
                  <w:gridSpan w:val="5"/>
                  <w:noWrap w:val="0"/>
                  <w:vAlign w:val="center"/>
                </w:tcPr>
                <w:p w14:paraId="0304BEB2">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rPr>
                  </w:pPr>
                  <w:r>
                    <w:rPr>
                      <w:rFonts w:hint="default" w:ascii="Times New Roman" w:hAnsi="Times New Roman" w:cs="Times New Roman"/>
                      <w:color w:val="000000" w:themeColor="text1"/>
                      <w:szCs w:val="21"/>
                    </w:rPr>
                    <w:t>厂界外500米范围内无地下水集中式饮用水水源和热水、矿泉水、温泉等特殊地下水资源</w:t>
                  </w:r>
                </w:p>
              </w:tc>
              <w:tc>
                <w:tcPr>
                  <w:tcW w:w="2243" w:type="dxa"/>
                  <w:noWrap w:val="0"/>
                  <w:vAlign w:val="center"/>
                </w:tcPr>
                <w:p w14:paraId="16986BDC">
                  <w:pPr>
                    <w:pStyle w:val="85"/>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sz w:val="21"/>
                      <w:szCs w:val="21"/>
                    </w:rPr>
                  </w:pPr>
                  <w:r>
                    <w:rPr>
                      <w:rFonts w:hint="default" w:ascii="Times New Roman" w:hAnsi="Times New Roman" w:cs="Times New Roman"/>
                      <w:color w:val="000000" w:themeColor="text1"/>
                      <w:sz w:val="21"/>
                      <w:szCs w:val="21"/>
                      <w:lang w:val="en-US" w:eastAsia="zh-CN"/>
                    </w:rPr>
                    <w:t>《地下水质量标准》</w:t>
                  </w:r>
                  <w:r>
                    <w:rPr>
                      <w:rFonts w:hint="default" w:ascii="Times New Roman" w:hAnsi="Times New Roman" w:cs="Times New Roman"/>
                      <w:color w:val="000000" w:themeColor="text1"/>
                      <w:sz w:val="21"/>
                      <w:szCs w:val="21"/>
                    </w:rPr>
                    <w:t>（GB/T14848-2017）Ⅲ类标准</w:t>
                  </w:r>
                </w:p>
              </w:tc>
              <w:tc>
                <w:tcPr>
                  <w:tcW w:w="634" w:type="dxa"/>
                  <w:noWrap w:val="0"/>
                  <w:vAlign w:val="center"/>
                </w:tcPr>
                <w:p w14:paraId="4E74D9F2">
                  <w:pPr>
                    <w:pStyle w:val="85"/>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sz w:val="21"/>
                      <w:szCs w:val="21"/>
                      <w:lang w:val="en-US" w:eastAsia="zh-CN"/>
                    </w:rPr>
                  </w:pPr>
                  <w:r>
                    <w:rPr>
                      <w:rFonts w:hint="default" w:ascii="Times New Roman" w:hAnsi="Times New Roman" w:eastAsia="宋体" w:cs="Times New Roman"/>
                      <w:color w:val="000000" w:themeColor="text1"/>
                      <w:sz w:val="21"/>
                      <w:szCs w:val="21"/>
                    </w:rPr>
                    <w:t>/</w:t>
                  </w:r>
                </w:p>
              </w:tc>
              <w:tc>
                <w:tcPr>
                  <w:tcW w:w="821" w:type="dxa"/>
                  <w:noWrap w:val="0"/>
                  <w:vAlign w:val="center"/>
                </w:tcPr>
                <w:p w14:paraId="5EDD8071">
                  <w:pPr>
                    <w:pStyle w:val="85"/>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sz w:val="21"/>
                      <w:szCs w:val="21"/>
                      <w:lang w:val="en-US" w:eastAsia="zh-CN"/>
                    </w:rPr>
                  </w:pPr>
                  <w:r>
                    <w:rPr>
                      <w:rFonts w:hint="default" w:ascii="Times New Roman" w:hAnsi="Times New Roman" w:eastAsia="宋体" w:cs="Times New Roman"/>
                      <w:color w:val="000000" w:themeColor="text1"/>
                      <w:sz w:val="21"/>
                      <w:szCs w:val="21"/>
                    </w:rPr>
                    <w:t>/</w:t>
                  </w:r>
                </w:p>
              </w:tc>
            </w:tr>
            <w:tr w14:paraId="2EFEDB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0" w:type="dxa"/>
                  <w:vMerge w:val="restart"/>
                  <w:noWrap w:val="0"/>
                  <w:vAlign w:val="center"/>
                </w:tcPr>
                <w:p w14:paraId="0F676811">
                  <w:pPr>
                    <w:pStyle w:val="85"/>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kern w:val="2"/>
                      <w:sz w:val="21"/>
                      <w:szCs w:val="21"/>
                      <w:lang w:val="en-US" w:eastAsia="zh-CN" w:bidi="ar-SA"/>
                    </w:rPr>
                  </w:pPr>
                  <w:r>
                    <w:rPr>
                      <w:rFonts w:hint="default" w:ascii="Times New Roman" w:hAnsi="Times New Roman" w:eastAsia="宋体" w:cs="Times New Roman"/>
                      <w:color w:val="000000" w:themeColor="text1"/>
                      <w:sz w:val="21"/>
                      <w:szCs w:val="21"/>
                    </w:rPr>
                    <w:t>地表水</w:t>
                  </w:r>
                </w:p>
              </w:tc>
              <w:tc>
                <w:tcPr>
                  <w:tcW w:w="926" w:type="dxa"/>
                  <w:noWrap w:val="0"/>
                  <w:vAlign w:val="center"/>
                </w:tcPr>
                <w:p w14:paraId="5CA5A02F">
                  <w:pPr>
                    <w:pStyle w:val="85"/>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kern w:val="2"/>
                      <w:sz w:val="21"/>
                      <w:szCs w:val="21"/>
                      <w:lang w:val="en-US" w:eastAsia="zh-CN" w:bidi="ar-SA"/>
                    </w:rPr>
                  </w:pPr>
                  <w:r>
                    <w:rPr>
                      <w:rFonts w:hint="default" w:ascii="Times New Roman" w:hAnsi="Times New Roman" w:cs="Times New Roman"/>
                      <w:color w:val="000000" w:themeColor="text1"/>
                      <w:kern w:val="2"/>
                      <w:sz w:val="21"/>
                      <w:szCs w:val="21"/>
                      <w:lang w:val="en-US" w:eastAsia="zh-CN" w:bidi="ar-SA"/>
                    </w:rPr>
                    <w:t>岱</w:t>
                  </w:r>
                  <w:r>
                    <w:rPr>
                      <w:rFonts w:hint="default" w:ascii="Times New Roman" w:hAnsi="Times New Roman" w:eastAsia="宋体" w:cs="Times New Roman"/>
                      <w:color w:val="000000" w:themeColor="text1"/>
                      <w:kern w:val="2"/>
                      <w:sz w:val="21"/>
                      <w:szCs w:val="21"/>
                      <w:lang w:val="en-US" w:eastAsia="zh-CN" w:bidi="ar-SA"/>
                    </w:rPr>
                    <w:t>河</w:t>
                  </w:r>
                </w:p>
              </w:tc>
              <w:tc>
                <w:tcPr>
                  <w:tcW w:w="859" w:type="dxa"/>
                  <w:noWrap w:val="0"/>
                  <w:vAlign w:val="center"/>
                </w:tcPr>
                <w:p w14:paraId="0E74A832">
                  <w:pPr>
                    <w:pStyle w:val="85"/>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kern w:val="2"/>
                      <w:sz w:val="21"/>
                      <w:szCs w:val="21"/>
                      <w:lang w:val="en-US" w:eastAsia="zh-CN" w:bidi="ar-SA"/>
                    </w:rPr>
                  </w:pPr>
                  <w:r>
                    <w:rPr>
                      <w:rFonts w:hint="default" w:ascii="Times New Roman" w:hAnsi="Times New Roman" w:eastAsia="宋体" w:cs="Times New Roman"/>
                      <w:color w:val="000000" w:themeColor="text1"/>
                      <w:sz w:val="21"/>
                      <w:szCs w:val="21"/>
                    </w:rPr>
                    <w:t>/</w:t>
                  </w:r>
                </w:p>
              </w:tc>
              <w:tc>
                <w:tcPr>
                  <w:tcW w:w="825" w:type="dxa"/>
                  <w:noWrap w:val="0"/>
                  <w:vAlign w:val="center"/>
                </w:tcPr>
                <w:p w14:paraId="45103DE0">
                  <w:pPr>
                    <w:pStyle w:val="85"/>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kern w:val="2"/>
                      <w:sz w:val="21"/>
                      <w:szCs w:val="21"/>
                      <w:lang w:val="en-US" w:eastAsia="zh-CN" w:bidi="ar-SA"/>
                    </w:rPr>
                  </w:pPr>
                  <w:r>
                    <w:rPr>
                      <w:rFonts w:hint="default" w:ascii="Times New Roman" w:hAnsi="Times New Roman" w:eastAsia="宋体" w:cs="Times New Roman"/>
                      <w:color w:val="000000" w:themeColor="text1"/>
                      <w:sz w:val="21"/>
                      <w:szCs w:val="21"/>
                    </w:rPr>
                    <w:t>/</w:t>
                  </w:r>
                </w:p>
              </w:tc>
              <w:tc>
                <w:tcPr>
                  <w:tcW w:w="735" w:type="dxa"/>
                  <w:noWrap w:val="0"/>
                  <w:vAlign w:val="center"/>
                </w:tcPr>
                <w:p w14:paraId="01AC76BE">
                  <w:pPr>
                    <w:pStyle w:val="85"/>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kern w:val="2"/>
                      <w:sz w:val="21"/>
                      <w:szCs w:val="21"/>
                      <w:lang w:val="en-US" w:eastAsia="zh-CN" w:bidi="ar-SA"/>
                    </w:rPr>
                  </w:pPr>
                  <w:r>
                    <w:rPr>
                      <w:rFonts w:hint="default" w:ascii="Times New Roman" w:hAnsi="Times New Roman" w:eastAsia="宋体" w:cs="Times New Roman"/>
                      <w:color w:val="000000" w:themeColor="text1"/>
                      <w:sz w:val="21"/>
                      <w:szCs w:val="21"/>
                    </w:rPr>
                    <w:t>地表水</w:t>
                  </w:r>
                </w:p>
              </w:tc>
              <w:tc>
                <w:tcPr>
                  <w:tcW w:w="827" w:type="dxa"/>
                  <w:noWrap w:val="0"/>
                  <w:vAlign w:val="center"/>
                </w:tcPr>
                <w:p w14:paraId="0A9E866A">
                  <w:pPr>
                    <w:pStyle w:val="85"/>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kern w:val="2"/>
                      <w:sz w:val="21"/>
                      <w:szCs w:val="21"/>
                      <w:lang w:val="en-US" w:eastAsia="zh-CN" w:bidi="ar-SA"/>
                    </w:rPr>
                  </w:pPr>
                  <w:r>
                    <w:rPr>
                      <w:rFonts w:hint="default" w:ascii="Times New Roman" w:hAnsi="Times New Roman" w:eastAsia="宋体" w:cs="Times New Roman"/>
                      <w:color w:val="000000" w:themeColor="text1"/>
                      <w:sz w:val="21"/>
                      <w:szCs w:val="21"/>
                      <w:highlight w:val="none"/>
                      <w:lang w:eastAsia="zh-CN"/>
                    </w:rPr>
                    <w:t>小</w:t>
                  </w:r>
                  <w:r>
                    <w:rPr>
                      <w:rFonts w:hint="default" w:ascii="Times New Roman" w:hAnsi="Times New Roman" w:eastAsia="宋体" w:cs="Times New Roman"/>
                      <w:color w:val="000000" w:themeColor="text1"/>
                      <w:sz w:val="21"/>
                      <w:szCs w:val="21"/>
                      <w:highlight w:val="none"/>
                    </w:rPr>
                    <w:t>型河流</w:t>
                  </w:r>
                </w:p>
              </w:tc>
              <w:tc>
                <w:tcPr>
                  <w:tcW w:w="2243" w:type="dxa"/>
                  <w:vMerge w:val="restart"/>
                  <w:noWrap w:val="0"/>
                  <w:vAlign w:val="center"/>
                </w:tcPr>
                <w:p w14:paraId="1442CABE">
                  <w:pPr>
                    <w:pStyle w:val="85"/>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sz w:val="21"/>
                      <w:szCs w:val="21"/>
                      <w:highlight w:val="none"/>
                    </w:rPr>
                  </w:pPr>
                  <w:r>
                    <w:rPr>
                      <w:rFonts w:hint="default" w:ascii="Times New Roman" w:hAnsi="Times New Roman" w:eastAsia="宋体" w:cs="Times New Roman"/>
                      <w:color w:val="000000" w:themeColor="text1"/>
                      <w:sz w:val="21"/>
                      <w:szCs w:val="21"/>
                      <w:highlight w:val="none"/>
                    </w:rPr>
                    <w:t>《地表水环境质量标准》（GB3838-2002）</w:t>
                  </w:r>
                </w:p>
                <w:p w14:paraId="30123732">
                  <w:pPr>
                    <w:pStyle w:val="85"/>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kern w:val="2"/>
                      <w:sz w:val="21"/>
                      <w:szCs w:val="21"/>
                      <w:lang w:val="en-US" w:eastAsia="zh-CN" w:bidi="ar-SA"/>
                    </w:rPr>
                  </w:pPr>
                  <w:r>
                    <w:rPr>
                      <w:rFonts w:hint="default" w:ascii="Times New Roman" w:hAnsi="Times New Roman" w:cs="Times New Roman"/>
                      <w:color w:val="000000" w:themeColor="text1"/>
                      <w:sz w:val="21"/>
                      <w:szCs w:val="18"/>
                      <w:highlight w:val="none"/>
                    </w:rPr>
                    <w:t xml:space="preserve"> IV</w:t>
                  </w:r>
                  <w:r>
                    <w:rPr>
                      <w:rFonts w:hint="default" w:ascii="Times New Roman" w:hAnsi="Times New Roman" w:eastAsia="宋体" w:cs="Times New Roman"/>
                      <w:color w:val="000000" w:themeColor="text1"/>
                      <w:sz w:val="21"/>
                      <w:szCs w:val="21"/>
                      <w:highlight w:val="none"/>
                    </w:rPr>
                    <w:t>类标准</w:t>
                  </w:r>
                </w:p>
              </w:tc>
              <w:tc>
                <w:tcPr>
                  <w:tcW w:w="634" w:type="dxa"/>
                  <w:noWrap w:val="0"/>
                  <w:vAlign w:val="center"/>
                </w:tcPr>
                <w:p w14:paraId="17480A82">
                  <w:pPr>
                    <w:pStyle w:val="85"/>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kern w:val="2"/>
                      <w:sz w:val="21"/>
                      <w:szCs w:val="21"/>
                      <w:lang w:val="en-US" w:eastAsia="zh-CN" w:bidi="ar-SA"/>
                    </w:rPr>
                  </w:pPr>
                  <w:r>
                    <w:rPr>
                      <w:rFonts w:hint="default" w:ascii="Times New Roman" w:hAnsi="Times New Roman" w:cs="Times New Roman"/>
                      <w:color w:val="000000" w:themeColor="text1"/>
                      <w:kern w:val="2"/>
                      <w:sz w:val="21"/>
                      <w:szCs w:val="21"/>
                      <w:lang w:val="en-US" w:eastAsia="zh-CN" w:bidi="ar-SA"/>
                    </w:rPr>
                    <w:t>E</w:t>
                  </w:r>
                </w:p>
              </w:tc>
              <w:tc>
                <w:tcPr>
                  <w:tcW w:w="821" w:type="dxa"/>
                  <w:noWrap w:val="0"/>
                  <w:vAlign w:val="center"/>
                </w:tcPr>
                <w:p w14:paraId="04F63FB3">
                  <w:pPr>
                    <w:pStyle w:val="85"/>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kern w:val="2"/>
                      <w:sz w:val="21"/>
                      <w:szCs w:val="21"/>
                      <w:lang w:val="en-US" w:eastAsia="zh-CN" w:bidi="ar-SA"/>
                    </w:rPr>
                  </w:pPr>
                  <w:r>
                    <w:rPr>
                      <w:rFonts w:hint="default" w:ascii="Times New Roman" w:hAnsi="Times New Roman" w:eastAsia="宋体" w:cs="Times New Roman"/>
                      <w:color w:val="000000" w:themeColor="text1"/>
                      <w:sz w:val="21"/>
                      <w:szCs w:val="21"/>
                    </w:rPr>
                    <w:t>约</w:t>
                  </w:r>
                  <w:r>
                    <w:rPr>
                      <w:rFonts w:hint="eastAsia" w:cs="Times New Roman"/>
                      <w:color w:val="000000" w:themeColor="text1"/>
                      <w:sz w:val="21"/>
                      <w:szCs w:val="21"/>
                      <w:lang w:val="en-US" w:eastAsia="zh-CN"/>
                    </w:rPr>
                    <w:t>571</w:t>
                  </w:r>
                </w:p>
              </w:tc>
            </w:tr>
            <w:tr w14:paraId="2E9B8D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0" w:type="dxa"/>
                  <w:vMerge w:val="continue"/>
                  <w:noWrap w:val="0"/>
                  <w:vAlign w:val="center"/>
                </w:tcPr>
                <w:p w14:paraId="055B7FC5">
                  <w:pPr>
                    <w:pStyle w:val="85"/>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sz w:val="21"/>
                      <w:szCs w:val="21"/>
                    </w:rPr>
                  </w:pPr>
                </w:p>
              </w:tc>
              <w:tc>
                <w:tcPr>
                  <w:tcW w:w="926" w:type="dxa"/>
                  <w:noWrap w:val="0"/>
                  <w:vAlign w:val="center"/>
                </w:tcPr>
                <w:p w14:paraId="47356498">
                  <w:pPr>
                    <w:pStyle w:val="85"/>
                    <w:keepNext w:val="0"/>
                    <w:keepLines w:val="0"/>
                    <w:pageBreakBefore w:val="0"/>
                    <w:kinsoku/>
                    <w:wordWrap/>
                    <w:overflowPunct/>
                    <w:topLinePunct w:val="0"/>
                    <w:autoSpaceDE/>
                    <w:autoSpaceDN/>
                    <w:bidi w:val="0"/>
                    <w:spacing w:line="240" w:lineRule="auto"/>
                    <w:jc w:val="center"/>
                    <w:rPr>
                      <w:rFonts w:hint="default" w:ascii="Times New Roman" w:hAnsi="Times New Roman" w:cs="Times New Roman"/>
                      <w:color w:val="000000" w:themeColor="text1"/>
                      <w:kern w:val="2"/>
                      <w:sz w:val="21"/>
                      <w:szCs w:val="21"/>
                      <w:lang w:val="en-US" w:eastAsia="zh-CN" w:bidi="ar-SA"/>
                    </w:rPr>
                  </w:pPr>
                  <w:r>
                    <w:rPr>
                      <w:rFonts w:hint="eastAsia" w:cs="Times New Roman"/>
                      <w:color w:val="000000" w:themeColor="text1"/>
                      <w:kern w:val="2"/>
                      <w:sz w:val="21"/>
                      <w:szCs w:val="21"/>
                      <w:lang w:val="en-US" w:eastAsia="zh-CN" w:bidi="ar-SA"/>
                    </w:rPr>
                    <w:t>龙河</w:t>
                  </w:r>
                </w:p>
              </w:tc>
              <w:tc>
                <w:tcPr>
                  <w:tcW w:w="859" w:type="dxa"/>
                  <w:noWrap w:val="0"/>
                  <w:vAlign w:val="center"/>
                </w:tcPr>
                <w:p w14:paraId="51C33C5C">
                  <w:pPr>
                    <w:pStyle w:val="85"/>
                    <w:keepNext w:val="0"/>
                    <w:keepLines w:val="0"/>
                    <w:pageBreakBefore w:val="0"/>
                    <w:kinsoku/>
                    <w:wordWrap/>
                    <w:overflowPunct/>
                    <w:topLinePunct w:val="0"/>
                    <w:autoSpaceDE/>
                    <w:autoSpaceDN/>
                    <w:bidi w:val="0"/>
                    <w:spacing w:line="240" w:lineRule="auto"/>
                    <w:ind w:right="113" w:rightChars="0"/>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w:t>
                  </w:r>
                </w:p>
              </w:tc>
              <w:tc>
                <w:tcPr>
                  <w:tcW w:w="825" w:type="dxa"/>
                  <w:noWrap w:val="0"/>
                  <w:vAlign w:val="center"/>
                </w:tcPr>
                <w:p w14:paraId="57AB6CB9">
                  <w:pPr>
                    <w:pStyle w:val="85"/>
                    <w:keepNext w:val="0"/>
                    <w:keepLines w:val="0"/>
                    <w:pageBreakBefore w:val="0"/>
                    <w:kinsoku/>
                    <w:wordWrap/>
                    <w:overflowPunct/>
                    <w:topLinePunct w:val="0"/>
                    <w:autoSpaceDE/>
                    <w:autoSpaceDN/>
                    <w:bidi w:val="0"/>
                    <w:spacing w:line="240" w:lineRule="auto"/>
                    <w:ind w:right="113" w:rightChars="0"/>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w:t>
                  </w:r>
                </w:p>
              </w:tc>
              <w:tc>
                <w:tcPr>
                  <w:tcW w:w="735" w:type="dxa"/>
                  <w:noWrap w:val="0"/>
                  <w:vAlign w:val="center"/>
                </w:tcPr>
                <w:p w14:paraId="7A1D094B">
                  <w:pPr>
                    <w:pStyle w:val="85"/>
                    <w:keepNext w:val="0"/>
                    <w:keepLines w:val="0"/>
                    <w:pageBreakBefore w:val="0"/>
                    <w:kinsoku/>
                    <w:wordWrap/>
                    <w:overflowPunct/>
                    <w:topLinePunct w:val="0"/>
                    <w:autoSpaceDE/>
                    <w:autoSpaceDN/>
                    <w:bidi w:val="0"/>
                    <w:spacing w:line="240" w:lineRule="auto"/>
                    <w:ind w:right="113" w:rightChars="0"/>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地表水</w:t>
                  </w:r>
                </w:p>
              </w:tc>
              <w:tc>
                <w:tcPr>
                  <w:tcW w:w="827" w:type="dxa"/>
                  <w:noWrap w:val="0"/>
                  <w:vAlign w:val="center"/>
                </w:tcPr>
                <w:p w14:paraId="4AE382B7">
                  <w:pPr>
                    <w:pStyle w:val="85"/>
                    <w:keepNext w:val="0"/>
                    <w:keepLines w:val="0"/>
                    <w:pageBreakBefore w:val="0"/>
                    <w:kinsoku/>
                    <w:wordWrap/>
                    <w:overflowPunct/>
                    <w:topLinePunct w:val="0"/>
                    <w:autoSpaceDE/>
                    <w:autoSpaceDN/>
                    <w:bidi w:val="0"/>
                    <w:spacing w:line="240" w:lineRule="auto"/>
                    <w:ind w:right="113" w:rightChars="0"/>
                    <w:jc w:val="center"/>
                    <w:rPr>
                      <w:rFonts w:hint="default" w:ascii="Times New Roman" w:hAnsi="Times New Roman" w:eastAsia="宋体" w:cs="Times New Roman"/>
                      <w:color w:val="000000" w:themeColor="text1"/>
                      <w:sz w:val="21"/>
                      <w:szCs w:val="21"/>
                      <w:highlight w:val="none"/>
                      <w:lang w:eastAsia="zh-CN"/>
                    </w:rPr>
                  </w:pPr>
                  <w:r>
                    <w:rPr>
                      <w:rFonts w:hint="default" w:ascii="Times New Roman" w:hAnsi="Times New Roman" w:eastAsia="宋体" w:cs="Times New Roman"/>
                      <w:color w:val="000000" w:themeColor="text1"/>
                      <w:sz w:val="21"/>
                      <w:szCs w:val="21"/>
                      <w:highlight w:val="none"/>
                      <w:lang w:eastAsia="zh-CN"/>
                    </w:rPr>
                    <w:t>小</w:t>
                  </w:r>
                  <w:r>
                    <w:rPr>
                      <w:rFonts w:hint="default" w:ascii="Times New Roman" w:hAnsi="Times New Roman" w:eastAsia="宋体" w:cs="Times New Roman"/>
                      <w:color w:val="000000" w:themeColor="text1"/>
                      <w:sz w:val="21"/>
                      <w:szCs w:val="21"/>
                      <w:highlight w:val="none"/>
                    </w:rPr>
                    <w:t>型河流</w:t>
                  </w:r>
                </w:p>
              </w:tc>
              <w:tc>
                <w:tcPr>
                  <w:tcW w:w="2243" w:type="dxa"/>
                  <w:vMerge w:val="continue"/>
                  <w:noWrap w:val="0"/>
                  <w:vAlign w:val="center"/>
                </w:tcPr>
                <w:p w14:paraId="10268D27">
                  <w:pPr>
                    <w:pStyle w:val="85"/>
                    <w:keepNext w:val="0"/>
                    <w:keepLines w:val="0"/>
                    <w:pageBreakBefore w:val="0"/>
                    <w:kinsoku/>
                    <w:wordWrap/>
                    <w:overflowPunct/>
                    <w:topLinePunct w:val="0"/>
                    <w:autoSpaceDE/>
                    <w:autoSpaceDN/>
                    <w:bidi w:val="0"/>
                    <w:spacing w:line="240" w:lineRule="auto"/>
                    <w:jc w:val="center"/>
                    <w:rPr>
                      <w:rFonts w:hint="default" w:ascii="Times New Roman" w:hAnsi="Times New Roman" w:cs="Times New Roman"/>
                      <w:color w:val="000000" w:themeColor="text1"/>
                      <w:sz w:val="21"/>
                      <w:szCs w:val="21"/>
                    </w:rPr>
                  </w:pPr>
                </w:p>
              </w:tc>
              <w:tc>
                <w:tcPr>
                  <w:tcW w:w="634" w:type="dxa"/>
                  <w:noWrap w:val="0"/>
                  <w:vAlign w:val="center"/>
                </w:tcPr>
                <w:p w14:paraId="54EE4842">
                  <w:pPr>
                    <w:pStyle w:val="85"/>
                    <w:keepNext w:val="0"/>
                    <w:keepLines w:val="0"/>
                    <w:pageBreakBefore w:val="0"/>
                    <w:kinsoku/>
                    <w:wordWrap/>
                    <w:overflowPunct/>
                    <w:topLinePunct w:val="0"/>
                    <w:autoSpaceDE/>
                    <w:autoSpaceDN/>
                    <w:bidi w:val="0"/>
                    <w:spacing w:line="240" w:lineRule="auto"/>
                    <w:jc w:val="center"/>
                    <w:rPr>
                      <w:rFonts w:hint="default" w:ascii="Times New Roman" w:hAnsi="Times New Roman" w:cs="Times New Roman"/>
                      <w:color w:val="000000" w:themeColor="text1"/>
                      <w:kern w:val="2"/>
                      <w:sz w:val="21"/>
                      <w:szCs w:val="21"/>
                      <w:lang w:val="en-US" w:eastAsia="zh-CN" w:bidi="ar-SA"/>
                    </w:rPr>
                  </w:pPr>
                  <w:r>
                    <w:rPr>
                      <w:rFonts w:hint="eastAsia" w:cs="Times New Roman"/>
                      <w:color w:val="000000" w:themeColor="text1"/>
                      <w:kern w:val="2"/>
                      <w:sz w:val="21"/>
                      <w:szCs w:val="21"/>
                      <w:lang w:val="en-US" w:eastAsia="zh-CN" w:bidi="ar-SA"/>
                    </w:rPr>
                    <w:t>E</w:t>
                  </w:r>
                </w:p>
              </w:tc>
              <w:tc>
                <w:tcPr>
                  <w:tcW w:w="821" w:type="dxa"/>
                  <w:noWrap w:val="0"/>
                  <w:vAlign w:val="center"/>
                </w:tcPr>
                <w:p w14:paraId="7F540C53">
                  <w:pPr>
                    <w:pStyle w:val="85"/>
                    <w:keepNext w:val="0"/>
                    <w:keepLines w:val="0"/>
                    <w:pageBreakBefore w:val="0"/>
                    <w:kinsoku/>
                    <w:wordWrap/>
                    <w:overflowPunct/>
                    <w:topLinePunct w:val="0"/>
                    <w:autoSpaceDE/>
                    <w:autoSpaceDN/>
                    <w:bidi w:val="0"/>
                    <w:spacing w:line="240" w:lineRule="auto"/>
                    <w:jc w:val="center"/>
                    <w:rPr>
                      <w:rFonts w:hint="default" w:ascii="Times New Roman" w:hAnsi="Times New Roman" w:eastAsia="宋体" w:cs="Times New Roman"/>
                      <w:color w:val="000000" w:themeColor="text1"/>
                      <w:sz w:val="21"/>
                      <w:szCs w:val="21"/>
                      <w:lang w:val="en-US"/>
                    </w:rPr>
                  </w:pPr>
                  <w:r>
                    <w:rPr>
                      <w:rFonts w:hint="default" w:ascii="Times New Roman" w:hAnsi="Times New Roman" w:eastAsia="宋体" w:cs="Times New Roman"/>
                      <w:color w:val="000000" w:themeColor="text1"/>
                      <w:sz w:val="21"/>
                      <w:szCs w:val="21"/>
                    </w:rPr>
                    <w:t>约</w:t>
                  </w:r>
                  <w:r>
                    <w:rPr>
                      <w:rFonts w:hint="eastAsia" w:cs="Times New Roman"/>
                      <w:color w:val="000000" w:themeColor="text1"/>
                      <w:sz w:val="21"/>
                      <w:szCs w:val="21"/>
                      <w:lang w:val="en-US" w:eastAsia="zh-CN"/>
                    </w:rPr>
                    <w:t>7850</w:t>
                  </w:r>
                </w:p>
              </w:tc>
            </w:tr>
          </w:tbl>
          <w:p w14:paraId="1810443D">
            <w:pPr>
              <w:pStyle w:val="22"/>
              <w:rPr>
                <w:rFonts w:hint="default"/>
                <w:color w:val="000000" w:themeColor="text1"/>
              </w:rPr>
            </w:pPr>
          </w:p>
        </w:tc>
      </w:tr>
      <w:tr w14:paraId="5144D4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17" w:hRule="atLeast"/>
          <w:jc w:val="center"/>
        </w:trPr>
        <w:tc>
          <w:tcPr>
            <w:tcW w:w="424" w:type="dxa"/>
            <w:noWrap w:val="0"/>
            <w:tcMar>
              <w:left w:w="28" w:type="dxa"/>
              <w:right w:w="28" w:type="dxa"/>
            </w:tcMar>
            <w:vAlign w:val="center"/>
          </w:tcPr>
          <w:p w14:paraId="5A3AC3B6">
            <w:pPr>
              <w:adjustRightInd w:val="0"/>
              <w:snapToGrid w:val="0"/>
              <w:jc w:val="center"/>
              <w:rPr>
                <w:rFonts w:hint="default" w:ascii="Times New Roman" w:hAnsi="Times New Roman" w:cs="Times New Roman"/>
                <w:color w:val="000000" w:themeColor="text1"/>
                <w:kern w:val="0"/>
                <w:szCs w:val="21"/>
              </w:rPr>
            </w:pPr>
            <w:r>
              <w:rPr>
                <w:rFonts w:hint="default" w:ascii="Times New Roman" w:hAnsi="Times New Roman" w:cs="Times New Roman"/>
                <w:color w:val="000000" w:themeColor="text1"/>
                <w:kern w:val="0"/>
                <w:szCs w:val="21"/>
              </w:rPr>
              <w:t>污染</w:t>
            </w:r>
          </w:p>
          <w:p w14:paraId="7C1C268D">
            <w:pPr>
              <w:adjustRightInd w:val="0"/>
              <w:snapToGrid w:val="0"/>
              <w:jc w:val="center"/>
              <w:rPr>
                <w:rFonts w:hint="default" w:ascii="Times New Roman" w:hAnsi="Times New Roman" w:cs="Times New Roman"/>
                <w:color w:val="000000" w:themeColor="text1"/>
                <w:kern w:val="0"/>
                <w:szCs w:val="21"/>
              </w:rPr>
            </w:pPr>
            <w:r>
              <w:rPr>
                <w:rFonts w:hint="default" w:ascii="Times New Roman" w:hAnsi="Times New Roman" w:cs="Times New Roman"/>
                <w:color w:val="000000" w:themeColor="text1"/>
                <w:kern w:val="0"/>
                <w:szCs w:val="21"/>
              </w:rPr>
              <w:t>物排</w:t>
            </w:r>
          </w:p>
          <w:p w14:paraId="03A5439B">
            <w:pPr>
              <w:adjustRightInd w:val="0"/>
              <w:snapToGrid w:val="0"/>
              <w:jc w:val="center"/>
              <w:rPr>
                <w:rFonts w:hint="default" w:ascii="Times New Roman" w:hAnsi="Times New Roman" w:cs="Times New Roman"/>
                <w:color w:val="000000" w:themeColor="text1"/>
                <w:kern w:val="0"/>
                <w:szCs w:val="21"/>
              </w:rPr>
            </w:pPr>
            <w:r>
              <w:rPr>
                <w:rFonts w:hint="default" w:ascii="Times New Roman" w:hAnsi="Times New Roman" w:cs="Times New Roman"/>
                <w:color w:val="000000" w:themeColor="text1"/>
                <w:kern w:val="0"/>
                <w:szCs w:val="21"/>
              </w:rPr>
              <w:t>放控</w:t>
            </w:r>
          </w:p>
          <w:p w14:paraId="610CE37C">
            <w:pPr>
              <w:adjustRightInd w:val="0"/>
              <w:snapToGrid w:val="0"/>
              <w:jc w:val="center"/>
              <w:rPr>
                <w:rFonts w:hint="default" w:ascii="Times New Roman" w:hAnsi="Times New Roman" w:cs="Times New Roman"/>
                <w:color w:val="000000" w:themeColor="text1"/>
                <w:kern w:val="0"/>
                <w:szCs w:val="21"/>
              </w:rPr>
            </w:pPr>
            <w:r>
              <w:rPr>
                <w:rFonts w:hint="default" w:ascii="Times New Roman" w:hAnsi="Times New Roman" w:cs="Times New Roman"/>
                <w:color w:val="000000" w:themeColor="text1"/>
                <w:kern w:val="0"/>
                <w:szCs w:val="21"/>
              </w:rPr>
              <w:t>制标</w:t>
            </w:r>
          </w:p>
          <w:p w14:paraId="19CF1C56">
            <w:pPr>
              <w:adjustRightInd w:val="0"/>
              <w:snapToGrid w:val="0"/>
              <w:jc w:val="center"/>
              <w:rPr>
                <w:rFonts w:hint="default" w:ascii="Times New Roman" w:hAnsi="Times New Roman" w:cs="Times New Roman"/>
                <w:color w:val="000000" w:themeColor="text1"/>
                <w:kern w:val="0"/>
                <w:szCs w:val="21"/>
              </w:rPr>
            </w:pPr>
            <w:r>
              <w:rPr>
                <w:rFonts w:hint="default" w:ascii="Times New Roman" w:hAnsi="Times New Roman" w:cs="Times New Roman"/>
                <w:color w:val="000000" w:themeColor="text1"/>
                <w:kern w:val="0"/>
                <w:szCs w:val="21"/>
              </w:rPr>
              <w:t>准</w:t>
            </w:r>
          </w:p>
        </w:tc>
        <w:tc>
          <w:tcPr>
            <w:tcW w:w="8637" w:type="dxa"/>
            <w:noWrap w:val="0"/>
            <w:vAlign w:val="center"/>
          </w:tcPr>
          <w:p w14:paraId="735660EC">
            <w:pPr>
              <w:pStyle w:val="3"/>
              <w:spacing w:before="163" w:after="163"/>
              <w:jc w:val="both"/>
              <w:rPr>
                <w:rFonts w:hint="default" w:ascii="Times New Roman" w:hAnsi="Times New Roman" w:cs="Times New Roman"/>
                <w:b/>
                <w:bCs/>
                <w:color w:val="000000" w:themeColor="text1"/>
                <w:sz w:val="28"/>
                <w:szCs w:val="28"/>
              </w:rPr>
            </w:pPr>
            <w:r>
              <w:rPr>
                <w:rFonts w:hint="default" w:ascii="Times New Roman" w:hAnsi="Times New Roman" w:cs="Times New Roman"/>
                <w:b/>
                <w:bCs/>
                <w:color w:val="000000" w:themeColor="text1"/>
                <w:sz w:val="28"/>
                <w:szCs w:val="28"/>
              </w:rPr>
              <w:t>1、废气污染物排放标准</w:t>
            </w:r>
          </w:p>
          <w:p w14:paraId="0B8DC897">
            <w:pPr>
              <w:widowControl/>
              <w:spacing w:line="360" w:lineRule="auto"/>
              <w:ind w:firstLine="480" w:firstLineChars="200"/>
              <w:rPr>
                <w:rFonts w:hint="default" w:ascii="Times New Roman" w:hAnsi="Times New Roman" w:cs="Times New Roman"/>
                <w:color w:val="000000" w:themeColor="text1"/>
                <w:kern w:val="0"/>
                <w:sz w:val="24"/>
                <w:szCs w:val="20"/>
                <w:lang w:val="en-US"/>
              </w:rPr>
            </w:pPr>
            <w:r>
              <w:rPr>
                <w:rFonts w:hint="default" w:ascii="Times New Roman" w:hAnsi="Times New Roman" w:cs="Times New Roman"/>
                <w:color w:val="000000" w:themeColor="text1"/>
                <w:kern w:val="0"/>
                <w:sz w:val="24"/>
                <w:szCs w:val="20"/>
              </w:rPr>
              <w:t>项目颗粒物</w:t>
            </w:r>
            <w:r>
              <w:rPr>
                <w:rFonts w:hint="default" w:ascii="Times New Roman" w:hAnsi="Times New Roman" w:eastAsia="宋体" w:cs="Times New Roman"/>
                <w:color w:val="000000" w:themeColor="text1"/>
                <w:kern w:val="0"/>
                <w:sz w:val="24"/>
                <w:szCs w:val="20"/>
              </w:rPr>
              <w:t>排放执行《大气污染物综合排放标准》（GB16297-1996）表2中二级标准及无组织排放浓度监控限值</w:t>
            </w:r>
            <w:r>
              <w:rPr>
                <w:rFonts w:hint="default" w:ascii="Times New Roman" w:hAnsi="Times New Roman" w:eastAsia="宋体" w:cs="Times New Roman"/>
                <w:color w:val="000000" w:themeColor="text1"/>
                <w:kern w:val="0"/>
                <w:sz w:val="24"/>
                <w:szCs w:val="20"/>
                <w:lang w:eastAsia="zh-CN"/>
              </w:rPr>
              <w:t>；</w:t>
            </w:r>
            <w:r>
              <w:rPr>
                <w:rFonts w:hint="default" w:ascii="Times New Roman" w:hAnsi="Times New Roman" w:eastAsia="宋体" w:cs="Times New Roman"/>
                <w:color w:val="000000" w:themeColor="text1"/>
                <w:sz w:val="24"/>
                <w:szCs w:val="24"/>
                <w:lang w:val="en-US" w:eastAsia="zh-CN" w:bidi="ar"/>
              </w:rPr>
              <w:t>非甲烷总烃排放执行</w:t>
            </w:r>
            <w:r>
              <w:rPr>
                <w:rFonts w:hint="default" w:ascii="Times New Roman" w:hAnsi="Times New Roman" w:eastAsia="宋体" w:cs="Times New Roman"/>
                <w:color w:val="000000" w:themeColor="text1"/>
                <w:sz w:val="24"/>
                <w:szCs w:val="24"/>
                <w:lang w:bidi="ar"/>
              </w:rPr>
              <w:t>《</w:t>
            </w:r>
            <w:r>
              <w:rPr>
                <w:rFonts w:hint="default" w:ascii="Times New Roman" w:hAnsi="Times New Roman" w:eastAsia="宋体" w:cs="Times New Roman"/>
                <w:color w:val="000000" w:themeColor="text1"/>
                <w:sz w:val="24"/>
                <w:szCs w:val="24"/>
                <w:lang w:val="en-US" w:eastAsia="zh-CN" w:bidi="ar"/>
              </w:rPr>
              <w:t>固定源挥发性有机物综合排放标准　第6部分：其他行业</w:t>
            </w:r>
            <w:r>
              <w:rPr>
                <w:rFonts w:hint="default" w:ascii="Times New Roman" w:hAnsi="Times New Roman" w:eastAsia="宋体" w:cs="Times New Roman"/>
                <w:color w:val="000000" w:themeColor="text1"/>
                <w:sz w:val="24"/>
                <w:szCs w:val="24"/>
                <w:lang w:bidi="ar"/>
              </w:rPr>
              <w:t>》（</w:t>
            </w:r>
            <w:r>
              <w:rPr>
                <w:rFonts w:hint="default" w:ascii="Times New Roman" w:hAnsi="Times New Roman" w:eastAsia="宋体" w:cs="Times New Roman"/>
                <w:color w:val="000000" w:themeColor="text1"/>
                <w:sz w:val="24"/>
                <w:szCs w:val="24"/>
                <w:lang w:val="en-US" w:eastAsia="zh-CN" w:bidi="ar"/>
              </w:rPr>
              <w:t>DB34/4812.6-2024</w:t>
            </w:r>
            <w:r>
              <w:rPr>
                <w:rFonts w:hint="default" w:ascii="Times New Roman" w:hAnsi="Times New Roman" w:eastAsia="宋体" w:cs="Times New Roman"/>
                <w:color w:val="000000" w:themeColor="text1"/>
                <w:sz w:val="24"/>
                <w:szCs w:val="24"/>
                <w:lang w:bidi="ar"/>
              </w:rPr>
              <w:t>）表</w:t>
            </w:r>
            <w:r>
              <w:rPr>
                <w:rFonts w:hint="default" w:ascii="Times New Roman" w:hAnsi="Times New Roman" w:eastAsia="宋体" w:cs="Times New Roman"/>
                <w:color w:val="000000" w:themeColor="text1"/>
                <w:sz w:val="24"/>
                <w:szCs w:val="24"/>
                <w:lang w:val="en-US" w:eastAsia="zh-CN" w:bidi="ar"/>
              </w:rPr>
              <w:t>1</w:t>
            </w:r>
            <w:r>
              <w:rPr>
                <w:rFonts w:hint="default" w:ascii="Times New Roman" w:hAnsi="Times New Roman" w:eastAsia="宋体" w:cs="Times New Roman"/>
                <w:color w:val="000000" w:themeColor="text1"/>
                <w:sz w:val="24"/>
                <w:szCs w:val="24"/>
                <w:lang w:bidi="ar"/>
              </w:rPr>
              <w:t>中</w:t>
            </w:r>
            <w:r>
              <w:rPr>
                <w:rFonts w:hint="default" w:ascii="Times New Roman" w:hAnsi="Times New Roman" w:eastAsia="宋体" w:cs="Times New Roman"/>
                <w:color w:val="000000" w:themeColor="text1"/>
                <w:sz w:val="24"/>
                <w:szCs w:val="24"/>
                <w:lang w:val="en-US" w:eastAsia="zh-CN" w:bidi="ar"/>
              </w:rPr>
              <w:t>相关排放限值</w:t>
            </w:r>
            <w:r>
              <w:rPr>
                <w:rFonts w:hint="default" w:ascii="Times New Roman" w:hAnsi="Times New Roman" w:eastAsia="宋体" w:cs="Times New Roman"/>
                <w:color w:val="000000" w:themeColor="text1"/>
                <w:sz w:val="24"/>
                <w:szCs w:val="24"/>
                <w:lang w:bidi="ar"/>
              </w:rPr>
              <w:t>及</w:t>
            </w:r>
            <w:r>
              <w:rPr>
                <w:rFonts w:hint="default" w:ascii="Times New Roman" w:hAnsi="Times New Roman" w:eastAsia="宋体" w:cs="Times New Roman"/>
                <w:color w:val="000000" w:themeColor="text1"/>
                <w:sz w:val="24"/>
                <w:szCs w:val="24"/>
                <w:lang w:val="en-US" w:eastAsia="zh-CN" w:bidi="ar"/>
              </w:rPr>
              <w:t>表4厂区内</w:t>
            </w:r>
            <w:r>
              <w:rPr>
                <w:rFonts w:hint="default" w:ascii="Times New Roman" w:hAnsi="Times New Roman" w:eastAsia="宋体" w:cs="Times New Roman"/>
                <w:color w:val="000000" w:themeColor="text1"/>
                <w:sz w:val="24"/>
                <w:szCs w:val="24"/>
                <w:lang w:bidi="ar"/>
              </w:rPr>
              <w:t>VOCs</w:t>
            </w:r>
            <w:r>
              <w:rPr>
                <w:rFonts w:hint="default" w:ascii="Times New Roman" w:hAnsi="Times New Roman" w:eastAsia="宋体" w:cs="Times New Roman"/>
                <w:color w:val="000000" w:themeColor="text1"/>
                <w:sz w:val="24"/>
                <w:szCs w:val="24"/>
                <w:lang w:val="en-US" w:eastAsia="zh-CN" w:bidi="ar"/>
              </w:rPr>
              <w:t>无组织排放限值；非甲烷总烃无组织排放厂界浓度</w:t>
            </w:r>
            <w:r>
              <w:rPr>
                <w:rFonts w:hint="default" w:ascii="Times New Roman" w:hAnsi="Times New Roman" w:eastAsia="宋体" w:cs="Times New Roman"/>
                <w:color w:val="000000" w:themeColor="text1"/>
                <w:kern w:val="0"/>
                <w:sz w:val="24"/>
                <w:szCs w:val="20"/>
              </w:rPr>
              <w:t>执行《大气污染物综合排放标准》（GB16297-1996）表2中无组织排放浓度监控限值</w:t>
            </w:r>
            <w:r>
              <w:rPr>
                <w:rFonts w:hint="default" w:ascii="Times New Roman" w:hAnsi="Times New Roman" w:cs="Times New Roman"/>
                <w:color w:val="000000" w:themeColor="text1"/>
                <w:kern w:val="0"/>
                <w:sz w:val="24"/>
                <w:szCs w:val="20"/>
              </w:rPr>
              <w:t>。</w:t>
            </w:r>
          </w:p>
          <w:p w14:paraId="2E1ECE23">
            <w:pPr>
              <w:keepNext/>
              <w:keepLines/>
              <w:tabs>
                <w:tab w:val="left" w:pos="0"/>
                <w:tab w:val="left" w:pos="180"/>
                <w:tab w:val="left" w:pos="1418"/>
                <w:tab w:val="left" w:pos="2976"/>
              </w:tabs>
              <w:jc w:val="center"/>
              <w:outlineLvl w:val="7"/>
              <w:rPr>
                <w:rFonts w:hint="default" w:ascii="Times New Roman" w:hAnsi="Times New Roman" w:eastAsia="宋体" w:cs="Times New Roman"/>
                <w:b/>
                <w:color w:val="000000" w:themeColor="text1"/>
                <w:sz w:val="24"/>
                <w:szCs w:val="24"/>
                <w:lang w:val="en-US" w:eastAsia="zh-CN"/>
              </w:rPr>
            </w:pPr>
            <w:r>
              <w:rPr>
                <w:rFonts w:ascii="Times New Roman" w:hAnsi="Times New Roman" w:cs="Times New Roman"/>
                <w:b/>
                <w:color w:val="000000" w:themeColor="text1"/>
                <w:sz w:val="24"/>
                <w:szCs w:val="24"/>
                <w:lang w:val="zh-CN"/>
              </w:rPr>
              <w:t>表</w:t>
            </w:r>
            <w:r>
              <w:rPr>
                <w:rFonts w:hint="eastAsia" w:ascii="Times New Roman" w:hAnsi="Times New Roman" w:cs="Times New Roman"/>
                <w:b/>
                <w:color w:val="000000" w:themeColor="text1"/>
                <w:sz w:val="24"/>
                <w:szCs w:val="24"/>
                <w:lang w:val="en-US" w:eastAsia="zh-CN"/>
              </w:rPr>
              <w:t>3-</w:t>
            </w:r>
            <w:r>
              <w:rPr>
                <w:rFonts w:hint="eastAsia" w:cs="Times New Roman"/>
                <w:b/>
                <w:color w:val="000000" w:themeColor="text1"/>
                <w:sz w:val="24"/>
                <w:szCs w:val="24"/>
                <w:lang w:val="en-US" w:eastAsia="zh-CN"/>
              </w:rPr>
              <w:t>7</w:t>
            </w:r>
            <w:r>
              <w:rPr>
                <w:rFonts w:ascii="Times New Roman" w:hAnsi="Times New Roman" w:cs="Times New Roman"/>
                <w:b/>
                <w:color w:val="000000" w:themeColor="text1"/>
                <w:sz w:val="24"/>
                <w:szCs w:val="24"/>
                <w:lang w:val="zh-CN"/>
              </w:rPr>
              <w:t xml:space="preserve"> </w:t>
            </w:r>
            <w:r>
              <w:rPr>
                <w:rFonts w:hint="eastAsia" w:ascii="Times New Roman" w:hAnsi="Times New Roman" w:cs="Times New Roman"/>
                <w:b/>
                <w:color w:val="000000" w:themeColor="text1"/>
                <w:sz w:val="24"/>
                <w:szCs w:val="24"/>
              </w:rPr>
              <w:t xml:space="preserve"> </w:t>
            </w:r>
            <w:r>
              <w:rPr>
                <w:rFonts w:hint="eastAsia" w:ascii="Times New Roman" w:hAnsi="Times New Roman" w:cs="Times New Roman"/>
                <w:b/>
                <w:color w:val="000000" w:themeColor="text1"/>
                <w:sz w:val="24"/>
                <w:szCs w:val="24"/>
                <w:lang w:val="en-US" w:eastAsia="zh-CN"/>
              </w:rPr>
              <w:t>本项目废气污染物排放标准</w:t>
            </w:r>
          </w:p>
          <w:tbl>
            <w:tblPr>
              <w:tblStyle w:val="34"/>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847"/>
              <w:gridCol w:w="1226"/>
              <w:gridCol w:w="1034"/>
              <w:gridCol w:w="1183"/>
              <w:gridCol w:w="4120"/>
            </w:tblGrid>
            <w:tr w14:paraId="6838DE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0" w:type="auto"/>
                  <w:vMerge w:val="restart"/>
                  <w:tcBorders>
                    <w:top w:val="single" w:color="000000" w:sz="4" w:space="0"/>
                    <w:left w:val="single" w:color="000000" w:sz="4" w:space="0"/>
                    <w:bottom w:val="single" w:color="000000" w:sz="4" w:space="0"/>
                    <w:right w:val="single" w:color="000000" w:sz="4" w:space="0"/>
                  </w:tcBorders>
                  <w:noWrap w:val="0"/>
                  <w:vAlign w:val="center"/>
                </w:tcPr>
                <w:p w14:paraId="1B79FBB1">
                  <w:pPr>
                    <w:jc w:val="center"/>
                    <w:rPr>
                      <w:rFonts w:hint="default" w:ascii="Times New Roman" w:hAnsi="Times New Roman" w:cs="Times New Roman"/>
                      <w:b/>
                      <w:bCs/>
                      <w:color w:val="000000" w:themeColor="text1"/>
                    </w:rPr>
                  </w:pPr>
                  <w:r>
                    <w:rPr>
                      <w:rFonts w:hint="default" w:ascii="Times New Roman" w:hAnsi="Times New Roman" w:cs="Times New Roman"/>
                      <w:b/>
                      <w:bCs/>
                      <w:color w:val="000000" w:themeColor="text1"/>
                    </w:rPr>
                    <w:t>污染物</w:t>
                  </w:r>
                </w:p>
              </w:tc>
              <w:tc>
                <w:tcPr>
                  <w:tcW w:w="0" w:type="auto"/>
                  <w:gridSpan w:val="2"/>
                  <w:tcBorders>
                    <w:top w:val="single" w:color="000000" w:sz="4" w:space="0"/>
                    <w:left w:val="single" w:color="000000" w:sz="4" w:space="0"/>
                    <w:bottom w:val="single" w:color="000000" w:sz="4" w:space="0"/>
                    <w:right w:val="single" w:color="auto" w:sz="4" w:space="0"/>
                  </w:tcBorders>
                  <w:noWrap w:val="0"/>
                  <w:vAlign w:val="center"/>
                </w:tcPr>
                <w:p w14:paraId="6DE40174">
                  <w:pPr>
                    <w:jc w:val="center"/>
                    <w:rPr>
                      <w:rFonts w:hint="default" w:ascii="Times New Roman" w:hAnsi="Times New Roman" w:cs="Times New Roman"/>
                      <w:b/>
                      <w:bCs/>
                      <w:color w:val="000000" w:themeColor="text1"/>
                    </w:rPr>
                  </w:pPr>
                  <w:r>
                    <w:rPr>
                      <w:rFonts w:hint="default" w:ascii="Times New Roman" w:hAnsi="Times New Roman" w:cs="Times New Roman"/>
                      <w:b/>
                      <w:bCs/>
                      <w:color w:val="000000" w:themeColor="text1"/>
                    </w:rPr>
                    <w:t>有组织</w:t>
                  </w:r>
                </w:p>
              </w:tc>
              <w:tc>
                <w:tcPr>
                  <w:tcW w:w="0" w:type="auto"/>
                  <w:tcBorders>
                    <w:top w:val="single" w:color="000000" w:sz="4" w:space="0"/>
                    <w:left w:val="single" w:color="000000" w:sz="4" w:space="0"/>
                    <w:bottom w:val="single" w:color="000000" w:sz="4" w:space="0"/>
                    <w:right w:val="single" w:color="auto" w:sz="4" w:space="0"/>
                  </w:tcBorders>
                  <w:noWrap w:val="0"/>
                  <w:vAlign w:val="center"/>
                </w:tcPr>
                <w:p w14:paraId="7A261FE7">
                  <w:pPr>
                    <w:jc w:val="center"/>
                    <w:rPr>
                      <w:rFonts w:hint="default" w:ascii="Times New Roman" w:hAnsi="Times New Roman" w:cs="Times New Roman"/>
                      <w:b/>
                      <w:bCs/>
                      <w:color w:val="000000" w:themeColor="text1"/>
                    </w:rPr>
                  </w:pPr>
                  <w:r>
                    <w:rPr>
                      <w:rFonts w:hint="default" w:ascii="Times New Roman" w:hAnsi="Times New Roman" w:cs="Times New Roman"/>
                      <w:b/>
                      <w:bCs/>
                      <w:color w:val="000000" w:themeColor="text1"/>
                    </w:rPr>
                    <w:t>无组织</w:t>
                  </w:r>
                </w:p>
              </w:tc>
              <w:tc>
                <w:tcPr>
                  <w:tcW w:w="0" w:type="auto"/>
                  <w:vMerge w:val="restart"/>
                  <w:tcBorders>
                    <w:top w:val="single" w:color="000000" w:sz="4" w:space="0"/>
                    <w:left w:val="single" w:color="auto" w:sz="4" w:space="0"/>
                    <w:right w:val="single" w:color="auto" w:sz="4" w:space="0"/>
                  </w:tcBorders>
                  <w:noWrap w:val="0"/>
                  <w:vAlign w:val="center"/>
                </w:tcPr>
                <w:p w14:paraId="32C574BD">
                  <w:pPr>
                    <w:pStyle w:val="152"/>
                    <w:keepLines w:val="0"/>
                    <w:ind w:firstLine="0" w:firstLineChars="0"/>
                    <w:rPr>
                      <w:rFonts w:hint="default" w:ascii="Times New Roman" w:hAnsi="Times New Roman" w:eastAsia="宋体" w:cs="Times New Roman"/>
                      <w:color w:val="000000" w:themeColor="text1"/>
                      <w:lang w:val="en-US" w:eastAsia="zh-CN"/>
                    </w:rPr>
                  </w:pPr>
                  <w:r>
                    <w:rPr>
                      <w:rFonts w:hint="default" w:ascii="Times New Roman" w:hAnsi="Times New Roman" w:eastAsia="宋体" w:cs="Times New Roman"/>
                      <w:b/>
                      <w:bCs/>
                      <w:color w:val="000000" w:themeColor="text1"/>
                      <w:sz w:val="21"/>
                      <w:szCs w:val="21"/>
                      <w:highlight w:val="none"/>
                    </w:rPr>
                    <w:t>标准</w:t>
                  </w:r>
                  <w:r>
                    <w:rPr>
                      <w:rFonts w:hint="default" w:ascii="Times New Roman" w:hAnsi="Times New Roman" w:eastAsia="宋体" w:cs="Times New Roman"/>
                      <w:b/>
                      <w:bCs/>
                      <w:color w:val="000000" w:themeColor="text1"/>
                      <w:sz w:val="21"/>
                      <w:szCs w:val="21"/>
                      <w:highlight w:val="none"/>
                      <w:lang w:val="en-US" w:eastAsia="zh-CN"/>
                    </w:rPr>
                    <w:t>来源</w:t>
                  </w:r>
                </w:p>
              </w:tc>
            </w:tr>
            <w:tr w14:paraId="426A44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0" w:type="auto"/>
                  <w:vMerge w:val="continue"/>
                  <w:tcBorders>
                    <w:top w:val="single" w:color="000000" w:sz="4" w:space="0"/>
                    <w:left w:val="single" w:color="000000" w:sz="4" w:space="0"/>
                    <w:bottom w:val="single" w:color="auto" w:sz="4" w:space="0"/>
                    <w:right w:val="single" w:color="000000" w:sz="4" w:space="0"/>
                  </w:tcBorders>
                  <w:noWrap w:val="0"/>
                  <w:vAlign w:val="center"/>
                </w:tcPr>
                <w:p w14:paraId="71225A45">
                  <w:pPr>
                    <w:jc w:val="center"/>
                    <w:rPr>
                      <w:rFonts w:hint="default" w:ascii="Times New Roman" w:hAnsi="Times New Roman" w:cs="Times New Roman"/>
                      <w:b/>
                      <w:bCs/>
                      <w:color w:val="000000" w:themeColor="text1"/>
                    </w:rPr>
                  </w:pPr>
                </w:p>
              </w:tc>
              <w:tc>
                <w:tcPr>
                  <w:tcW w:w="0" w:type="auto"/>
                  <w:tcBorders>
                    <w:top w:val="single" w:color="000000" w:sz="4" w:space="0"/>
                    <w:left w:val="single" w:color="000000" w:sz="4" w:space="0"/>
                    <w:bottom w:val="single" w:color="auto" w:sz="4" w:space="0"/>
                    <w:right w:val="single" w:color="auto" w:sz="4" w:space="0"/>
                  </w:tcBorders>
                  <w:noWrap w:val="0"/>
                  <w:vAlign w:val="center"/>
                </w:tcPr>
                <w:p w14:paraId="6835588E">
                  <w:pPr>
                    <w:jc w:val="center"/>
                    <w:rPr>
                      <w:rFonts w:hint="default" w:ascii="Times New Roman" w:hAnsi="Times New Roman" w:cs="Times New Roman"/>
                      <w:b/>
                      <w:bCs/>
                      <w:color w:val="000000" w:themeColor="text1"/>
                    </w:rPr>
                  </w:pPr>
                  <w:r>
                    <w:rPr>
                      <w:rFonts w:hint="default" w:ascii="Times New Roman" w:hAnsi="Times New Roman" w:cs="Times New Roman"/>
                      <w:b/>
                      <w:bCs/>
                      <w:color w:val="000000" w:themeColor="text1"/>
                    </w:rPr>
                    <w:t>最高允许排放浓度</w:t>
                  </w:r>
                </w:p>
              </w:tc>
              <w:tc>
                <w:tcPr>
                  <w:tcW w:w="0" w:type="auto"/>
                  <w:tcBorders>
                    <w:top w:val="single" w:color="000000" w:sz="4" w:space="0"/>
                    <w:left w:val="single" w:color="000000" w:sz="4" w:space="0"/>
                    <w:bottom w:val="single" w:color="auto" w:sz="4" w:space="0"/>
                    <w:right w:val="single" w:color="auto" w:sz="4" w:space="0"/>
                  </w:tcBorders>
                  <w:noWrap w:val="0"/>
                  <w:vAlign w:val="center"/>
                </w:tcPr>
                <w:p w14:paraId="640D7578">
                  <w:pPr>
                    <w:jc w:val="center"/>
                    <w:rPr>
                      <w:rFonts w:hint="default" w:ascii="Times New Roman" w:hAnsi="Times New Roman" w:cs="Times New Roman"/>
                      <w:b/>
                      <w:bCs/>
                      <w:color w:val="000000" w:themeColor="text1"/>
                    </w:rPr>
                  </w:pPr>
                  <w:r>
                    <w:rPr>
                      <w:rFonts w:hint="default" w:ascii="Times New Roman" w:hAnsi="Times New Roman" w:cs="Times New Roman"/>
                      <w:b/>
                      <w:bCs/>
                      <w:color w:val="000000" w:themeColor="text1"/>
                    </w:rPr>
                    <w:t>最高允许排放速率</w:t>
                  </w:r>
                </w:p>
              </w:tc>
              <w:tc>
                <w:tcPr>
                  <w:tcW w:w="0" w:type="auto"/>
                  <w:tcBorders>
                    <w:top w:val="single" w:color="000000" w:sz="4" w:space="0"/>
                    <w:left w:val="single" w:color="000000" w:sz="4" w:space="0"/>
                    <w:bottom w:val="single" w:color="auto" w:sz="4" w:space="0"/>
                    <w:right w:val="single" w:color="auto" w:sz="4" w:space="0"/>
                  </w:tcBorders>
                  <w:noWrap w:val="0"/>
                  <w:vAlign w:val="center"/>
                </w:tcPr>
                <w:p w14:paraId="7B1FBDA5">
                  <w:pPr>
                    <w:jc w:val="center"/>
                    <w:rPr>
                      <w:rFonts w:hint="default" w:ascii="Times New Roman" w:hAnsi="Times New Roman" w:cs="Times New Roman"/>
                      <w:b/>
                      <w:bCs/>
                      <w:color w:val="000000" w:themeColor="text1"/>
                    </w:rPr>
                  </w:pPr>
                  <w:r>
                    <w:rPr>
                      <w:rFonts w:hint="default" w:ascii="Times New Roman" w:hAnsi="Times New Roman" w:cs="Times New Roman"/>
                      <w:b/>
                      <w:bCs/>
                      <w:color w:val="000000" w:themeColor="text1"/>
                      <w:lang w:val="en-US" w:eastAsia="zh-CN"/>
                    </w:rPr>
                    <w:t>厂</w:t>
                  </w:r>
                  <w:r>
                    <w:rPr>
                      <w:rFonts w:hint="default" w:ascii="Times New Roman" w:hAnsi="Times New Roman" w:cs="Times New Roman"/>
                      <w:b/>
                      <w:bCs/>
                      <w:color w:val="000000" w:themeColor="text1"/>
                    </w:rPr>
                    <w:t>界外浓度最高点</w:t>
                  </w:r>
                </w:p>
              </w:tc>
              <w:tc>
                <w:tcPr>
                  <w:tcW w:w="0" w:type="auto"/>
                  <w:vMerge w:val="continue"/>
                  <w:tcBorders>
                    <w:left w:val="single" w:color="auto" w:sz="4" w:space="0"/>
                    <w:bottom w:val="single" w:color="auto" w:sz="4" w:space="0"/>
                    <w:right w:val="single" w:color="auto" w:sz="4" w:space="0"/>
                  </w:tcBorders>
                  <w:noWrap w:val="0"/>
                  <w:vAlign w:val="center"/>
                </w:tcPr>
                <w:p w14:paraId="704870C9">
                  <w:pPr>
                    <w:jc w:val="center"/>
                    <w:rPr>
                      <w:rFonts w:hint="default" w:ascii="Times New Roman" w:hAnsi="Times New Roman" w:cs="Times New Roman"/>
                      <w:color w:val="000000" w:themeColor="text1"/>
                    </w:rPr>
                  </w:pPr>
                </w:p>
              </w:tc>
            </w:tr>
            <w:tr w14:paraId="274BFD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51" w:hRule="atLeast"/>
                <w:jc w:val="center"/>
              </w:trPr>
              <w:tc>
                <w:tcPr>
                  <w:tcW w:w="0" w:type="auto"/>
                  <w:tcBorders>
                    <w:top w:val="single" w:color="000000" w:sz="4" w:space="0"/>
                    <w:left w:val="single" w:color="000000" w:sz="4" w:space="0"/>
                    <w:bottom w:val="single" w:color="000000" w:sz="4" w:space="0"/>
                    <w:right w:val="single" w:color="000000" w:sz="4" w:space="0"/>
                  </w:tcBorders>
                  <w:noWrap w:val="0"/>
                  <w:vAlign w:val="center"/>
                </w:tcPr>
                <w:p w14:paraId="641764F0">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颗粒物</w:t>
                  </w:r>
                </w:p>
              </w:tc>
              <w:tc>
                <w:tcPr>
                  <w:tcW w:w="0" w:type="auto"/>
                  <w:tcBorders>
                    <w:top w:val="single" w:color="000000" w:sz="4" w:space="0"/>
                    <w:left w:val="single" w:color="000000" w:sz="4" w:space="0"/>
                    <w:bottom w:val="single" w:color="000000" w:sz="4" w:space="0"/>
                    <w:right w:val="single" w:color="auto" w:sz="4" w:space="0"/>
                  </w:tcBorders>
                  <w:noWrap w:val="0"/>
                  <w:vAlign w:val="center"/>
                </w:tcPr>
                <w:p w14:paraId="1113E32B">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120mg/m³</w:t>
                  </w:r>
                </w:p>
              </w:tc>
              <w:tc>
                <w:tcPr>
                  <w:tcW w:w="0" w:type="auto"/>
                  <w:tcBorders>
                    <w:top w:val="single" w:color="000000" w:sz="4" w:space="0"/>
                    <w:left w:val="single" w:color="000000" w:sz="4" w:space="0"/>
                    <w:bottom w:val="single" w:color="000000" w:sz="4" w:space="0"/>
                    <w:right w:val="single" w:color="auto" w:sz="4" w:space="0"/>
                  </w:tcBorders>
                  <w:noWrap w:val="0"/>
                  <w:vAlign w:val="center"/>
                </w:tcPr>
                <w:p w14:paraId="3A51AF0A">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3.5kg/h</w:t>
                  </w:r>
                </w:p>
              </w:tc>
              <w:tc>
                <w:tcPr>
                  <w:tcW w:w="0" w:type="auto"/>
                  <w:tcBorders>
                    <w:top w:val="single" w:color="000000" w:sz="4" w:space="0"/>
                    <w:left w:val="single" w:color="000000" w:sz="4" w:space="0"/>
                    <w:bottom w:val="single" w:color="000000" w:sz="4" w:space="0"/>
                    <w:right w:val="single" w:color="auto" w:sz="4" w:space="0"/>
                  </w:tcBorders>
                  <w:noWrap w:val="0"/>
                  <w:vAlign w:val="center"/>
                </w:tcPr>
                <w:p w14:paraId="62DCBE2E">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1.0mg/m³</w:t>
                  </w:r>
                </w:p>
              </w:tc>
              <w:tc>
                <w:tcPr>
                  <w:tcW w:w="0" w:type="auto"/>
                  <w:tcBorders>
                    <w:top w:val="single" w:color="000000" w:sz="4" w:space="0"/>
                    <w:left w:val="single" w:color="auto" w:sz="4" w:space="0"/>
                    <w:bottom w:val="single" w:color="auto" w:sz="4" w:space="0"/>
                    <w:right w:val="single" w:color="auto" w:sz="4" w:space="0"/>
                  </w:tcBorders>
                  <w:noWrap w:val="0"/>
                  <w:vAlign w:val="center"/>
                </w:tcPr>
                <w:p w14:paraId="6CA5DBDB">
                  <w:pPr>
                    <w:pStyle w:val="152"/>
                    <w:keepLines w:val="0"/>
                    <w:ind w:firstLine="0" w:firstLineChars="0"/>
                    <w:rPr>
                      <w:rFonts w:hint="default" w:ascii="Times New Roman" w:hAnsi="Times New Roman" w:cs="Times New Roman"/>
                      <w:color w:val="000000" w:themeColor="text1"/>
                    </w:rPr>
                  </w:pPr>
                  <w:r>
                    <w:rPr>
                      <w:rFonts w:hint="default" w:ascii="Times New Roman" w:hAnsi="Times New Roman" w:eastAsia="宋体" w:cs="Times New Roman"/>
                      <w:color w:val="000000" w:themeColor="text1"/>
                      <w:sz w:val="21"/>
                      <w:szCs w:val="21"/>
                      <w:highlight w:val="none"/>
                    </w:rPr>
                    <w:t>《</w:t>
                  </w:r>
                  <w:r>
                    <w:rPr>
                      <w:rFonts w:hint="default" w:ascii="Times New Roman" w:hAnsi="Times New Roman" w:eastAsia="宋体" w:cs="Times New Roman"/>
                      <w:color w:val="000000" w:themeColor="text1"/>
                      <w:sz w:val="21"/>
                      <w:szCs w:val="21"/>
                      <w:highlight w:val="none"/>
                      <w:lang w:val="en-US" w:eastAsia="zh-CN"/>
                    </w:rPr>
                    <w:t>大气污染物综合</w:t>
                  </w:r>
                  <w:r>
                    <w:rPr>
                      <w:rFonts w:hint="default" w:ascii="Times New Roman" w:hAnsi="Times New Roman" w:eastAsia="宋体" w:cs="Times New Roman"/>
                      <w:color w:val="000000" w:themeColor="text1"/>
                      <w:sz w:val="21"/>
                      <w:szCs w:val="21"/>
                      <w:highlight w:val="none"/>
                    </w:rPr>
                    <w:t>排放标准》（GB</w:t>
                  </w:r>
                  <w:r>
                    <w:rPr>
                      <w:rFonts w:hint="default" w:ascii="Times New Roman" w:hAnsi="Times New Roman" w:eastAsia="宋体" w:cs="Times New Roman"/>
                      <w:color w:val="000000" w:themeColor="text1"/>
                      <w:sz w:val="21"/>
                      <w:szCs w:val="21"/>
                      <w:highlight w:val="none"/>
                      <w:lang w:val="en-US" w:eastAsia="zh-CN"/>
                    </w:rPr>
                    <w:t>16297</w:t>
                  </w:r>
                  <w:r>
                    <w:rPr>
                      <w:rFonts w:hint="default" w:ascii="Times New Roman" w:hAnsi="Times New Roman" w:eastAsia="宋体" w:cs="Times New Roman"/>
                      <w:color w:val="000000" w:themeColor="text1"/>
                      <w:sz w:val="21"/>
                      <w:szCs w:val="21"/>
                      <w:highlight w:val="none"/>
                    </w:rPr>
                    <w:t>-</w:t>
                  </w:r>
                  <w:r>
                    <w:rPr>
                      <w:rFonts w:hint="default" w:ascii="Times New Roman" w:hAnsi="Times New Roman" w:eastAsia="宋体" w:cs="Times New Roman"/>
                      <w:color w:val="000000" w:themeColor="text1"/>
                      <w:sz w:val="21"/>
                      <w:szCs w:val="21"/>
                      <w:highlight w:val="none"/>
                      <w:lang w:val="en-US" w:eastAsia="zh-CN"/>
                    </w:rPr>
                    <w:t>1996</w:t>
                  </w:r>
                  <w:r>
                    <w:rPr>
                      <w:rFonts w:hint="default" w:ascii="Times New Roman" w:hAnsi="Times New Roman" w:eastAsia="宋体" w:cs="Times New Roman"/>
                      <w:color w:val="000000" w:themeColor="text1"/>
                      <w:sz w:val="21"/>
                      <w:szCs w:val="21"/>
                      <w:highlight w:val="none"/>
                    </w:rPr>
                    <w:t>）</w:t>
                  </w:r>
                </w:p>
              </w:tc>
            </w:tr>
            <w:tr w14:paraId="47C411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37" w:hRule="atLeast"/>
                <w:jc w:val="center"/>
              </w:trPr>
              <w:tc>
                <w:tcPr>
                  <w:tcW w:w="0" w:type="auto"/>
                  <w:tcBorders>
                    <w:top w:val="single" w:color="000000" w:sz="4" w:space="0"/>
                    <w:left w:val="single" w:color="000000" w:sz="4" w:space="0"/>
                    <w:right w:val="single" w:color="000000" w:sz="4" w:space="0"/>
                  </w:tcBorders>
                  <w:noWrap w:val="0"/>
                  <w:vAlign w:val="center"/>
                </w:tcPr>
                <w:p w14:paraId="205A0A52">
                  <w:pPr>
                    <w:jc w:val="center"/>
                    <w:rPr>
                      <w:rFonts w:hint="default" w:ascii="Times New Roman" w:hAnsi="Times New Roman" w:cs="Times New Roman"/>
                      <w:color w:val="000000" w:themeColor="text1"/>
                    </w:rPr>
                  </w:pPr>
                  <w:r>
                    <w:rPr>
                      <w:rFonts w:hint="default" w:ascii="Times New Roman" w:hAnsi="Times New Roman" w:eastAsia="宋体" w:cs="Times New Roman"/>
                      <w:color w:val="000000" w:themeColor="text1"/>
                      <w:sz w:val="21"/>
                      <w:szCs w:val="21"/>
                      <w:highlight w:val="none"/>
                    </w:rPr>
                    <w:t>NMHC</w:t>
                  </w:r>
                </w:p>
              </w:tc>
              <w:tc>
                <w:tcPr>
                  <w:tcW w:w="0" w:type="auto"/>
                  <w:tcBorders>
                    <w:top w:val="single" w:color="000000" w:sz="4" w:space="0"/>
                    <w:left w:val="single" w:color="000000" w:sz="4" w:space="0"/>
                    <w:right w:val="single" w:color="auto" w:sz="4" w:space="0"/>
                  </w:tcBorders>
                  <w:noWrap w:val="0"/>
                  <w:vAlign w:val="center"/>
                </w:tcPr>
                <w:p w14:paraId="499D92B9">
                  <w:pPr>
                    <w:jc w:val="center"/>
                    <w:rPr>
                      <w:rFonts w:hint="default" w:ascii="Times New Roman" w:hAnsi="Times New Roman" w:cs="Times New Roman"/>
                      <w:color w:val="000000" w:themeColor="text1"/>
                    </w:rPr>
                  </w:pPr>
                  <w:r>
                    <w:rPr>
                      <w:rFonts w:hint="eastAsia" w:ascii="Times New Roman" w:hAnsi="Times New Roman" w:cs="Times New Roman"/>
                      <w:color w:val="000000" w:themeColor="text1"/>
                      <w:lang w:val="en-US" w:eastAsia="zh-CN"/>
                    </w:rPr>
                    <w:t>50</w:t>
                  </w:r>
                  <w:r>
                    <w:rPr>
                      <w:rFonts w:hint="default" w:ascii="Times New Roman" w:hAnsi="Times New Roman" w:cs="Times New Roman"/>
                      <w:color w:val="000000" w:themeColor="text1"/>
                    </w:rPr>
                    <w:t>mg/m³</w:t>
                  </w:r>
                </w:p>
              </w:tc>
              <w:tc>
                <w:tcPr>
                  <w:tcW w:w="0" w:type="auto"/>
                  <w:tcBorders>
                    <w:top w:val="single" w:color="000000" w:sz="4" w:space="0"/>
                    <w:left w:val="single" w:color="000000" w:sz="4" w:space="0"/>
                    <w:right w:val="single" w:color="auto" w:sz="4" w:space="0"/>
                  </w:tcBorders>
                  <w:noWrap w:val="0"/>
                  <w:vAlign w:val="center"/>
                </w:tcPr>
                <w:p w14:paraId="5F7B9495">
                  <w:pPr>
                    <w:jc w:val="center"/>
                    <w:rPr>
                      <w:rFonts w:hint="default" w:ascii="Times New Roman" w:hAnsi="Times New Roman" w:cs="Times New Roman"/>
                      <w:color w:val="000000" w:themeColor="text1"/>
                    </w:rPr>
                  </w:pPr>
                  <w:r>
                    <w:rPr>
                      <w:rFonts w:hint="eastAsia" w:ascii="Times New Roman" w:hAnsi="Times New Roman" w:cs="Times New Roman"/>
                      <w:color w:val="000000" w:themeColor="text1"/>
                      <w:lang w:val="en-US" w:eastAsia="zh-CN"/>
                    </w:rPr>
                    <w:t>2</w:t>
                  </w:r>
                  <w:r>
                    <w:rPr>
                      <w:rFonts w:hint="default" w:ascii="Times New Roman" w:hAnsi="Times New Roman" w:cs="Times New Roman"/>
                      <w:color w:val="000000" w:themeColor="text1"/>
                      <w:lang w:val="en-US" w:eastAsia="zh-CN"/>
                    </w:rPr>
                    <w:t>.0</w:t>
                  </w:r>
                  <w:r>
                    <w:rPr>
                      <w:rFonts w:hint="default" w:ascii="Times New Roman" w:hAnsi="Times New Roman" w:cs="Times New Roman"/>
                      <w:color w:val="000000" w:themeColor="text1"/>
                    </w:rPr>
                    <w:t>kg/h</w:t>
                  </w:r>
                </w:p>
              </w:tc>
              <w:tc>
                <w:tcPr>
                  <w:tcW w:w="0" w:type="auto"/>
                  <w:tcBorders>
                    <w:top w:val="single" w:color="000000" w:sz="4" w:space="0"/>
                    <w:left w:val="single" w:color="000000" w:sz="4" w:space="0"/>
                    <w:bottom w:val="single" w:color="000000" w:sz="4" w:space="0"/>
                    <w:right w:val="single" w:color="auto" w:sz="4" w:space="0"/>
                  </w:tcBorders>
                  <w:noWrap w:val="0"/>
                  <w:vAlign w:val="center"/>
                </w:tcPr>
                <w:p w14:paraId="6143CDE7">
                  <w:pPr>
                    <w:jc w:val="center"/>
                    <w:rPr>
                      <w:rFonts w:hint="default" w:ascii="Times New Roman" w:hAnsi="Times New Roman" w:eastAsia="宋体" w:cs="Times New Roman"/>
                      <w:color w:val="000000" w:themeColor="text1"/>
                      <w:lang w:val="en-US" w:eastAsia="zh-CN"/>
                    </w:rPr>
                  </w:pPr>
                  <w:r>
                    <w:rPr>
                      <w:rFonts w:hint="eastAsia" w:ascii="Times New Roman" w:hAnsi="Times New Roman" w:cs="Times New Roman"/>
                      <w:color w:val="000000" w:themeColor="text1"/>
                      <w:lang w:val="en-US" w:eastAsia="zh-CN"/>
                    </w:rPr>
                    <w:t>4.0</w:t>
                  </w:r>
                </w:p>
              </w:tc>
              <w:tc>
                <w:tcPr>
                  <w:tcW w:w="0" w:type="auto"/>
                  <w:tcBorders>
                    <w:top w:val="single" w:color="auto" w:sz="4" w:space="0"/>
                    <w:left w:val="single" w:color="auto" w:sz="4" w:space="0"/>
                    <w:right w:val="single" w:color="auto" w:sz="4" w:space="0"/>
                  </w:tcBorders>
                  <w:noWrap w:val="0"/>
                  <w:vAlign w:val="center"/>
                </w:tcPr>
                <w:p w14:paraId="634F81DD">
                  <w:pPr>
                    <w:pStyle w:val="152"/>
                    <w:keepLines w:val="0"/>
                    <w:ind w:firstLine="0" w:firstLineChars="0"/>
                    <w:rPr>
                      <w:rFonts w:hint="default" w:ascii="Times New Roman" w:hAnsi="Times New Roman" w:cs="Times New Roman"/>
                      <w:color w:val="000000" w:themeColor="text1"/>
                    </w:rPr>
                  </w:pPr>
                  <w:r>
                    <w:rPr>
                      <w:rFonts w:hint="default" w:ascii="Times New Roman" w:hAnsi="Times New Roman" w:eastAsia="宋体" w:cs="Times New Roman"/>
                      <w:color w:val="000000" w:themeColor="text1"/>
                      <w:sz w:val="21"/>
                      <w:szCs w:val="21"/>
                      <w:highlight w:val="none"/>
                    </w:rPr>
                    <w:t>《</w:t>
                  </w:r>
                  <w:r>
                    <w:rPr>
                      <w:rFonts w:hint="default" w:ascii="Times New Roman" w:hAnsi="Times New Roman" w:eastAsia="宋体" w:cs="Times New Roman"/>
                      <w:color w:val="000000" w:themeColor="text1"/>
                      <w:sz w:val="21"/>
                      <w:szCs w:val="21"/>
                      <w:highlight w:val="none"/>
                      <w:lang w:val="en-US" w:eastAsia="zh-CN"/>
                    </w:rPr>
                    <w:t>固定源挥发性有机物综合排放标准　第6部分：其他行业</w:t>
                  </w:r>
                  <w:r>
                    <w:rPr>
                      <w:rFonts w:hint="default" w:ascii="Times New Roman" w:hAnsi="Times New Roman" w:eastAsia="宋体" w:cs="Times New Roman"/>
                      <w:color w:val="000000" w:themeColor="text1"/>
                      <w:sz w:val="21"/>
                      <w:szCs w:val="21"/>
                      <w:highlight w:val="none"/>
                    </w:rPr>
                    <w:t>》（DB34/4812.6-2024）</w:t>
                  </w:r>
                  <w:r>
                    <w:rPr>
                      <w:rFonts w:hint="default" w:ascii="Times New Roman" w:hAnsi="Times New Roman" w:eastAsia="宋体" w:cs="Times New Roman"/>
                      <w:color w:val="000000" w:themeColor="text1"/>
                      <w:sz w:val="21"/>
                      <w:szCs w:val="21"/>
                      <w:highlight w:val="none"/>
                      <w:lang w:val="en-US" w:eastAsia="zh-CN"/>
                    </w:rPr>
                    <w:t>表1</w:t>
                  </w:r>
                  <w:r>
                    <w:rPr>
                      <w:rFonts w:hint="eastAsia" w:ascii="Times New Roman" w:hAnsi="Times New Roman" w:eastAsia="宋体" w:cs="Times New Roman"/>
                      <w:color w:val="000000" w:themeColor="text1"/>
                      <w:sz w:val="21"/>
                      <w:szCs w:val="21"/>
                      <w:highlight w:val="none"/>
                      <w:lang w:val="en-US" w:eastAsia="zh-CN"/>
                    </w:rPr>
                    <w:t>；</w:t>
                  </w:r>
                  <w:r>
                    <w:rPr>
                      <w:rFonts w:hint="default" w:ascii="Times New Roman" w:hAnsi="Times New Roman" w:eastAsia="宋体" w:cs="Times New Roman"/>
                      <w:color w:val="000000" w:themeColor="text1"/>
                      <w:sz w:val="21"/>
                      <w:szCs w:val="21"/>
                      <w:highlight w:val="none"/>
                    </w:rPr>
                    <w:t>《</w:t>
                  </w:r>
                  <w:r>
                    <w:rPr>
                      <w:rFonts w:hint="default" w:ascii="Times New Roman" w:hAnsi="Times New Roman" w:eastAsia="宋体" w:cs="Times New Roman"/>
                      <w:color w:val="000000" w:themeColor="text1"/>
                      <w:sz w:val="21"/>
                      <w:szCs w:val="21"/>
                      <w:highlight w:val="none"/>
                      <w:lang w:val="en-US" w:eastAsia="zh-CN"/>
                    </w:rPr>
                    <w:t>大气污染物综合</w:t>
                  </w:r>
                  <w:r>
                    <w:rPr>
                      <w:rFonts w:hint="default" w:ascii="Times New Roman" w:hAnsi="Times New Roman" w:eastAsia="宋体" w:cs="Times New Roman"/>
                      <w:color w:val="000000" w:themeColor="text1"/>
                      <w:sz w:val="21"/>
                      <w:szCs w:val="21"/>
                      <w:highlight w:val="none"/>
                    </w:rPr>
                    <w:t>排放标准》（GB</w:t>
                  </w:r>
                  <w:r>
                    <w:rPr>
                      <w:rFonts w:hint="default" w:ascii="Times New Roman" w:hAnsi="Times New Roman" w:eastAsia="宋体" w:cs="Times New Roman"/>
                      <w:color w:val="000000" w:themeColor="text1"/>
                      <w:sz w:val="21"/>
                      <w:szCs w:val="21"/>
                      <w:highlight w:val="none"/>
                      <w:lang w:val="en-US" w:eastAsia="zh-CN"/>
                    </w:rPr>
                    <w:t>16297</w:t>
                  </w:r>
                  <w:r>
                    <w:rPr>
                      <w:rFonts w:hint="default" w:ascii="Times New Roman" w:hAnsi="Times New Roman" w:eastAsia="宋体" w:cs="Times New Roman"/>
                      <w:color w:val="000000" w:themeColor="text1"/>
                      <w:sz w:val="21"/>
                      <w:szCs w:val="21"/>
                      <w:highlight w:val="none"/>
                    </w:rPr>
                    <w:t>-</w:t>
                  </w:r>
                  <w:r>
                    <w:rPr>
                      <w:rFonts w:hint="default" w:ascii="Times New Roman" w:hAnsi="Times New Roman" w:eastAsia="宋体" w:cs="Times New Roman"/>
                      <w:color w:val="000000" w:themeColor="text1"/>
                      <w:sz w:val="21"/>
                      <w:szCs w:val="21"/>
                      <w:highlight w:val="none"/>
                      <w:lang w:val="en-US" w:eastAsia="zh-CN"/>
                    </w:rPr>
                    <w:t>1996</w:t>
                  </w:r>
                  <w:r>
                    <w:rPr>
                      <w:rFonts w:hint="default" w:ascii="Times New Roman" w:hAnsi="Times New Roman" w:eastAsia="宋体" w:cs="Times New Roman"/>
                      <w:color w:val="000000" w:themeColor="text1"/>
                      <w:sz w:val="21"/>
                      <w:szCs w:val="21"/>
                      <w:highlight w:val="none"/>
                    </w:rPr>
                    <w:t>）</w:t>
                  </w:r>
                </w:p>
              </w:tc>
            </w:tr>
          </w:tbl>
          <w:p w14:paraId="797071D8">
            <w:pPr>
              <w:keepNext/>
              <w:keepLines/>
              <w:tabs>
                <w:tab w:val="left" w:pos="0"/>
                <w:tab w:val="left" w:pos="180"/>
                <w:tab w:val="left" w:pos="1418"/>
                <w:tab w:val="left" w:pos="2976"/>
              </w:tabs>
              <w:jc w:val="center"/>
              <w:outlineLvl w:val="7"/>
              <w:rPr>
                <w:rFonts w:ascii="Times New Roman" w:hAnsi="Times New Roman" w:eastAsia="宋体" w:cs="Times New Roman"/>
                <w:b/>
                <w:color w:val="000000" w:themeColor="text1"/>
                <w:sz w:val="24"/>
                <w:szCs w:val="24"/>
                <w:lang w:val="zh-CN"/>
              </w:rPr>
            </w:pPr>
          </w:p>
          <w:p w14:paraId="1DB74DE1">
            <w:pPr>
              <w:keepNext/>
              <w:keepLines/>
              <w:tabs>
                <w:tab w:val="left" w:pos="0"/>
                <w:tab w:val="left" w:pos="180"/>
                <w:tab w:val="left" w:pos="1418"/>
                <w:tab w:val="left" w:pos="2976"/>
              </w:tabs>
              <w:jc w:val="center"/>
              <w:outlineLvl w:val="7"/>
              <w:rPr>
                <w:rFonts w:ascii="Times New Roman" w:hAnsi="Times New Roman" w:eastAsia="宋体" w:cs="Times New Roman"/>
                <w:b/>
                <w:color w:val="000000" w:themeColor="text1"/>
                <w:sz w:val="24"/>
                <w:szCs w:val="24"/>
                <w:lang w:val="zh-CN"/>
              </w:rPr>
            </w:pPr>
            <w:r>
              <w:rPr>
                <w:rFonts w:ascii="Times New Roman" w:hAnsi="Times New Roman" w:eastAsia="宋体" w:cs="Times New Roman"/>
                <w:b/>
                <w:color w:val="000000" w:themeColor="text1"/>
                <w:sz w:val="24"/>
                <w:szCs w:val="24"/>
                <w:lang w:val="zh-CN"/>
              </w:rPr>
              <w:t>表3</w:t>
            </w:r>
            <w:r>
              <w:rPr>
                <w:rFonts w:hint="eastAsia" w:ascii="Times New Roman" w:hAnsi="Times New Roman" w:eastAsia="宋体" w:cs="Times New Roman"/>
                <w:b/>
                <w:color w:val="000000" w:themeColor="text1"/>
                <w:sz w:val="24"/>
                <w:szCs w:val="24"/>
                <w:lang w:val="en-US" w:eastAsia="zh-CN"/>
              </w:rPr>
              <w:t>-</w:t>
            </w:r>
            <w:r>
              <w:rPr>
                <w:rFonts w:hint="eastAsia" w:cs="Times New Roman"/>
                <w:b/>
                <w:color w:val="000000" w:themeColor="text1"/>
                <w:sz w:val="24"/>
                <w:szCs w:val="24"/>
                <w:lang w:val="en-US" w:eastAsia="zh-CN"/>
              </w:rPr>
              <w:t>8</w:t>
            </w:r>
            <w:r>
              <w:rPr>
                <w:rFonts w:ascii="Times New Roman" w:hAnsi="Times New Roman" w:eastAsia="宋体" w:cs="Times New Roman"/>
                <w:b/>
                <w:color w:val="000000" w:themeColor="text1"/>
                <w:sz w:val="24"/>
                <w:szCs w:val="24"/>
                <w:lang w:val="zh-CN"/>
              </w:rPr>
              <w:t xml:space="preserve"> 挥发性有机物无组织排放控制标准</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57" w:type="dxa"/>
                <w:left w:w="108" w:type="dxa"/>
                <w:bottom w:w="57" w:type="dxa"/>
                <w:right w:w="108" w:type="dxa"/>
              </w:tblCellMar>
            </w:tblPr>
            <w:tblGrid>
              <w:gridCol w:w="847"/>
              <w:gridCol w:w="1525"/>
              <w:gridCol w:w="2326"/>
              <w:gridCol w:w="1296"/>
              <w:gridCol w:w="2413"/>
            </w:tblGrid>
            <w:tr w14:paraId="24E1F0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572" w:hRule="atLeast"/>
                <w:tblHeader/>
                <w:jc w:val="center"/>
              </w:trPr>
              <w:tc>
                <w:tcPr>
                  <w:tcW w:w="494" w:type="pct"/>
                  <w:noWrap w:val="0"/>
                  <w:vAlign w:val="center"/>
                </w:tcPr>
                <w:p w14:paraId="7F3B4E11">
                  <w:pPr>
                    <w:pStyle w:val="152"/>
                    <w:keepLines w:val="0"/>
                    <w:rPr>
                      <w:rFonts w:hint="default" w:ascii="Times New Roman" w:hAnsi="Times New Roman" w:eastAsia="宋体" w:cs="Times New Roman"/>
                      <w:b/>
                      <w:bCs/>
                      <w:color w:val="000000" w:themeColor="text1"/>
                      <w:sz w:val="21"/>
                      <w:szCs w:val="21"/>
                      <w:highlight w:val="none"/>
                    </w:rPr>
                  </w:pPr>
                  <w:r>
                    <w:rPr>
                      <w:rFonts w:hint="default" w:ascii="Times New Roman" w:hAnsi="Times New Roman" w:eastAsia="宋体" w:cs="Times New Roman"/>
                      <w:b/>
                      <w:bCs/>
                      <w:color w:val="000000" w:themeColor="text1"/>
                      <w:sz w:val="21"/>
                      <w:szCs w:val="21"/>
                      <w:highlight w:val="none"/>
                    </w:rPr>
                    <w:t>污染物</w:t>
                  </w:r>
                </w:p>
              </w:tc>
              <w:tc>
                <w:tcPr>
                  <w:tcW w:w="909" w:type="pct"/>
                  <w:noWrap w:val="0"/>
                  <w:vAlign w:val="center"/>
                </w:tcPr>
                <w:p w14:paraId="0D644D22">
                  <w:pPr>
                    <w:pStyle w:val="152"/>
                    <w:keepLines w:val="0"/>
                    <w:rPr>
                      <w:rFonts w:hint="default" w:ascii="Times New Roman" w:hAnsi="Times New Roman" w:eastAsia="宋体" w:cs="Times New Roman"/>
                      <w:b/>
                      <w:bCs/>
                      <w:color w:val="000000" w:themeColor="text1"/>
                      <w:sz w:val="21"/>
                      <w:szCs w:val="21"/>
                      <w:highlight w:val="none"/>
                    </w:rPr>
                  </w:pPr>
                  <w:r>
                    <w:rPr>
                      <w:rFonts w:hint="default" w:ascii="Times New Roman" w:hAnsi="Times New Roman" w:eastAsia="宋体" w:cs="Times New Roman"/>
                      <w:b/>
                      <w:bCs/>
                      <w:color w:val="000000" w:themeColor="text1"/>
                      <w:sz w:val="21"/>
                      <w:szCs w:val="21"/>
                      <w:highlight w:val="none"/>
                      <w:lang w:val="en-US" w:eastAsia="zh-CN"/>
                    </w:rPr>
                    <w:t>最高允许</w:t>
                  </w:r>
                  <w:r>
                    <w:rPr>
                      <w:rFonts w:hint="default" w:ascii="Times New Roman" w:hAnsi="Times New Roman" w:eastAsia="宋体" w:cs="Times New Roman"/>
                      <w:b/>
                      <w:bCs/>
                      <w:color w:val="000000" w:themeColor="text1"/>
                      <w:sz w:val="21"/>
                      <w:szCs w:val="21"/>
                      <w:highlight w:val="none"/>
                    </w:rPr>
                    <w:t>排放浓度（mg/m</w:t>
                  </w:r>
                  <w:r>
                    <w:rPr>
                      <w:rFonts w:hint="default" w:ascii="Times New Roman" w:hAnsi="Times New Roman" w:eastAsia="宋体" w:cs="Times New Roman"/>
                      <w:b/>
                      <w:bCs/>
                      <w:color w:val="000000" w:themeColor="text1"/>
                      <w:sz w:val="21"/>
                      <w:szCs w:val="21"/>
                      <w:highlight w:val="none"/>
                      <w:vertAlign w:val="superscript"/>
                    </w:rPr>
                    <w:t>3</w:t>
                  </w:r>
                  <w:r>
                    <w:rPr>
                      <w:rFonts w:hint="default" w:ascii="Times New Roman" w:hAnsi="Times New Roman" w:eastAsia="宋体" w:cs="Times New Roman"/>
                      <w:b/>
                      <w:bCs/>
                      <w:color w:val="000000" w:themeColor="text1"/>
                      <w:sz w:val="21"/>
                      <w:szCs w:val="21"/>
                      <w:highlight w:val="none"/>
                    </w:rPr>
                    <w:t>）</w:t>
                  </w:r>
                </w:p>
              </w:tc>
              <w:tc>
                <w:tcPr>
                  <w:tcW w:w="1385" w:type="pct"/>
                  <w:noWrap w:val="0"/>
                  <w:vAlign w:val="center"/>
                </w:tcPr>
                <w:p w14:paraId="6CA005AD">
                  <w:pPr>
                    <w:pStyle w:val="152"/>
                    <w:keepLines w:val="0"/>
                    <w:rPr>
                      <w:rFonts w:hint="default" w:ascii="Times New Roman" w:hAnsi="Times New Roman" w:eastAsia="宋体" w:cs="Times New Roman"/>
                      <w:b/>
                      <w:bCs/>
                      <w:color w:val="000000" w:themeColor="text1"/>
                      <w:sz w:val="21"/>
                      <w:szCs w:val="21"/>
                      <w:highlight w:val="none"/>
                    </w:rPr>
                  </w:pPr>
                  <w:r>
                    <w:rPr>
                      <w:rFonts w:hint="default" w:ascii="Times New Roman" w:hAnsi="Times New Roman" w:eastAsia="宋体" w:cs="Times New Roman"/>
                      <w:b/>
                      <w:bCs/>
                      <w:color w:val="000000" w:themeColor="text1"/>
                      <w:sz w:val="21"/>
                      <w:szCs w:val="21"/>
                      <w:highlight w:val="none"/>
                      <w:lang w:val="en-US" w:eastAsia="zh-CN"/>
                    </w:rPr>
                    <w:t>排放</w:t>
                  </w:r>
                  <w:r>
                    <w:rPr>
                      <w:rFonts w:hint="default" w:ascii="Times New Roman" w:hAnsi="Times New Roman" w:eastAsia="宋体" w:cs="Times New Roman"/>
                      <w:b/>
                      <w:bCs/>
                      <w:color w:val="000000" w:themeColor="text1"/>
                      <w:sz w:val="21"/>
                      <w:szCs w:val="21"/>
                      <w:highlight w:val="none"/>
                    </w:rPr>
                    <w:t>限值含义</w:t>
                  </w:r>
                </w:p>
              </w:tc>
              <w:tc>
                <w:tcPr>
                  <w:tcW w:w="773" w:type="pct"/>
                  <w:noWrap w:val="0"/>
                  <w:vAlign w:val="center"/>
                </w:tcPr>
                <w:p w14:paraId="5BBD318D">
                  <w:pPr>
                    <w:pStyle w:val="152"/>
                    <w:keepLines w:val="0"/>
                    <w:rPr>
                      <w:rFonts w:hint="default" w:ascii="Times New Roman" w:hAnsi="Times New Roman" w:eastAsia="宋体" w:cs="Times New Roman"/>
                      <w:b/>
                      <w:bCs/>
                      <w:color w:val="000000" w:themeColor="text1"/>
                      <w:sz w:val="21"/>
                      <w:szCs w:val="21"/>
                      <w:highlight w:val="none"/>
                      <w:vertAlign w:val="subscript"/>
                    </w:rPr>
                  </w:pPr>
                  <w:r>
                    <w:rPr>
                      <w:rFonts w:hint="default" w:ascii="Times New Roman" w:hAnsi="Times New Roman" w:eastAsia="宋体" w:cs="Times New Roman"/>
                      <w:b/>
                      <w:bCs/>
                      <w:color w:val="000000" w:themeColor="text1"/>
                      <w:sz w:val="21"/>
                      <w:szCs w:val="21"/>
                      <w:highlight w:val="none"/>
                    </w:rPr>
                    <w:t>无组织排放监控位置</w:t>
                  </w:r>
                </w:p>
              </w:tc>
              <w:tc>
                <w:tcPr>
                  <w:tcW w:w="1437" w:type="pct"/>
                  <w:noWrap w:val="0"/>
                  <w:vAlign w:val="center"/>
                </w:tcPr>
                <w:p w14:paraId="7E01BFAE">
                  <w:pPr>
                    <w:pStyle w:val="152"/>
                    <w:keepLines w:val="0"/>
                    <w:rPr>
                      <w:rFonts w:hint="default" w:ascii="Times New Roman" w:hAnsi="Times New Roman" w:eastAsia="宋体" w:cs="Times New Roman"/>
                      <w:b/>
                      <w:bCs/>
                      <w:color w:val="000000" w:themeColor="text1"/>
                      <w:sz w:val="21"/>
                      <w:szCs w:val="21"/>
                      <w:highlight w:val="none"/>
                    </w:rPr>
                  </w:pPr>
                  <w:r>
                    <w:rPr>
                      <w:rFonts w:hint="default" w:ascii="Times New Roman" w:hAnsi="Times New Roman" w:eastAsia="宋体" w:cs="Times New Roman"/>
                      <w:b/>
                      <w:bCs/>
                      <w:color w:val="000000" w:themeColor="text1"/>
                      <w:sz w:val="21"/>
                      <w:szCs w:val="21"/>
                      <w:highlight w:val="none"/>
                    </w:rPr>
                    <w:t>标准来源</w:t>
                  </w:r>
                </w:p>
              </w:tc>
            </w:tr>
            <w:tr w14:paraId="5F61C7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494" w:type="pct"/>
                  <w:vMerge w:val="restart"/>
                  <w:noWrap w:val="0"/>
                  <w:vAlign w:val="center"/>
                </w:tcPr>
                <w:p w14:paraId="2EC3FEA5">
                  <w:pPr>
                    <w:pStyle w:val="152"/>
                    <w:keepLines w:val="0"/>
                    <w:rPr>
                      <w:rFonts w:hint="default" w:ascii="Times New Roman" w:hAnsi="Times New Roman" w:eastAsia="宋体" w:cs="Times New Roman"/>
                      <w:color w:val="000000" w:themeColor="text1"/>
                      <w:sz w:val="21"/>
                      <w:szCs w:val="21"/>
                      <w:highlight w:val="none"/>
                    </w:rPr>
                  </w:pPr>
                  <w:r>
                    <w:rPr>
                      <w:rFonts w:hint="default" w:ascii="Times New Roman" w:hAnsi="Times New Roman" w:eastAsia="宋体" w:cs="Times New Roman"/>
                      <w:color w:val="000000" w:themeColor="text1"/>
                      <w:sz w:val="21"/>
                      <w:szCs w:val="21"/>
                      <w:highlight w:val="none"/>
                    </w:rPr>
                    <w:t>NMHC</w:t>
                  </w:r>
                </w:p>
              </w:tc>
              <w:tc>
                <w:tcPr>
                  <w:tcW w:w="909" w:type="pct"/>
                  <w:noWrap w:val="0"/>
                  <w:vAlign w:val="center"/>
                </w:tcPr>
                <w:p w14:paraId="30206B73">
                  <w:pPr>
                    <w:pStyle w:val="152"/>
                    <w:keepLines w:val="0"/>
                    <w:rPr>
                      <w:rFonts w:hint="default" w:ascii="Times New Roman" w:hAnsi="Times New Roman" w:eastAsia="宋体" w:cs="Times New Roman"/>
                      <w:color w:val="000000" w:themeColor="text1"/>
                      <w:sz w:val="21"/>
                      <w:szCs w:val="21"/>
                      <w:highlight w:val="none"/>
                    </w:rPr>
                  </w:pPr>
                  <w:r>
                    <w:rPr>
                      <w:rFonts w:hint="default" w:ascii="Times New Roman" w:hAnsi="Times New Roman" w:eastAsia="宋体" w:cs="Times New Roman"/>
                      <w:color w:val="000000" w:themeColor="text1"/>
                      <w:sz w:val="21"/>
                      <w:szCs w:val="21"/>
                      <w:highlight w:val="none"/>
                    </w:rPr>
                    <w:t>6</w:t>
                  </w:r>
                </w:p>
              </w:tc>
              <w:tc>
                <w:tcPr>
                  <w:tcW w:w="1385" w:type="pct"/>
                  <w:noWrap w:val="0"/>
                  <w:vAlign w:val="center"/>
                </w:tcPr>
                <w:p w14:paraId="4B2EB155">
                  <w:pPr>
                    <w:pStyle w:val="152"/>
                    <w:keepLines w:val="0"/>
                    <w:rPr>
                      <w:rFonts w:hint="default" w:ascii="Times New Roman" w:hAnsi="Times New Roman" w:eastAsia="宋体" w:cs="Times New Roman"/>
                      <w:color w:val="000000" w:themeColor="text1"/>
                      <w:sz w:val="21"/>
                      <w:szCs w:val="21"/>
                      <w:highlight w:val="none"/>
                    </w:rPr>
                  </w:pPr>
                  <w:r>
                    <w:rPr>
                      <w:rFonts w:hint="default" w:ascii="Times New Roman" w:hAnsi="Times New Roman" w:eastAsia="宋体" w:cs="Times New Roman"/>
                      <w:color w:val="000000" w:themeColor="text1"/>
                      <w:sz w:val="21"/>
                      <w:szCs w:val="21"/>
                      <w:highlight w:val="none"/>
                    </w:rPr>
                    <w:t>监控点处1h平均浓度值</w:t>
                  </w:r>
                </w:p>
              </w:tc>
              <w:tc>
                <w:tcPr>
                  <w:tcW w:w="773" w:type="pct"/>
                  <w:vMerge w:val="restart"/>
                  <w:noWrap w:val="0"/>
                  <w:vAlign w:val="center"/>
                </w:tcPr>
                <w:p w14:paraId="38F3B6BB">
                  <w:pPr>
                    <w:pStyle w:val="152"/>
                    <w:keepLines w:val="0"/>
                    <w:rPr>
                      <w:rFonts w:hint="default" w:ascii="Times New Roman" w:hAnsi="Times New Roman" w:eastAsia="宋体" w:cs="Times New Roman"/>
                      <w:color w:val="000000" w:themeColor="text1"/>
                      <w:sz w:val="21"/>
                      <w:szCs w:val="21"/>
                      <w:highlight w:val="none"/>
                    </w:rPr>
                  </w:pPr>
                  <w:r>
                    <w:rPr>
                      <w:rFonts w:hint="default" w:ascii="Times New Roman" w:hAnsi="Times New Roman" w:eastAsia="宋体" w:cs="Times New Roman"/>
                      <w:color w:val="000000" w:themeColor="text1"/>
                      <w:sz w:val="21"/>
                      <w:szCs w:val="21"/>
                      <w:highlight w:val="none"/>
                    </w:rPr>
                    <w:t>在厂房外设置监控点</w:t>
                  </w:r>
                </w:p>
              </w:tc>
              <w:tc>
                <w:tcPr>
                  <w:tcW w:w="1437" w:type="pct"/>
                  <w:vMerge w:val="restart"/>
                  <w:noWrap w:val="0"/>
                  <w:vAlign w:val="center"/>
                </w:tcPr>
                <w:p w14:paraId="3722E267">
                  <w:pPr>
                    <w:pStyle w:val="152"/>
                    <w:keepLines w:val="0"/>
                    <w:rPr>
                      <w:rFonts w:hint="default" w:ascii="Times New Roman" w:hAnsi="Times New Roman" w:eastAsia="宋体" w:cs="Times New Roman"/>
                      <w:color w:val="000000" w:themeColor="text1"/>
                      <w:sz w:val="21"/>
                      <w:szCs w:val="21"/>
                      <w:highlight w:val="none"/>
                    </w:rPr>
                  </w:pPr>
                  <w:r>
                    <w:rPr>
                      <w:rFonts w:hint="default" w:ascii="Times New Roman" w:hAnsi="Times New Roman" w:eastAsia="宋体" w:cs="Times New Roman"/>
                      <w:color w:val="000000" w:themeColor="text1"/>
                      <w:sz w:val="21"/>
                      <w:szCs w:val="21"/>
                      <w:highlight w:val="none"/>
                    </w:rPr>
                    <w:t>《</w:t>
                  </w:r>
                  <w:r>
                    <w:rPr>
                      <w:rFonts w:hint="default" w:ascii="Times New Roman" w:hAnsi="Times New Roman" w:eastAsia="宋体" w:cs="Times New Roman"/>
                      <w:color w:val="000000" w:themeColor="text1"/>
                      <w:sz w:val="21"/>
                      <w:szCs w:val="21"/>
                      <w:highlight w:val="none"/>
                      <w:lang w:val="en-US" w:eastAsia="zh-CN"/>
                    </w:rPr>
                    <w:t>固定源挥发性有机物综合排放标准　第6部分：其他行业</w:t>
                  </w:r>
                  <w:r>
                    <w:rPr>
                      <w:rFonts w:hint="default" w:ascii="Times New Roman" w:hAnsi="Times New Roman" w:eastAsia="宋体" w:cs="Times New Roman"/>
                      <w:color w:val="000000" w:themeColor="text1"/>
                      <w:sz w:val="21"/>
                      <w:szCs w:val="21"/>
                      <w:highlight w:val="none"/>
                    </w:rPr>
                    <w:t>》（DB34/4812.6-2024）</w:t>
                  </w:r>
                  <w:r>
                    <w:rPr>
                      <w:rFonts w:hint="default" w:ascii="Times New Roman" w:hAnsi="Times New Roman" w:eastAsia="宋体" w:cs="Times New Roman"/>
                      <w:color w:val="000000" w:themeColor="text1"/>
                      <w:sz w:val="21"/>
                      <w:szCs w:val="21"/>
                      <w:highlight w:val="none"/>
                      <w:lang w:val="en-US" w:eastAsia="zh-CN"/>
                    </w:rPr>
                    <w:t>表4</w:t>
                  </w:r>
                </w:p>
              </w:tc>
            </w:tr>
            <w:tr w14:paraId="0F329F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05" w:hRule="atLeast"/>
                <w:jc w:val="center"/>
              </w:trPr>
              <w:tc>
                <w:tcPr>
                  <w:tcW w:w="494" w:type="pct"/>
                  <w:vMerge w:val="continue"/>
                  <w:noWrap w:val="0"/>
                  <w:vAlign w:val="center"/>
                </w:tcPr>
                <w:p w14:paraId="490E9F74">
                  <w:pPr>
                    <w:pStyle w:val="152"/>
                    <w:keepLines w:val="0"/>
                    <w:rPr>
                      <w:rFonts w:hint="default" w:ascii="Times New Roman" w:hAnsi="Times New Roman" w:eastAsia="宋体" w:cs="Times New Roman"/>
                      <w:color w:val="000000" w:themeColor="text1"/>
                      <w:sz w:val="21"/>
                      <w:szCs w:val="21"/>
                      <w:highlight w:val="none"/>
                    </w:rPr>
                  </w:pPr>
                </w:p>
              </w:tc>
              <w:tc>
                <w:tcPr>
                  <w:tcW w:w="909" w:type="pct"/>
                  <w:noWrap w:val="0"/>
                  <w:vAlign w:val="center"/>
                </w:tcPr>
                <w:p w14:paraId="23610428">
                  <w:pPr>
                    <w:pStyle w:val="152"/>
                    <w:keepLines w:val="0"/>
                    <w:rPr>
                      <w:rFonts w:hint="default" w:ascii="Times New Roman" w:hAnsi="Times New Roman" w:eastAsia="宋体" w:cs="Times New Roman"/>
                      <w:color w:val="000000" w:themeColor="text1"/>
                      <w:sz w:val="21"/>
                      <w:szCs w:val="21"/>
                      <w:highlight w:val="none"/>
                    </w:rPr>
                  </w:pPr>
                  <w:r>
                    <w:rPr>
                      <w:rFonts w:hint="default" w:ascii="Times New Roman" w:hAnsi="Times New Roman" w:eastAsia="宋体" w:cs="Times New Roman"/>
                      <w:color w:val="000000" w:themeColor="text1"/>
                      <w:sz w:val="21"/>
                      <w:szCs w:val="21"/>
                      <w:highlight w:val="none"/>
                    </w:rPr>
                    <w:t>20</w:t>
                  </w:r>
                </w:p>
              </w:tc>
              <w:tc>
                <w:tcPr>
                  <w:tcW w:w="1385" w:type="pct"/>
                  <w:noWrap w:val="0"/>
                  <w:vAlign w:val="center"/>
                </w:tcPr>
                <w:p w14:paraId="5EA85572">
                  <w:pPr>
                    <w:pStyle w:val="152"/>
                    <w:keepLines w:val="0"/>
                    <w:rPr>
                      <w:rFonts w:hint="default" w:ascii="Times New Roman" w:hAnsi="Times New Roman" w:eastAsia="宋体" w:cs="Times New Roman"/>
                      <w:color w:val="000000" w:themeColor="text1"/>
                      <w:sz w:val="21"/>
                      <w:szCs w:val="21"/>
                      <w:highlight w:val="none"/>
                    </w:rPr>
                  </w:pPr>
                  <w:r>
                    <w:rPr>
                      <w:rFonts w:hint="default" w:ascii="Times New Roman" w:hAnsi="Times New Roman" w:eastAsia="宋体" w:cs="Times New Roman"/>
                      <w:color w:val="000000" w:themeColor="text1"/>
                      <w:sz w:val="21"/>
                      <w:szCs w:val="21"/>
                      <w:highlight w:val="none"/>
                    </w:rPr>
                    <w:t>监控点处任意一次浓度值</w:t>
                  </w:r>
                </w:p>
              </w:tc>
              <w:tc>
                <w:tcPr>
                  <w:tcW w:w="773" w:type="pct"/>
                  <w:vMerge w:val="continue"/>
                  <w:noWrap w:val="0"/>
                  <w:vAlign w:val="center"/>
                </w:tcPr>
                <w:p w14:paraId="1D5590D2">
                  <w:pPr>
                    <w:pStyle w:val="152"/>
                    <w:keepLines w:val="0"/>
                    <w:rPr>
                      <w:rFonts w:hint="default" w:ascii="Times New Roman" w:hAnsi="Times New Roman" w:eastAsia="宋体" w:cs="Times New Roman"/>
                      <w:color w:val="000000" w:themeColor="text1"/>
                      <w:sz w:val="21"/>
                      <w:szCs w:val="21"/>
                      <w:highlight w:val="none"/>
                    </w:rPr>
                  </w:pPr>
                </w:p>
              </w:tc>
              <w:tc>
                <w:tcPr>
                  <w:tcW w:w="1437" w:type="pct"/>
                  <w:vMerge w:val="continue"/>
                  <w:noWrap w:val="0"/>
                  <w:vAlign w:val="center"/>
                </w:tcPr>
                <w:p w14:paraId="1E01C597">
                  <w:pPr>
                    <w:pStyle w:val="152"/>
                    <w:keepLines w:val="0"/>
                    <w:rPr>
                      <w:rFonts w:hint="default" w:ascii="Times New Roman" w:hAnsi="Times New Roman" w:eastAsia="宋体" w:cs="Times New Roman"/>
                      <w:color w:val="000000" w:themeColor="text1"/>
                      <w:sz w:val="21"/>
                      <w:szCs w:val="21"/>
                      <w:highlight w:val="none"/>
                    </w:rPr>
                  </w:pPr>
                </w:p>
              </w:tc>
            </w:tr>
          </w:tbl>
          <w:p w14:paraId="63357E1B">
            <w:pPr>
              <w:pStyle w:val="3"/>
              <w:spacing w:before="163" w:after="163"/>
              <w:jc w:val="both"/>
              <w:rPr>
                <w:rFonts w:hint="default" w:ascii="Times New Roman" w:hAnsi="Times New Roman" w:cs="Times New Roman"/>
                <w:b/>
                <w:bCs/>
                <w:color w:val="000000" w:themeColor="text1"/>
                <w:sz w:val="28"/>
                <w:szCs w:val="28"/>
              </w:rPr>
            </w:pPr>
            <w:r>
              <w:rPr>
                <w:rFonts w:hint="default" w:ascii="Times New Roman" w:hAnsi="Times New Roman" w:cs="Times New Roman"/>
                <w:b/>
                <w:bCs/>
                <w:color w:val="000000" w:themeColor="text1"/>
                <w:sz w:val="28"/>
                <w:szCs w:val="28"/>
              </w:rPr>
              <w:t>2、废水污染物排放标准</w:t>
            </w:r>
          </w:p>
          <w:p w14:paraId="735C3F9F">
            <w:pPr>
              <w:adjustRightInd w:val="0"/>
              <w:spacing w:line="360" w:lineRule="auto"/>
              <w:ind w:firstLine="480" w:firstLineChars="200"/>
              <w:textAlignment w:val="baseline"/>
              <w:rPr>
                <w:rFonts w:hint="default" w:ascii="Times New Roman" w:hAnsi="Times New Roman" w:cs="Times New Roman"/>
                <w:color w:val="000000" w:themeColor="text1"/>
                <w:sz w:val="24"/>
              </w:rPr>
            </w:pPr>
            <w:r>
              <w:rPr>
                <w:rFonts w:hint="default" w:ascii="Times New Roman" w:hAnsi="Times New Roman" w:cs="Times New Roman"/>
                <w:color w:val="000000" w:themeColor="text1"/>
                <w:sz w:val="24"/>
              </w:rPr>
              <w:t>本项目废水污染物排放执行《污水综合排放标准》（GB8978-1996）三级标准</w:t>
            </w:r>
            <w:r>
              <w:rPr>
                <w:rFonts w:hint="eastAsia" w:ascii="Times New Roman" w:hAnsi="Times New Roman" w:cs="Times New Roman"/>
                <w:color w:val="000000" w:themeColor="text1"/>
                <w:sz w:val="24"/>
                <w:lang w:val="en-US" w:eastAsia="zh-CN"/>
              </w:rPr>
              <w:t>和</w:t>
            </w:r>
            <w:r>
              <w:rPr>
                <w:rFonts w:hint="default" w:ascii="Times New Roman" w:hAnsi="Times New Roman" w:cs="Times New Roman"/>
                <w:color w:val="000000" w:themeColor="text1"/>
                <w:sz w:val="24"/>
              </w:rPr>
              <w:t>龙湖污水处理厂接管标准要求，污水处理厂尾水排放执行《城镇污水处理厂污染物排放标准》（GB18918-2002）一级A标准。</w:t>
            </w:r>
          </w:p>
          <w:p w14:paraId="286AA856">
            <w:pPr>
              <w:adjustRightInd w:val="0"/>
              <w:snapToGrid w:val="0"/>
              <w:jc w:val="center"/>
              <w:rPr>
                <w:rFonts w:hint="default" w:ascii="Times New Roman" w:hAnsi="Times New Roman" w:cs="Times New Roman"/>
                <w:b/>
                <w:bCs/>
                <w:color w:val="000000" w:themeColor="text1"/>
                <w:sz w:val="24"/>
              </w:rPr>
            </w:pPr>
            <w:r>
              <w:rPr>
                <w:rFonts w:hint="default" w:ascii="Times New Roman" w:hAnsi="Times New Roman" w:cs="Times New Roman"/>
                <w:b/>
                <w:bCs/>
                <w:color w:val="000000" w:themeColor="text1"/>
                <w:sz w:val="24"/>
              </w:rPr>
              <w:t>表3-</w:t>
            </w:r>
            <w:r>
              <w:rPr>
                <w:rFonts w:hint="eastAsia" w:cs="Times New Roman"/>
                <w:b/>
                <w:bCs/>
                <w:color w:val="000000" w:themeColor="text1"/>
                <w:sz w:val="24"/>
                <w:lang w:val="en-US" w:eastAsia="zh-CN"/>
              </w:rPr>
              <w:t>9</w:t>
            </w:r>
            <w:r>
              <w:rPr>
                <w:rFonts w:hint="default" w:ascii="Times New Roman" w:hAnsi="Times New Roman" w:cs="Times New Roman"/>
                <w:b/>
                <w:bCs/>
                <w:color w:val="000000" w:themeColor="text1"/>
                <w:sz w:val="24"/>
              </w:rPr>
              <w:t xml:space="preserve">  废水排放标准（单位：mg/L，pH除外）</w:t>
            </w:r>
          </w:p>
          <w:tbl>
            <w:tblPr>
              <w:tblStyle w:val="34"/>
              <w:tblW w:w="0" w:type="auto"/>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1802"/>
              <w:gridCol w:w="942"/>
              <w:gridCol w:w="942"/>
              <w:gridCol w:w="942"/>
              <w:gridCol w:w="942"/>
              <w:gridCol w:w="944"/>
              <w:gridCol w:w="944"/>
              <w:gridCol w:w="945"/>
            </w:tblGrid>
            <w:tr w14:paraId="477440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802" w:type="dxa"/>
                  <w:tcBorders>
                    <w:top w:val="single" w:color="000000" w:sz="12" w:space="0"/>
                    <w:left w:val="nil"/>
                  </w:tcBorders>
                  <w:noWrap w:val="0"/>
                  <w:vAlign w:val="center"/>
                </w:tcPr>
                <w:p w14:paraId="6CFF4404">
                  <w:pPr>
                    <w:pStyle w:val="85"/>
                    <w:spacing w:line="240" w:lineRule="auto"/>
                    <w:rPr>
                      <w:rFonts w:hint="default" w:ascii="Times New Roman" w:hAnsi="Times New Roman" w:cs="Times New Roman"/>
                      <w:color w:val="000000" w:themeColor="text1"/>
                    </w:rPr>
                  </w:pPr>
                  <w:r>
                    <w:rPr>
                      <w:rFonts w:hint="default" w:ascii="Times New Roman" w:hAnsi="Times New Roman" w:cs="Times New Roman"/>
                      <w:color w:val="000000" w:themeColor="text1"/>
                    </w:rPr>
                    <w:t>标准</w:t>
                  </w:r>
                </w:p>
              </w:tc>
              <w:tc>
                <w:tcPr>
                  <w:tcW w:w="942" w:type="dxa"/>
                  <w:tcBorders>
                    <w:top w:val="single" w:color="000000" w:sz="12" w:space="0"/>
                  </w:tcBorders>
                  <w:noWrap w:val="0"/>
                  <w:vAlign w:val="center"/>
                </w:tcPr>
                <w:p w14:paraId="596F1262">
                  <w:pPr>
                    <w:pStyle w:val="85"/>
                    <w:spacing w:line="240" w:lineRule="auto"/>
                    <w:rPr>
                      <w:rFonts w:hint="default" w:ascii="Times New Roman" w:hAnsi="Times New Roman" w:cs="Times New Roman"/>
                      <w:color w:val="000000" w:themeColor="text1"/>
                    </w:rPr>
                  </w:pPr>
                  <w:r>
                    <w:rPr>
                      <w:rFonts w:hint="default" w:ascii="Times New Roman" w:hAnsi="Times New Roman" w:cs="Times New Roman"/>
                      <w:color w:val="000000" w:themeColor="text1"/>
                    </w:rPr>
                    <w:t>pH</w:t>
                  </w:r>
                </w:p>
              </w:tc>
              <w:tc>
                <w:tcPr>
                  <w:tcW w:w="942" w:type="dxa"/>
                  <w:tcBorders>
                    <w:top w:val="single" w:color="000000" w:sz="12" w:space="0"/>
                    <w:right w:val="nil"/>
                  </w:tcBorders>
                  <w:noWrap w:val="0"/>
                  <w:vAlign w:val="center"/>
                </w:tcPr>
                <w:p w14:paraId="2FC1B328">
                  <w:pPr>
                    <w:pStyle w:val="85"/>
                    <w:spacing w:line="240" w:lineRule="auto"/>
                    <w:rPr>
                      <w:rFonts w:hint="default" w:ascii="Times New Roman" w:hAnsi="Times New Roman" w:cs="Times New Roman"/>
                      <w:color w:val="000000" w:themeColor="text1"/>
                    </w:rPr>
                  </w:pPr>
                  <w:r>
                    <w:rPr>
                      <w:rFonts w:hint="default" w:ascii="Times New Roman" w:hAnsi="Times New Roman" w:cs="Times New Roman"/>
                      <w:color w:val="000000" w:themeColor="text1"/>
                    </w:rPr>
                    <w:t>COD</w:t>
                  </w:r>
                </w:p>
              </w:tc>
              <w:tc>
                <w:tcPr>
                  <w:tcW w:w="942" w:type="dxa"/>
                  <w:tcBorders>
                    <w:top w:val="single" w:color="000000" w:sz="12" w:space="0"/>
                    <w:right w:val="nil"/>
                  </w:tcBorders>
                  <w:noWrap w:val="0"/>
                  <w:vAlign w:val="center"/>
                </w:tcPr>
                <w:p w14:paraId="1B154F37">
                  <w:pPr>
                    <w:pStyle w:val="85"/>
                    <w:spacing w:line="240" w:lineRule="auto"/>
                    <w:rPr>
                      <w:rFonts w:hint="default" w:ascii="Times New Roman" w:hAnsi="Times New Roman" w:cs="Times New Roman"/>
                      <w:color w:val="000000" w:themeColor="text1"/>
                    </w:rPr>
                  </w:pPr>
                  <w:r>
                    <w:rPr>
                      <w:rFonts w:hint="default" w:ascii="Times New Roman" w:hAnsi="Times New Roman" w:cs="Times New Roman"/>
                      <w:color w:val="000000" w:themeColor="text1"/>
                    </w:rPr>
                    <w:t>BOD</w:t>
                  </w:r>
                  <w:r>
                    <w:rPr>
                      <w:rFonts w:hint="default" w:ascii="Times New Roman" w:hAnsi="Times New Roman" w:cs="Times New Roman"/>
                      <w:color w:val="000000" w:themeColor="text1"/>
                      <w:vertAlign w:val="subscript"/>
                    </w:rPr>
                    <w:t>5</w:t>
                  </w:r>
                </w:p>
              </w:tc>
              <w:tc>
                <w:tcPr>
                  <w:tcW w:w="942" w:type="dxa"/>
                  <w:tcBorders>
                    <w:top w:val="single" w:color="000000" w:sz="12" w:space="0"/>
                    <w:right w:val="nil"/>
                  </w:tcBorders>
                  <w:noWrap w:val="0"/>
                  <w:vAlign w:val="center"/>
                </w:tcPr>
                <w:p w14:paraId="4B5104C1">
                  <w:pPr>
                    <w:pStyle w:val="85"/>
                    <w:spacing w:line="240" w:lineRule="auto"/>
                    <w:rPr>
                      <w:rFonts w:hint="default" w:ascii="Times New Roman" w:hAnsi="Times New Roman" w:cs="Times New Roman"/>
                      <w:color w:val="000000" w:themeColor="text1"/>
                    </w:rPr>
                  </w:pPr>
                  <w:r>
                    <w:rPr>
                      <w:rFonts w:hint="default" w:ascii="Times New Roman" w:hAnsi="Times New Roman" w:cs="Times New Roman"/>
                      <w:color w:val="000000" w:themeColor="text1"/>
                    </w:rPr>
                    <w:t>SS</w:t>
                  </w:r>
                </w:p>
              </w:tc>
              <w:tc>
                <w:tcPr>
                  <w:tcW w:w="944" w:type="dxa"/>
                  <w:tcBorders>
                    <w:top w:val="single" w:color="000000" w:sz="12" w:space="0"/>
                    <w:right w:val="nil"/>
                  </w:tcBorders>
                  <w:noWrap w:val="0"/>
                  <w:vAlign w:val="center"/>
                </w:tcPr>
                <w:p w14:paraId="0F69E5BF">
                  <w:pPr>
                    <w:pStyle w:val="85"/>
                    <w:spacing w:line="240" w:lineRule="auto"/>
                    <w:rPr>
                      <w:rFonts w:hint="default" w:ascii="Times New Roman" w:hAnsi="Times New Roman" w:cs="Times New Roman"/>
                      <w:color w:val="000000" w:themeColor="text1"/>
                    </w:rPr>
                  </w:pPr>
                  <w:r>
                    <w:rPr>
                      <w:rFonts w:hint="default" w:ascii="Times New Roman" w:hAnsi="Times New Roman" w:cs="Times New Roman"/>
                      <w:color w:val="000000" w:themeColor="text1"/>
                    </w:rPr>
                    <w:t>氨氮</w:t>
                  </w:r>
                </w:p>
              </w:tc>
              <w:tc>
                <w:tcPr>
                  <w:tcW w:w="944" w:type="dxa"/>
                  <w:tcBorders>
                    <w:top w:val="single" w:color="000000" w:sz="12" w:space="0"/>
                    <w:right w:val="nil"/>
                  </w:tcBorders>
                  <w:noWrap w:val="0"/>
                  <w:vAlign w:val="center"/>
                </w:tcPr>
                <w:p w14:paraId="120034C6">
                  <w:pPr>
                    <w:pStyle w:val="85"/>
                    <w:spacing w:line="240" w:lineRule="auto"/>
                    <w:rPr>
                      <w:rFonts w:hint="default" w:ascii="Times New Roman" w:hAnsi="Times New Roman" w:cs="Times New Roman"/>
                      <w:color w:val="000000" w:themeColor="text1"/>
                    </w:rPr>
                  </w:pPr>
                  <w:r>
                    <w:rPr>
                      <w:rFonts w:hint="default" w:ascii="Times New Roman" w:hAnsi="Times New Roman" w:cs="Times New Roman"/>
                      <w:color w:val="000000" w:themeColor="text1"/>
                    </w:rPr>
                    <w:t>TN</w:t>
                  </w:r>
                </w:p>
              </w:tc>
              <w:tc>
                <w:tcPr>
                  <w:tcW w:w="945" w:type="dxa"/>
                  <w:tcBorders>
                    <w:top w:val="single" w:color="000000" w:sz="12" w:space="0"/>
                    <w:right w:val="nil"/>
                  </w:tcBorders>
                  <w:noWrap w:val="0"/>
                  <w:vAlign w:val="center"/>
                </w:tcPr>
                <w:p w14:paraId="11F60F8C">
                  <w:pPr>
                    <w:pStyle w:val="85"/>
                    <w:spacing w:line="240" w:lineRule="auto"/>
                    <w:rPr>
                      <w:rFonts w:hint="default" w:ascii="Times New Roman" w:hAnsi="Times New Roman" w:cs="Times New Roman"/>
                      <w:color w:val="000000" w:themeColor="text1"/>
                    </w:rPr>
                  </w:pPr>
                  <w:r>
                    <w:rPr>
                      <w:rFonts w:hint="default" w:ascii="Times New Roman" w:hAnsi="Times New Roman" w:cs="Times New Roman"/>
                      <w:color w:val="000000" w:themeColor="text1"/>
                    </w:rPr>
                    <w:t>TP</w:t>
                  </w:r>
                </w:p>
              </w:tc>
            </w:tr>
            <w:tr w14:paraId="0E6511E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1802" w:type="dxa"/>
                  <w:tcBorders>
                    <w:top w:val="single" w:color="000000" w:sz="12" w:space="0"/>
                    <w:left w:val="nil"/>
                  </w:tcBorders>
                  <w:noWrap w:val="0"/>
                  <w:vAlign w:val="center"/>
                </w:tcPr>
                <w:p w14:paraId="4A34FB1A">
                  <w:pPr>
                    <w:pStyle w:val="85"/>
                    <w:spacing w:line="240" w:lineRule="auto"/>
                    <w:rPr>
                      <w:rFonts w:hint="default" w:ascii="Times New Roman" w:hAnsi="Times New Roman" w:eastAsia="黑体" w:cs="Times New Roman"/>
                      <w:color w:val="000000" w:themeColor="text1"/>
                      <w:lang w:val="en-US" w:eastAsia="zh-CN"/>
                    </w:rPr>
                  </w:pPr>
                  <w:r>
                    <w:rPr>
                      <w:rFonts w:hint="default" w:ascii="Times New Roman" w:hAnsi="Times New Roman" w:cs="Times New Roman"/>
                      <w:color w:val="000000" w:themeColor="text1"/>
                    </w:rPr>
                    <w:t>GB8978-1996</w:t>
                  </w:r>
                  <w:r>
                    <w:rPr>
                      <w:rFonts w:hint="eastAsia" w:ascii="Times New Roman" w:hAnsi="Times New Roman" w:cs="Times New Roman"/>
                      <w:color w:val="000000" w:themeColor="text1"/>
                      <w:lang w:val="en-US" w:eastAsia="zh-CN"/>
                    </w:rPr>
                    <w:t>中三级标准</w:t>
                  </w:r>
                </w:p>
              </w:tc>
              <w:tc>
                <w:tcPr>
                  <w:tcW w:w="942" w:type="dxa"/>
                  <w:tcBorders>
                    <w:top w:val="single" w:color="000000" w:sz="12" w:space="0"/>
                  </w:tcBorders>
                  <w:noWrap w:val="0"/>
                  <w:vAlign w:val="center"/>
                </w:tcPr>
                <w:p w14:paraId="5C4F3C22">
                  <w:pPr>
                    <w:pStyle w:val="85"/>
                    <w:spacing w:line="240" w:lineRule="auto"/>
                    <w:rPr>
                      <w:rFonts w:hint="default" w:ascii="Times New Roman" w:hAnsi="Times New Roman" w:eastAsia="黑体" w:cs="Times New Roman"/>
                      <w:color w:val="000000" w:themeColor="text1"/>
                      <w:lang w:val="en-US" w:eastAsia="zh-CN"/>
                    </w:rPr>
                  </w:pPr>
                  <w:r>
                    <w:rPr>
                      <w:rFonts w:hint="eastAsia" w:ascii="Times New Roman" w:hAnsi="Times New Roman" w:cs="Times New Roman"/>
                      <w:color w:val="000000" w:themeColor="text1"/>
                      <w:lang w:val="en-US" w:eastAsia="zh-CN"/>
                    </w:rPr>
                    <w:t>6~9</w:t>
                  </w:r>
                </w:p>
              </w:tc>
              <w:tc>
                <w:tcPr>
                  <w:tcW w:w="942" w:type="dxa"/>
                  <w:tcBorders>
                    <w:top w:val="single" w:color="000000" w:sz="12" w:space="0"/>
                    <w:right w:val="nil"/>
                  </w:tcBorders>
                  <w:noWrap w:val="0"/>
                  <w:vAlign w:val="center"/>
                </w:tcPr>
                <w:p w14:paraId="2E6AE15B">
                  <w:pPr>
                    <w:pStyle w:val="85"/>
                    <w:spacing w:line="240" w:lineRule="auto"/>
                    <w:rPr>
                      <w:rFonts w:hint="default" w:ascii="Times New Roman" w:hAnsi="Times New Roman" w:eastAsia="黑体" w:cs="Times New Roman"/>
                      <w:color w:val="000000" w:themeColor="text1"/>
                      <w:lang w:val="en-US" w:eastAsia="zh-CN"/>
                    </w:rPr>
                  </w:pPr>
                  <w:r>
                    <w:rPr>
                      <w:rFonts w:hint="eastAsia" w:ascii="Times New Roman" w:hAnsi="Times New Roman" w:cs="Times New Roman"/>
                      <w:color w:val="000000" w:themeColor="text1"/>
                      <w:lang w:val="en-US" w:eastAsia="zh-CN"/>
                    </w:rPr>
                    <w:t>500</w:t>
                  </w:r>
                </w:p>
              </w:tc>
              <w:tc>
                <w:tcPr>
                  <w:tcW w:w="942" w:type="dxa"/>
                  <w:tcBorders>
                    <w:top w:val="single" w:color="000000" w:sz="12" w:space="0"/>
                    <w:right w:val="nil"/>
                  </w:tcBorders>
                  <w:noWrap w:val="0"/>
                  <w:vAlign w:val="center"/>
                </w:tcPr>
                <w:p w14:paraId="6AF6216D">
                  <w:pPr>
                    <w:pStyle w:val="85"/>
                    <w:spacing w:line="240" w:lineRule="auto"/>
                    <w:rPr>
                      <w:rFonts w:hint="default" w:ascii="Times New Roman" w:hAnsi="Times New Roman" w:eastAsia="黑体" w:cs="Times New Roman"/>
                      <w:color w:val="000000" w:themeColor="text1"/>
                      <w:lang w:val="en-US" w:eastAsia="zh-CN"/>
                    </w:rPr>
                  </w:pPr>
                  <w:r>
                    <w:rPr>
                      <w:rFonts w:hint="eastAsia" w:ascii="Times New Roman" w:hAnsi="Times New Roman" w:cs="Times New Roman"/>
                      <w:color w:val="000000" w:themeColor="text1"/>
                      <w:lang w:val="en-US" w:eastAsia="zh-CN"/>
                    </w:rPr>
                    <w:t>300</w:t>
                  </w:r>
                </w:p>
              </w:tc>
              <w:tc>
                <w:tcPr>
                  <w:tcW w:w="942" w:type="dxa"/>
                  <w:tcBorders>
                    <w:top w:val="single" w:color="000000" w:sz="12" w:space="0"/>
                    <w:right w:val="nil"/>
                  </w:tcBorders>
                  <w:noWrap w:val="0"/>
                  <w:vAlign w:val="center"/>
                </w:tcPr>
                <w:p w14:paraId="419E280B">
                  <w:pPr>
                    <w:pStyle w:val="85"/>
                    <w:spacing w:line="240" w:lineRule="auto"/>
                    <w:rPr>
                      <w:rFonts w:hint="default" w:ascii="Times New Roman" w:hAnsi="Times New Roman" w:eastAsia="黑体" w:cs="Times New Roman"/>
                      <w:color w:val="000000" w:themeColor="text1"/>
                      <w:lang w:val="en-US" w:eastAsia="zh-CN"/>
                    </w:rPr>
                  </w:pPr>
                  <w:r>
                    <w:rPr>
                      <w:rFonts w:hint="eastAsia" w:ascii="Times New Roman" w:hAnsi="Times New Roman" w:cs="Times New Roman"/>
                      <w:color w:val="000000" w:themeColor="text1"/>
                      <w:lang w:val="en-US" w:eastAsia="zh-CN"/>
                    </w:rPr>
                    <w:t>400</w:t>
                  </w:r>
                </w:p>
              </w:tc>
              <w:tc>
                <w:tcPr>
                  <w:tcW w:w="944" w:type="dxa"/>
                  <w:tcBorders>
                    <w:top w:val="single" w:color="000000" w:sz="12" w:space="0"/>
                    <w:right w:val="nil"/>
                  </w:tcBorders>
                  <w:noWrap w:val="0"/>
                  <w:vAlign w:val="center"/>
                </w:tcPr>
                <w:p w14:paraId="3AEBEF28">
                  <w:pPr>
                    <w:pStyle w:val="85"/>
                    <w:spacing w:line="240" w:lineRule="auto"/>
                    <w:rPr>
                      <w:rFonts w:hint="eastAsia" w:ascii="Times New Roman" w:hAnsi="Times New Roman" w:eastAsia="黑体" w:cs="Times New Roman"/>
                      <w:color w:val="000000" w:themeColor="text1"/>
                      <w:lang w:val="en-US" w:eastAsia="zh-CN"/>
                    </w:rPr>
                  </w:pPr>
                  <w:r>
                    <w:rPr>
                      <w:rFonts w:hint="eastAsia" w:ascii="Times New Roman" w:hAnsi="Times New Roman" w:cs="Times New Roman"/>
                      <w:color w:val="000000" w:themeColor="text1"/>
                      <w:lang w:val="en-US" w:eastAsia="zh-CN"/>
                    </w:rPr>
                    <w:t>—</w:t>
                  </w:r>
                </w:p>
              </w:tc>
              <w:tc>
                <w:tcPr>
                  <w:tcW w:w="944" w:type="dxa"/>
                  <w:tcBorders>
                    <w:top w:val="single" w:color="000000" w:sz="12" w:space="0"/>
                    <w:right w:val="nil"/>
                  </w:tcBorders>
                  <w:noWrap w:val="0"/>
                  <w:vAlign w:val="center"/>
                </w:tcPr>
                <w:p w14:paraId="45653CD6">
                  <w:pPr>
                    <w:pStyle w:val="85"/>
                    <w:spacing w:line="240" w:lineRule="auto"/>
                    <w:rPr>
                      <w:rFonts w:hint="default" w:ascii="Times New Roman" w:hAnsi="Times New Roman" w:cs="Times New Roman"/>
                      <w:color w:val="000000" w:themeColor="text1"/>
                    </w:rPr>
                  </w:pPr>
                  <w:r>
                    <w:rPr>
                      <w:rFonts w:hint="eastAsia" w:ascii="Times New Roman" w:hAnsi="Times New Roman" w:cs="Times New Roman"/>
                      <w:color w:val="000000" w:themeColor="text1"/>
                      <w:lang w:val="en-US" w:eastAsia="zh-CN"/>
                    </w:rPr>
                    <w:t>—</w:t>
                  </w:r>
                </w:p>
              </w:tc>
              <w:tc>
                <w:tcPr>
                  <w:tcW w:w="945" w:type="dxa"/>
                  <w:tcBorders>
                    <w:top w:val="single" w:color="000000" w:sz="12" w:space="0"/>
                    <w:right w:val="nil"/>
                  </w:tcBorders>
                  <w:noWrap w:val="0"/>
                  <w:vAlign w:val="center"/>
                </w:tcPr>
                <w:p w14:paraId="779F0988">
                  <w:pPr>
                    <w:pStyle w:val="85"/>
                    <w:spacing w:line="240" w:lineRule="auto"/>
                    <w:rPr>
                      <w:rFonts w:hint="default" w:ascii="Times New Roman" w:hAnsi="Times New Roman" w:cs="Times New Roman"/>
                      <w:color w:val="000000" w:themeColor="text1"/>
                    </w:rPr>
                  </w:pPr>
                  <w:r>
                    <w:rPr>
                      <w:rFonts w:hint="eastAsia" w:ascii="Times New Roman" w:hAnsi="Times New Roman" w:cs="Times New Roman"/>
                      <w:color w:val="000000" w:themeColor="text1"/>
                      <w:lang w:val="en-US" w:eastAsia="zh-CN"/>
                    </w:rPr>
                    <w:t>—</w:t>
                  </w:r>
                </w:p>
              </w:tc>
            </w:tr>
            <w:tr w14:paraId="6EBF2FE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25" w:hRule="atLeast"/>
                <w:jc w:val="center"/>
              </w:trPr>
              <w:tc>
                <w:tcPr>
                  <w:tcW w:w="1802" w:type="dxa"/>
                  <w:tcBorders>
                    <w:left w:val="nil"/>
                  </w:tcBorders>
                  <w:noWrap w:val="0"/>
                  <w:vAlign w:val="center"/>
                </w:tcPr>
                <w:p w14:paraId="7EF6954F">
                  <w:pPr>
                    <w:pStyle w:val="85"/>
                    <w:spacing w:line="240" w:lineRule="auto"/>
                    <w:rPr>
                      <w:rFonts w:hint="default" w:ascii="Times New Roman" w:hAnsi="Times New Roman" w:cs="Times New Roman"/>
                      <w:color w:val="000000" w:themeColor="text1"/>
                    </w:rPr>
                  </w:pPr>
                  <w:r>
                    <w:rPr>
                      <w:rFonts w:hint="default" w:ascii="Times New Roman" w:hAnsi="Times New Roman" w:cs="Times New Roman"/>
                      <w:color w:val="000000" w:themeColor="text1"/>
                    </w:rPr>
                    <w:t>接管标准</w:t>
                  </w:r>
                </w:p>
              </w:tc>
              <w:tc>
                <w:tcPr>
                  <w:tcW w:w="942" w:type="dxa"/>
                  <w:noWrap w:val="0"/>
                  <w:vAlign w:val="center"/>
                </w:tcPr>
                <w:p w14:paraId="3E5ED78F">
                  <w:pPr>
                    <w:pStyle w:val="85"/>
                    <w:spacing w:line="240" w:lineRule="auto"/>
                    <w:rPr>
                      <w:rFonts w:hint="default" w:ascii="Times New Roman" w:hAnsi="Times New Roman" w:cs="Times New Roman"/>
                      <w:color w:val="000000" w:themeColor="text1"/>
                    </w:rPr>
                  </w:pPr>
                  <w:r>
                    <w:rPr>
                      <w:rFonts w:hint="default" w:ascii="Times New Roman" w:hAnsi="Times New Roman" w:cs="Times New Roman"/>
                      <w:color w:val="000000" w:themeColor="text1"/>
                    </w:rPr>
                    <w:t>6~9</w:t>
                  </w:r>
                </w:p>
              </w:tc>
              <w:tc>
                <w:tcPr>
                  <w:tcW w:w="942" w:type="dxa"/>
                  <w:tcBorders>
                    <w:right w:val="nil"/>
                  </w:tcBorders>
                  <w:noWrap w:val="0"/>
                  <w:vAlign w:val="center"/>
                </w:tcPr>
                <w:p w14:paraId="7BB791EA">
                  <w:pPr>
                    <w:pStyle w:val="85"/>
                    <w:spacing w:line="240" w:lineRule="auto"/>
                    <w:rPr>
                      <w:rFonts w:hint="default" w:ascii="Times New Roman" w:hAnsi="Times New Roman" w:cs="Times New Roman"/>
                      <w:color w:val="000000" w:themeColor="text1"/>
                    </w:rPr>
                  </w:pPr>
                  <w:r>
                    <w:rPr>
                      <w:rFonts w:hint="default" w:ascii="Times New Roman" w:hAnsi="Times New Roman" w:cs="Times New Roman"/>
                      <w:color w:val="000000" w:themeColor="text1"/>
                    </w:rPr>
                    <w:t>500</w:t>
                  </w:r>
                </w:p>
              </w:tc>
              <w:tc>
                <w:tcPr>
                  <w:tcW w:w="942" w:type="dxa"/>
                  <w:tcBorders>
                    <w:right w:val="nil"/>
                  </w:tcBorders>
                  <w:noWrap w:val="0"/>
                  <w:vAlign w:val="center"/>
                </w:tcPr>
                <w:p w14:paraId="7B4ABE11">
                  <w:pPr>
                    <w:pStyle w:val="85"/>
                    <w:spacing w:line="240" w:lineRule="auto"/>
                    <w:rPr>
                      <w:rFonts w:hint="default" w:ascii="Times New Roman" w:hAnsi="Times New Roman" w:cs="Times New Roman"/>
                      <w:color w:val="000000" w:themeColor="text1"/>
                    </w:rPr>
                  </w:pPr>
                  <w:r>
                    <w:rPr>
                      <w:rFonts w:hint="default" w:ascii="Times New Roman" w:hAnsi="Times New Roman" w:cs="Times New Roman"/>
                      <w:color w:val="000000" w:themeColor="text1"/>
                    </w:rPr>
                    <w:t>200</w:t>
                  </w:r>
                </w:p>
              </w:tc>
              <w:tc>
                <w:tcPr>
                  <w:tcW w:w="942" w:type="dxa"/>
                  <w:tcBorders>
                    <w:right w:val="nil"/>
                  </w:tcBorders>
                  <w:noWrap w:val="0"/>
                  <w:vAlign w:val="center"/>
                </w:tcPr>
                <w:p w14:paraId="707F6786">
                  <w:pPr>
                    <w:pStyle w:val="85"/>
                    <w:spacing w:line="240" w:lineRule="auto"/>
                    <w:rPr>
                      <w:rFonts w:hint="default" w:ascii="Times New Roman" w:hAnsi="Times New Roman" w:cs="Times New Roman"/>
                      <w:color w:val="000000" w:themeColor="text1"/>
                    </w:rPr>
                  </w:pPr>
                  <w:r>
                    <w:rPr>
                      <w:rFonts w:hint="default" w:ascii="Times New Roman" w:hAnsi="Times New Roman" w:cs="Times New Roman"/>
                      <w:color w:val="000000" w:themeColor="text1"/>
                    </w:rPr>
                    <w:t>250</w:t>
                  </w:r>
                </w:p>
              </w:tc>
              <w:tc>
                <w:tcPr>
                  <w:tcW w:w="944" w:type="dxa"/>
                  <w:tcBorders>
                    <w:right w:val="nil"/>
                  </w:tcBorders>
                  <w:noWrap w:val="0"/>
                  <w:vAlign w:val="center"/>
                </w:tcPr>
                <w:p w14:paraId="72776EF6">
                  <w:pPr>
                    <w:pStyle w:val="85"/>
                    <w:spacing w:line="240" w:lineRule="auto"/>
                    <w:rPr>
                      <w:rFonts w:hint="default" w:ascii="Times New Roman" w:hAnsi="Times New Roman" w:eastAsia="宋体" w:cs="Times New Roman"/>
                      <w:color w:val="000000" w:themeColor="text1"/>
                      <w:lang w:val="en-US" w:eastAsia="zh-CN"/>
                    </w:rPr>
                  </w:pPr>
                  <w:r>
                    <w:rPr>
                      <w:rFonts w:hint="eastAsia" w:hAnsi="Times New Roman" w:eastAsia="宋体" w:cs="Times New Roman"/>
                      <w:color w:val="000000" w:themeColor="text1"/>
                      <w:lang w:val="en-US" w:eastAsia="zh-CN"/>
                    </w:rPr>
                    <w:t>30</w:t>
                  </w:r>
                </w:p>
              </w:tc>
              <w:tc>
                <w:tcPr>
                  <w:tcW w:w="944" w:type="dxa"/>
                  <w:tcBorders>
                    <w:right w:val="nil"/>
                  </w:tcBorders>
                  <w:noWrap w:val="0"/>
                  <w:vAlign w:val="center"/>
                </w:tcPr>
                <w:p w14:paraId="19383E81">
                  <w:pPr>
                    <w:pStyle w:val="85"/>
                    <w:spacing w:line="240" w:lineRule="auto"/>
                    <w:rPr>
                      <w:rFonts w:hint="default" w:ascii="Times New Roman" w:hAnsi="Times New Roman" w:cs="Times New Roman"/>
                      <w:color w:val="000000" w:themeColor="text1"/>
                    </w:rPr>
                  </w:pPr>
                  <w:r>
                    <w:rPr>
                      <w:rFonts w:hint="default" w:ascii="Times New Roman" w:hAnsi="Times New Roman" w:cs="Times New Roman"/>
                      <w:color w:val="000000" w:themeColor="text1"/>
                    </w:rPr>
                    <w:t>40</w:t>
                  </w:r>
                </w:p>
              </w:tc>
              <w:tc>
                <w:tcPr>
                  <w:tcW w:w="945" w:type="dxa"/>
                  <w:tcBorders>
                    <w:right w:val="nil"/>
                  </w:tcBorders>
                  <w:noWrap w:val="0"/>
                  <w:vAlign w:val="center"/>
                </w:tcPr>
                <w:p w14:paraId="7B68323C">
                  <w:pPr>
                    <w:pStyle w:val="85"/>
                    <w:spacing w:line="240" w:lineRule="auto"/>
                    <w:rPr>
                      <w:rFonts w:hint="default" w:ascii="Times New Roman" w:hAnsi="Times New Roman" w:cs="Times New Roman"/>
                      <w:color w:val="000000" w:themeColor="text1"/>
                    </w:rPr>
                  </w:pPr>
                  <w:r>
                    <w:rPr>
                      <w:rFonts w:hint="default" w:ascii="Times New Roman" w:hAnsi="Times New Roman" w:cs="Times New Roman"/>
                      <w:color w:val="000000" w:themeColor="text1"/>
                    </w:rPr>
                    <w:t>4</w:t>
                  </w:r>
                </w:p>
              </w:tc>
            </w:tr>
            <w:tr w14:paraId="42D474F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25" w:hRule="atLeast"/>
                <w:jc w:val="center"/>
              </w:trPr>
              <w:tc>
                <w:tcPr>
                  <w:tcW w:w="1802" w:type="dxa"/>
                  <w:tcBorders>
                    <w:left w:val="nil"/>
                  </w:tcBorders>
                  <w:noWrap w:val="0"/>
                  <w:vAlign w:val="center"/>
                </w:tcPr>
                <w:p w14:paraId="2D95219E">
                  <w:pPr>
                    <w:pStyle w:val="85"/>
                    <w:spacing w:line="240" w:lineRule="auto"/>
                    <w:rPr>
                      <w:rFonts w:hint="default" w:ascii="Times New Roman" w:hAnsi="Times New Roman" w:eastAsia="宋体" w:cs="Times New Roman"/>
                      <w:color w:val="000000" w:themeColor="text1"/>
                      <w:lang w:val="en-US" w:eastAsia="zh-CN"/>
                    </w:rPr>
                  </w:pPr>
                  <w:r>
                    <w:rPr>
                      <w:rFonts w:hint="eastAsia" w:cs="Times New Roman"/>
                      <w:color w:val="000000" w:themeColor="text1"/>
                      <w:lang w:val="en-US" w:eastAsia="zh-CN"/>
                    </w:rPr>
                    <w:t>项目排放标准</w:t>
                  </w:r>
                </w:p>
              </w:tc>
              <w:tc>
                <w:tcPr>
                  <w:tcW w:w="942" w:type="dxa"/>
                  <w:noWrap w:val="0"/>
                  <w:vAlign w:val="center"/>
                </w:tcPr>
                <w:p w14:paraId="37B86AE6">
                  <w:pPr>
                    <w:pStyle w:val="85"/>
                    <w:spacing w:line="240" w:lineRule="auto"/>
                    <w:ind w:right="113" w:rightChars="0"/>
                    <w:rPr>
                      <w:rFonts w:hint="default" w:ascii="Times New Roman" w:hAnsi="Times New Roman" w:cs="Times New Roman"/>
                      <w:color w:val="000000" w:themeColor="text1"/>
                    </w:rPr>
                  </w:pPr>
                  <w:r>
                    <w:rPr>
                      <w:rFonts w:hint="default" w:ascii="Times New Roman" w:hAnsi="Times New Roman" w:cs="Times New Roman"/>
                      <w:color w:val="000000" w:themeColor="text1"/>
                    </w:rPr>
                    <w:t>6~9</w:t>
                  </w:r>
                </w:p>
              </w:tc>
              <w:tc>
                <w:tcPr>
                  <w:tcW w:w="942" w:type="dxa"/>
                  <w:tcBorders>
                    <w:right w:val="nil"/>
                  </w:tcBorders>
                  <w:noWrap w:val="0"/>
                  <w:vAlign w:val="center"/>
                </w:tcPr>
                <w:p w14:paraId="3CEB7945">
                  <w:pPr>
                    <w:pStyle w:val="85"/>
                    <w:spacing w:line="240" w:lineRule="auto"/>
                    <w:ind w:right="113" w:rightChars="0"/>
                    <w:rPr>
                      <w:rFonts w:hint="default" w:ascii="Times New Roman" w:hAnsi="Times New Roman" w:cs="Times New Roman"/>
                      <w:color w:val="000000" w:themeColor="text1"/>
                    </w:rPr>
                  </w:pPr>
                  <w:r>
                    <w:rPr>
                      <w:rFonts w:hint="default" w:ascii="Times New Roman" w:hAnsi="Times New Roman" w:cs="Times New Roman"/>
                      <w:color w:val="000000" w:themeColor="text1"/>
                    </w:rPr>
                    <w:t>500</w:t>
                  </w:r>
                </w:p>
              </w:tc>
              <w:tc>
                <w:tcPr>
                  <w:tcW w:w="942" w:type="dxa"/>
                  <w:tcBorders>
                    <w:right w:val="nil"/>
                  </w:tcBorders>
                  <w:noWrap w:val="0"/>
                  <w:vAlign w:val="center"/>
                </w:tcPr>
                <w:p w14:paraId="18241140">
                  <w:pPr>
                    <w:pStyle w:val="85"/>
                    <w:spacing w:line="240" w:lineRule="auto"/>
                    <w:ind w:right="113" w:rightChars="0"/>
                    <w:rPr>
                      <w:rFonts w:hint="default" w:ascii="Times New Roman" w:hAnsi="Times New Roman" w:cs="Times New Roman"/>
                      <w:color w:val="000000" w:themeColor="text1"/>
                    </w:rPr>
                  </w:pPr>
                  <w:r>
                    <w:rPr>
                      <w:rFonts w:hint="default" w:ascii="Times New Roman" w:hAnsi="Times New Roman" w:cs="Times New Roman"/>
                      <w:color w:val="000000" w:themeColor="text1"/>
                    </w:rPr>
                    <w:t>200</w:t>
                  </w:r>
                </w:p>
              </w:tc>
              <w:tc>
                <w:tcPr>
                  <w:tcW w:w="942" w:type="dxa"/>
                  <w:tcBorders>
                    <w:right w:val="nil"/>
                  </w:tcBorders>
                  <w:noWrap w:val="0"/>
                  <w:vAlign w:val="center"/>
                </w:tcPr>
                <w:p w14:paraId="32FC2648">
                  <w:pPr>
                    <w:pStyle w:val="85"/>
                    <w:spacing w:line="240" w:lineRule="auto"/>
                    <w:ind w:right="113" w:rightChars="0"/>
                    <w:rPr>
                      <w:rFonts w:hint="default" w:ascii="Times New Roman" w:hAnsi="Times New Roman" w:cs="Times New Roman"/>
                      <w:color w:val="000000" w:themeColor="text1"/>
                    </w:rPr>
                  </w:pPr>
                  <w:r>
                    <w:rPr>
                      <w:rFonts w:hint="default" w:ascii="Times New Roman" w:hAnsi="Times New Roman" w:cs="Times New Roman"/>
                      <w:color w:val="000000" w:themeColor="text1"/>
                    </w:rPr>
                    <w:t>250</w:t>
                  </w:r>
                </w:p>
              </w:tc>
              <w:tc>
                <w:tcPr>
                  <w:tcW w:w="944" w:type="dxa"/>
                  <w:tcBorders>
                    <w:right w:val="nil"/>
                  </w:tcBorders>
                  <w:noWrap w:val="0"/>
                  <w:vAlign w:val="center"/>
                </w:tcPr>
                <w:p w14:paraId="58ADBC20">
                  <w:pPr>
                    <w:pStyle w:val="85"/>
                    <w:spacing w:line="240" w:lineRule="auto"/>
                    <w:ind w:right="113" w:rightChars="0"/>
                    <w:rPr>
                      <w:rFonts w:hint="eastAsia" w:hAnsi="Times New Roman" w:eastAsia="宋体" w:cs="Times New Roman"/>
                      <w:color w:val="000000" w:themeColor="text1"/>
                      <w:lang w:val="en-US" w:eastAsia="zh-CN"/>
                    </w:rPr>
                  </w:pPr>
                  <w:r>
                    <w:rPr>
                      <w:rFonts w:hint="eastAsia" w:hAnsi="Times New Roman" w:eastAsia="宋体" w:cs="Times New Roman"/>
                      <w:color w:val="000000" w:themeColor="text1"/>
                      <w:lang w:val="en-US" w:eastAsia="zh-CN"/>
                    </w:rPr>
                    <w:t>30</w:t>
                  </w:r>
                </w:p>
              </w:tc>
              <w:tc>
                <w:tcPr>
                  <w:tcW w:w="944" w:type="dxa"/>
                  <w:tcBorders>
                    <w:right w:val="nil"/>
                  </w:tcBorders>
                  <w:noWrap w:val="0"/>
                  <w:vAlign w:val="center"/>
                </w:tcPr>
                <w:p w14:paraId="4647612C">
                  <w:pPr>
                    <w:pStyle w:val="85"/>
                    <w:spacing w:line="240" w:lineRule="auto"/>
                    <w:ind w:right="113" w:rightChars="0"/>
                    <w:rPr>
                      <w:rFonts w:hint="default" w:ascii="Times New Roman" w:hAnsi="Times New Roman" w:cs="Times New Roman"/>
                      <w:color w:val="000000" w:themeColor="text1"/>
                    </w:rPr>
                  </w:pPr>
                  <w:r>
                    <w:rPr>
                      <w:rFonts w:hint="default" w:ascii="Times New Roman" w:hAnsi="Times New Roman" w:cs="Times New Roman"/>
                      <w:color w:val="000000" w:themeColor="text1"/>
                    </w:rPr>
                    <w:t>40</w:t>
                  </w:r>
                </w:p>
              </w:tc>
              <w:tc>
                <w:tcPr>
                  <w:tcW w:w="945" w:type="dxa"/>
                  <w:tcBorders>
                    <w:right w:val="nil"/>
                  </w:tcBorders>
                  <w:noWrap w:val="0"/>
                  <w:vAlign w:val="center"/>
                </w:tcPr>
                <w:p w14:paraId="6ED5C870">
                  <w:pPr>
                    <w:pStyle w:val="85"/>
                    <w:spacing w:line="240" w:lineRule="auto"/>
                    <w:ind w:right="113" w:rightChars="0"/>
                    <w:rPr>
                      <w:rFonts w:hint="default" w:ascii="Times New Roman" w:hAnsi="Times New Roman" w:cs="Times New Roman"/>
                      <w:color w:val="000000" w:themeColor="text1"/>
                    </w:rPr>
                  </w:pPr>
                  <w:r>
                    <w:rPr>
                      <w:rFonts w:hint="default" w:ascii="Times New Roman" w:hAnsi="Times New Roman" w:cs="Times New Roman"/>
                      <w:color w:val="000000" w:themeColor="text1"/>
                    </w:rPr>
                    <w:t>4</w:t>
                  </w:r>
                </w:p>
              </w:tc>
            </w:tr>
            <w:tr w14:paraId="12717F0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25" w:hRule="atLeast"/>
                <w:jc w:val="center"/>
              </w:trPr>
              <w:tc>
                <w:tcPr>
                  <w:tcW w:w="1802" w:type="dxa"/>
                  <w:tcBorders>
                    <w:left w:val="nil"/>
                    <w:bottom w:val="single" w:color="000000" w:sz="12" w:space="0"/>
                  </w:tcBorders>
                  <w:noWrap w:val="0"/>
                  <w:vAlign w:val="center"/>
                </w:tcPr>
                <w:p w14:paraId="2BDE793E">
                  <w:pPr>
                    <w:pStyle w:val="85"/>
                    <w:spacing w:line="240" w:lineRule="auto"/>
                    <w:rPr>
                      <w:rFonts w:hint="default" w:ascii="Times New Roman" w:hAnsi="Times New Roman" w:cs="Times New Roman"/>
                      <w:color w:val="000000" w:themeColor="text1"/>
                    </w:rPr>
                  </w:pPr>
                  <w:r>
                    <w:rPr>
                      <w:rFonts w:hint="default" w:ascii="Times New Roman" w:hAnsi="Times New Roman" w:cs="Times New Roman"/>
                      <w:color w:val="000000" w:themeColor="text1"/>
                    </w:rPr>
                    <w:t>污水处理厂尾水排放标准</w:t>
                  </w:r>
                </w:p>
              </w:tc>
              <w:tc>
                <w:tcPr>
                  <w:tcW w:w="942" w:type="dxa"/>
                  <w:tcBorders>
                    <w:bottom w:val="single" w:color="000000" w:sz="12" w:space="0"/>
                  </w:tcBorders>
                  <w:noWrap w:val="0"/>
                  <w:vAlign w:val="center"/>
                </w:tcPr>
                <w:p w14:paraId="0E6C3105">
                  <w:pPr>
                    <w:pStyle w:val="85"/>
                    <w:spacing w:line="240" w:lineRule="auto"/>
                    <w:rPr>
                      <w:rFonts w:hint="default" w:ascii="Times New Roman" w:hAnsi="Times New Roman" w:cs="Times New Roman"/>
                      <w:color w:val="000000" w:themeColor="text1"/>
                    </w:rPr>
                  </w:pPr>
                  <w:r>
                    <w:rPr>
                      <w:rFonts w:hint="default" w:ascii="Times New Roman" w:hAnsi="Times New Roman" w:cs="Times New Roman"/>
                      <w:color w:val="000000" w:themeColor="text1"/>
                    </w:rPr>
                    <w:t>6~9</w:t>
                  </w:r>
                </w:p>
              </w:tc>
              <w:tc>
                <w:tcPr>
                  <w:tcW w:w="942" w:type="dxa"/>
                  <w:tcBorders>
                    <w:bottom w:val="single" w:color="000000" w:sz="12" w:space="0"/>
                    <w:right w:val="nil"/>
                  </w:tcBorders>
                  <w:noWrap w:val="0"/>
                  <w:vAlign w:val="center"/>
                </w:tcPr>
                <w:p w14:paraId="44971683">
                  <w:pPr>
                    <w:pStyle w:val="85"/>
                    <w:spacing w:line="240" w:lineRule="auto"/>
                    <w:rPr>
                      <w:rFonts w:hint="default" w:ascii="Times New Roman" w:hAnsi="Times New Roman" w:cs="Times New Roman"/>
                      <w:color w:val="000000" w:themeColor="text1"/>
                    </w:rPr>
                  </w:pPr>
                  <w:r>
                    <w:rPr>
                      <w:rFonts w:hint="default" w:ascii="Times New Roman" w:hAnsi="Times New Roman" w:cs="Times New Roman"/>
                      <w:color w:val="000000" w:themeColor="text1"/>
                    </w:rPr>
                    <w:t>50</w:t>
                  </w:r>
                </w:p>
              </w:tc>
              <w:tc>
                <w:tcPr>
                  <w:tcW w:w="942" w:type="dxa"/>
                  <w:tcBorders>
                    <w:bottom w:val="single" w:color="000000" w:sz="12" w:space="0"/>
                    <w:right w:val="nil"/>
                  </w:tcBorders>
                  <w:noWrap w:val="0"/>
                  <w:vAlign w:val="center"/>
                </w:tcPr>
                <w:p w14:paraId="134471C5">
                  <w:pPr>
                    <w:pStyle w:val="85"/>
                    <w:spacing w:line="240" w:lineRule="auto"/>
                    <w:rPr>
                      <w:rFonts w:hint="default" w:ascii="Times New Roman" w:hAnsi="Times New Roman" w:cs="Times New Roman"/>
                      <w:color w:val="000000" w:themeColor="text1"/>
                    </w:rPr>
                  </w:pPr>
                  <w:r>
                    <w:rPr>
                      <w:rFonts w:hint="default" w:ascii="Times New Roman" w:hAnsi="Times New Roman" w:cs="Times New Roman"/>
                      <w:color w:val="000000" w:themeColor="text1"/>
                    </w:rPr>
                    <w:t>10</w:t>
                  </w:r>
                </w:p>
              </w:tc>
              <w:tc>
                <w:tcPr>
                  <w:tcW w:w="942" w:type="dxa"/>
                  <w:tcBorders>
                    <w:bottom w:val="single" w:color="000000" w:sz="12" w:space="0"/>
                    <w:right w:val="nil"/>
                  </w:tcBorders>
                  <w:noWrap w:val="0"/>
                  <w:vAlign w:val="center"/>
                </w:tcPr>
                <w:p w14:paraId="2B7A5831">
                  <w:pPr>
                    <w:pStyle w:val="85"/>
                    <w:spacing w:line="240" w:lineRule="auto"/>
                    <w:rPr>
                      <w:rFonts w:hint="default" w:ascii="Times New Roman" w:hAnsi="Times New Roman" w:cs="Times New Roman"/>
                      <w:color w:val="000000" w:themeColor="text1"/>
                    </w:rPr>
                  </w:pPr>
                  <w:r>
                    <w:rPr>
                      <w:rFonts w:hint="default" w:ascii="Times New Roman" w:hAnsi="Times New Roman" w:cs="Times New Roman"/>
                      <w:color w:val="000000" w:themeColor="text1"/>
                    </w:rPr>
                    <w:t>10</w:t>
                  </w:r>
                </w:p>
              </w:tc>
              <w:tc>
                <w:tcPr>
                  <w:tcW w:w="944" w:type="dxa"/>
                  <w:tcBorders>
                    <w:bottom w:val="single" w:color="000000" w:sz="12" w:space="0"/>
                    <w:right w:val="nil"/>
                  </w:tcBorders>
                  <w:noWrap w:val="0"/>
                  <w:vAlign w:val="center"/>
                </w:tcPr>
                <w:p w14:paraId="4C872C51">
                  <w:pPr>
                    <w:pStyle w:val="85"/>
                    <w:spacing w:line="240" w:lineRule="auto"/>
                    <w:rPr>
                      <w:rFonts w:hint="default" w:ascii="Times New Roman" w:hAnsi="Times New Roman" w:cs="Times New Roman"/>
                      <w:color w:val="000000" w:themeColor="text1"/>
                    </w:rPr>
                  </w:pPr>
                  <w:r>
                    <w:rPr>
                      <w:rFonts w:hint="default" w:ascii="Times New Roman" w:hAnsi="Times New Roman" w:cs="Times New Roman"/>
                      <w:color w:val="000000" w:themeColor="text1"/>
                    </w:rPr>
                    <w:t>5</w:t>
                  </w:r>
                </w:p>
              </w:tc>
              <w:tc>
                <w:tcPr>
                  <w:tcW w:w="944" w:type="dxa"/>
                  <w:tcBorders>
                    <w:bottom w:val="single" w:color="000000" w:sz="12" w:space="0"/>
                    <w:right w:val="nil"/>
                  </w:tcBorders>
                  <w:noWrap w:val="0"/>
                  <w:vAlign w:val="center"/>
                </w:tcPr>
                <w:p w14:paraId="7BF15936">
                  <w:pPr>
                    <w:pStyle w:val="85"/>
                    <w:spacing w:line="240" w:lineRule="auto"/>
                    <w:rPr>
                      <w:rFonts w:hint="default" w:ascii="Times New Roman" w:hAnsi="Times New Roman" w:cs="Times New Roman"/>
                      <w:color w:val="000000" w:themeColor="text1"/>
                    </w:rPr>
                  </w:pPr>
                  <w:r>
                    <w:rPr>
                      <w:rFonts w:hint="default" w:ascii="Times New Roman" w:hAnsi="Times New Roman" w:cs="Times New Roman"/>
                      <w:color w:val="000000" w:themeColor="text1"/>
                    </w:rPr>
                    <w:t>15</w:t>
                  </w:r>
                </w:p>
              </w:tc>
              <w:tc>
                <w:tcPr>
                  <w:tcW w:w="945" w:type="dxa"/>
                  <w:tcBorders>
                    <w:bottom w:val="single" w:color="000000" w:sz="12" w:space="0"/>
                    <w:right w:val="nil"/>
                  </w:tcBorders>
                  <w:noWrap w:val="0"/>
                  <w:vAlign w:val="center"/>
                </w:tcPr>
                <w:p w14:paraId="474A473F">
                  <w:pPr>
                    <w:pStyle w:val="85"/>
                    <w:spacing w:line="240" w:lineRule="auto"/>
                    <w:rPr>
                      <w:rFonts w:hint="default" w:ascii="Times New Roman" w:hAnsi="Times New Roman" w:cs="Times New Roman"/>
                      <w:color w:val="000000" w:themeColor="text1"/>
                    </w:rPr>
                  </w:pPr>
                  <w:r>
                    <w:rPr>
                      <w:rFonts w:hint="default" w:ascii="Times New Roman" w:hAnsi="Times New Roman" w:cs="Times New Roman"/>
                      <w:color w:val="000000" w:themeColor="text1"/>
                    </w:rPr>
                    <w:t>0.5</w:t>
                  </w:r>
                </w:p>
              </w:tc>
            </w:tr>
          </w:tbl>
          <w:p w14:paraId="3CEF30B0">
            <w:pPr>
              <w:pStyle w:val="3"/>
              <w:spacing w:before="163" w:after="163"/>
              <w:jc w:val="both"/>
              <w:rPr>
                <w:rFonts w:hint="default" w:ascii="Times New Roman" w:hAnsi="Times New Roman" w:cs="Times New Roman"/>
                <w:b/>
                <w:bCs/>
                <w:color w:val="000000" w:themeColor="text1"/>
                <w:sz w:val="28"/>
                <w:szCs w:val="28"/>
              </w:rPr>
            </w:pPr>
            <w:r>
              <w:rPr>
                <w:rFonts w:hint="default" w:ascii="Times New Roman" w:hAnsi="Times New Roman" w:cs="Times New Roman"/>
                <w:b/>
                <w:bCs/>
                <w:color w:val="000000" w:themeColor="text1"/>
                <w:sz w:val="28"/>
                <w:szCs w:val="28"/>
              </w:rPr>
              <w:t>3、噪声排放标准</w:t>
            </w:r>
          </w:p>
          <w:p w14:paraId="3ABD88FA">
            <w:pPr>
              <w:adjustRightInd w:val="0"/>
              <w:spacing w:line="360" w:lineRule="auto"/>
              <w:ind w:firstLine="480" w:firstLineChars="200"/>
              <w:textAlignment w:val="baseline"/>
              <w:rPr>
                <w:rFonts w:hint="default" w:ascii="Times New Roman" w:hAnsi="Times New Roman" w:cs="Times New Roman"/>
                <w:color w:val="000000" w:themeColor="text1"/>
                <w:sz w:val="24"/>
              </w:rPr>
            </w:pPr>
            <w:r>
              <w:rPr>
                <w:rFonts w:hint="default" w:ascii="Times New Roman" w:hAnsi="Times New Roman" w:cs="Times New Roman"/>
                <w:color w:val="000000" w:themeColor="text1"/>
                <w:sz w:val="24"/>
              </w:rPr>
              <w:t>营运期执行《工业企业厂界环境噪声排放标准》（GB12348-2008）3类标准，具体标准限值见下表。</w:t>
            </w:r>
          </w:p>
          <w:p w14:paraId="43F4EC27">
            <w:pPr>
              <w:adjustRightInd w:val="0"/>
              <w:snapToGrid w:val="0"/>
              <w:jc w:val="center"/>
              <w:rPr>
                <w:rFonts w:hint="default" w:ascii="Times New Roman" w:hAnsi="Times New Roman" w:cs="Times New Roman"/>
                <w:b/>
                <w:bCs/>
                <w:color w:val="000000" w:themeColor="text1"/>
                <w:sz w:val="24"/>
              </w:rPr>
            </w:pPr>
            <w:r>
              <w:rPr>
                <w:rFonts w:hint="default" w:ascii="Times New Roman" w:hAnsi="Times New Roman" w:cs="Times New Roman"/>
                <w:b/>
                <w:bCs/>
                <w:color w:val="000000" w:themeColor="text1"/>
                <w:sz w:val="24"/>
              </w:rPr>
              <w:t>表3-</w:t>
            </w:r>
            <w:r>
              <w:rPr>
                <w:rFonts w:hint="eastAsia" w:cs="Times New Roman"/>
                <w:b/>
                <w:bCs/>
                <w:color w:val="000000" w:themeColor="text1"/>
                <w:sz w:val="24"/>
                <w:lang w:val="en-US" w:eastAsia="zh-CN"/>
              </w:rPr>
              <w:t>10</w:t>
            </w:r>
            <w:r>
              <w:rPr>
                <w:rFonts w:hint="default" w:ascii="Times New Roman" w:hAnsi="Times New Roman" w:cs="Times New Roman"/>
                <w:b/>
                <w:bCs/>
                <w:color w:val="000000" w:themeColor="text1"/>
                <w:sz w:val="24"/>
              </w:rPr>
              <w:t xml:space="preserve">  项目运营期噪声排放执行标准</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760"/>
              <w:gridCol w:w="1756"/>
              <w:gridCol w:w="2446"/>
              <w:gridCol w:w="2446"/>
            </w:tblGrid>
            <w:tr w14:paraId="6C0B5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516" w:type="dxa"/>
                  <w:gridSpan w:val="2"/>
                  <w:noWrap w:val="0"/>
                  <w:vAlign w:val="center"/>
                </w:tcPr>
                <w:p w14:paraId="62E7876C">
                  <w:pPr>
                    <w:pStyle w:val="96"/>
                    <w:spacing w:line="240" w:lineRule="auto"/>
                    <w:ind w:firstLine="0" w:firstLineChars="0"/>
                    <w:rPr>
                      <w:rFonts w:hint="default" w:ascii="Times New Roman" w:hAnsi="Times New Roman" w:eastAsia="宋体" w:cs="Times New Roman"/>
                      <w:b/>
                      <w:bCs/>
                      <w:color w:val="000000" w:themeColor="text1"/>
                      <w:sz w:val="21"/>
                      <w:szCs w:val="21"/>
                    </w:rPr>
                  </w:pPr>
                  <w:r>
                    <w:rPr>
                      <w:rFonts w:hint="default" w:ascii="Times New Roman" w:hAnsi="Times New Roman" w:eastAsia="宋体" w:cs="Times New Roman"/>
                      <w:b/>
                      <w:bCs/>
                      <w:color w:val="000000" w:themeColor="text1"/>
                      <w:sz w:val="21"/>
                      <w:szCs w:val="21"/>
                    </w:rPr>
                    <w:t>类别</w:t>
                  </w:r>
                </w:p>
              </w:tc>
              <w:tc>
                <w:tcPr>
                  <w:tcW w:w="2446" w:type="dxa"/>
                  <w:noWrap w:val="0"/>
                  <w:vAlign w:val="center"/>
                </w:tcPr>
                <w:p w14:paraId="6111CE90">
                  <w:pPr>
                    <w:pStyle w:val="96"/>
                    <w:spacing w:line="240" w:lineRule="auto"/>
                    <w:ind w:firstLine="0" w:firstLineChars="0"/>
                    <w:rPr>
                      <w:rFonts w:hint="default" w:ascii="Times New Roman" w:hAnsi="Times New Roman" w:eastAsia="宋体" w:cs="Times New Roman"/>
                      <w:b/>
                      <w:bCs/>
                      <w:color w:val="000000" w:themeColor="text1"/>
                      <w:sz w:val="21"/>
                      <w:szCs w:val="21"/>
                    </w:rPr>
                  </w:pPr>
                  <w:r>
                    <w:rPr>
                      <w:rFonts w:hint="default" w:ascii="Times New Roman" w:hAnsi="Times New Roman" w:eastAsia="宋体" w:cs="Times New Roman"/>
                      <w:b/>
                      <w:bCs/>
                      <w:color w:val="000000" w:themeColor="text1"/>
                      <w:sz w:val="21"/>
                      <w:szCs w:val="21"/>
                    </w:rPr>
                    <w:t>昼间dB（A）</w:t>
                  </w:r>
                </w:p>
              </w:tc>
              <w:tc>
                <w:tcPr>
                  <w:tcW w:w="2446" w:type="dxa"/>
                  <w:noWrap w:val="0"/>
                  <w:vAlign w:val="center"/>
                </w:tcPr>
                <w:p w14:paraId="6995E795">
                  <w:pPr>
                    <w:pStyle w:val="96"/>
                    <w:spacing w:line="240" w:lineRule="auto"/>
                    <w:ind w:firstLine="0" w:firstLineChars="0"/>
                    <w:rPr>
                      <w:rFonts w:hint="default" w:ascii="Times New Roman" w:hAnsi="Times New Roman" w:eastAsia="宋体" w:cs="Times New Roman"/>
                      <w:b/>
                      <w:bCs/>
                      <w:color w:val="000000" w:themeColor="text1"/>
                      <w:sz w:val="21"/>
                      <w:szCs w:val="21"/>
                    </w:rPr>
                  </w:pPr>
                  <w:r>
                    <w:rPr>
                      <w:rFonts w:hint="default" w:ascii="Times New Roman" w:hAnsi="Times New Roman" w:eastAsia="宋体" w:cs="Times New Roman"/>
                      <w:b/>
                      <w:bCs/>
                      <w:color w:val="000000" w:themeColor="text1"/>
                      <w:sz w:val="21"/>
                      <w:szCs w:val="21"/>
                    </w:rPr>
                    <w:t>夜间dB（A）</w:t>
                  </w:r>
                </w:p>
              </w:tc>
            </w:tr>
            <w:tr w14:paraId="35AAC2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516" w:type="dxa"/>
                  <w:gridSpan w:val="2"/>
                  <w:noWrap w:val="0"/>
                  <w:vAlign w:val="center"/>
                </w:tcPr>
                <w:p w14:paraId="3E7F175D">
                  <w:pPr>
                    <w:pStyle w:val="96"/>
                    <w:spacing w:line="240" w:lineRule="auto"/>
                    <w:ind w:firstLine="0" w:firstLineChars="0"/>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3类标准</w:t>
                  </w:r>
                </w:p>
              </w:tc>
              <w:tc>
                <w:tcPr>
                  <w:tcW w:w="2446" w:type="dxa"/>
                  <w:noWrap w:val="0"/>
                  <w:vAlign w:val="center"/>
                </w:tcPr>
                <w:p w14:paraId="025B6AC2">
                  <w:pPr>
                    <w:pStyle w:val="96"/>
                    <w:spacing w:line="240" w:lineRule="auto"/>
                    <w:ind w:firstLine="0" w:firstLineChars="0"/>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65</w:t>
                  </w:r>
                </w:p>
              </w:tc>
              <w:tc>
                <w:tcPr>
                  <w:tcW w:w="2446" w:type="dxa"/>
                  <w:noWrap w:val="0"/>
                  <w:vAlign w:val="center"/>
                </w:tcPr>
                <w:p w14:paraId="54B985A7">
                  <w:pPr>
                    <w:pStyle w:val="96"/>
                    <w:spacing w:line="240" w:lineRule="auto"/>
                    <w:ind w:firstLine="0" w:firstLineChars="0"/>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55</w:t>
                  </w:r>
                </w:p>
              </w:tc>
            </w:tr>
            <w:tr w14:paraId="5B7F2B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1760" w:type="dxa"/>
                  <w:noWrap w:val="0"/>
                  <w:vAlign w:val="center"/>
                </w:tcPr>
                <w:p w14:paraId="52A1BFEB">
                  <w:pPr>
                    <w:pStyle w:val="96"/>
                    <w:spacing w:line="240" w:lineRule="auto"/>
                    <w:ind w:firstLine="0" w:firstLineChars="0"/>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标准来源</w:t>
                  </w:r>
                </w:p>
              </w:tc>
              <w:tc>
                <w:tcPr>
                  <w:tcW w:w="6648" w:type="dxa"/>
                  <w:gridSpan w:val="3"/>
                  <w:noWrap w:val="0"/>
                  <w:vAlign w:val="center"/>
                </w:tcPr>
                <w:p w14:paraId="4C04C5A2">
                  <w:pPr>
                    <w:pStyle w:val="96"/>
                    <w:spacing w:line="240" w:lineRule="auto"/>
                    <w:ind w:firstLine="0" w:firstLineChars="0"/>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《工业企业厂界环境噪声排放标准》（GB12348-2008）</w:t>
                  </w:r>
                </w:p>
              </w:tc>
            </w:tr>
          </w:tbl>
          <w:p w14:paraId="5FC111A1">
            <w:pPr>
              <w:pStyle w:val="3"/>
              <w:spacing w:before="163" w:after="163"/>
              <w:jc w:val="both"/>
              <w:rPr>
                <w:rFonts w:hint="default" w:ascii="Times New Roman" w:hAnsi="Times New Roman" w:cs="Times New Roman"/>
                <w:b/>
                <w:bCs/>
                <w:color w:val="000000" w:themeColor="text1"/>
                <w:sz w:val="28"/>
                <w:szCs w:val="28"/>
              </w:rPr>
            </w:pPr>
            <w:r>
              <w:rPr>
                <w:rFonts w:hint="default" w:ascii="Times New Roman" w:hAnsi="Times New Roman" w:cs="Times New Roman"/>
                <w:b/>
                <w:bCs/>
                <w:color w:val="000000" w:themeColor="text1"/>
                <w:sz w:val="28"/>
                <w:szCs w:val="28"/>
              </w:rPr>
              <w:t>4、固体废物控制标准</w:t>
            </w:r>
          </w:p>
          <w:p w14:paraId="5A4984CD">
            <w:pPr>
              <w:adjustRightInd w:val="0"/>
              <w:spacing w:line="360" w:lineRule="auto"/>
              <w:ind w:firstLine="480" w:firstLineChars="200"/>
              <w:rPr>
                <w:rFonts w:hint="default" w:ascii="Times New Roman" w:hAnsi="Times New Roman" w:cs="Times New Roman"/>
                <w:color w:val="000000" w:themeColor="text1"/>
                <w:kern w:val="0"/>
                <w:szCs w:val="21"/>
              </w:rPr>
            </w:pPr>
            <w:r>
              <w:rPr>
                <w:rFonts w:hint="default" w:ascii="Times New Roman" w:hAnsi="Times New Roman" w:cs="Times New Roman"/>
                <w:color w:val="000000" w:themeColor="text1"/>
                <w:sz w:val="24"/>
              </w:rPr>
              <w:t>工业固体废物的贮存、处置执行《中华人民共和国固体废物污染环境防治法》</w:t>
            </w:r>
            <w:r>
              <w:rPr>
                <w:rFonts w:hint="eastAsia" w:ascii="Times New Roman" w:hAnsi="Times New Roman" w:cs="Times New Roman"/>
                <w:color w:val="000000" w:themeColor="text1"/>
                <w:sz w:val="24"/>
                <w:lang w:eastAsia="zh-CN"/>
              </w:rPr>
              <w:t>、</w:t>
            </w:r>
            <w:r>
              <w:rPr>
                <w:rFonts w:hint="default" w:ascii="Times New Roman" w:hAnsi="Times New Roman" w:cs="Times New Roman"/>
                <w:color w:val="000000" w:themeColor="text1"/>
                <w:sz w:val="24"/>
              </w:rPr>
              <w:t>并参照执行《一般工业固体废物贮存和填埋污染控制标准》（GB18599-2020）。危险废物贮存库建设执行《危险废物贮存污染控制标准》（GB 18597</w:t>
            </w:r>
            <w:r>
              <w:rPr>
                <w:rFonts w:hint="eastAsia" w:ascii="Times New Roman" w:hAnsi="Times New Roman" w:cs="Times New Roman"/>
                <w:color w:val="000000" w:themeColor="text1"/>
                <w:sz w:val="24"/>
                <w:lang w:val="en-US" w:eastAsia="zh-CN"/>
              </w:rPr>
              <w:t>-</w:t>
            </w:r>
            <w:r>
              <w:rPr>
                <w:rFonts w:hint="default" w:ascii="Times New Roman" w:hAnsi="Times New Roman" w:cs="Times New Roman"/>
                <w:color w:val="000000" w:themeColor="text1"/>
                <w:sz w:val="24"/>
              </w:rPr>
              <w:t>2023）中相关标准。</w:t>
            </w:r>
          </w:p>
        </w:tc>
      </w:tr>
      <w:tr w14:paraId="297E7B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0" w:hRule="atLeast"/>
          <w:jc w:val="center"/>
        </w:trPr>
        <w:tc>
          <w:tcPr>
            <w:tcW w:w="424" w:type="dxa"/>
            <w:noWrap w:val="0"/>
            <w:vAlign w:val="center"/>
          </w:tcPr>
          <w:p w14:paraId="2CA38FB0">
            <w:pPr>
              <w:adjustRightInd w:val="0"/>
              <w:snapToGrid w:val="0"/>
              <w:jc w:val="center"/>
              <w:rPr>
                <w:rFonts w:hint="default" w:ascii="Times New Roman" w:hAnsi="Times New Roman" w:cs="Times New Roman"/>
                <w:color w:val="000000" w:themeColor="text1"/>
                <w:kern w:val="0"/>
                <w:szCs w:val="21"/>
              </w:rPr>
            </w:pPr>
            <w:r>
              <w:rPr>
                <w:rFonts w:hint="default" w:ascii="Times New Roman" w:hAnsi="Times New Roman" w:cs="Times New Roman"/>
                <w:color w:val="000000" w:themeColor="text1"/>
                <w:kern w:val="0"/>
                <w:szCs w:val="21"/>
              </w:rPr>
              <w:t>总量</w:t>
            </w:r>
          </w:p>
          <w:p w14:paraId="73B044F2">
            <w:pPr>
              <w:adjustRightInd w:val="0"/>
              <w:snapToGrid w:val="0"/>
              <w:jc w:val="center"/>
              <w:rPr>
                <w:rFonts w:hint="default" w:ascii="Times New Roman" w:hAnsi="Times New Roman" w:cs="Times New Roman"/>
                <w:color w:val="000000" w:themeColor="text1"/>
                <w:kern w:val="0"/>
                <w:szCs w:val="21"/>
              </w:rPr>
            </w:pPr>
            <w:r>
              <w:rPr>
                <w:rFonts w:hint="default" w:ascii="Times New Roman" w:hAnsi="Times New Roman" w:cs="Times New Roman"/>
                <w:color w:val="000000" w:themeColor="text1"/>
                <w:kern w:val="0"/>
                <w:szCs w:val="21"/>
              </w:rPr>
              <w:t>控制</w:t>
            </w:r>
          </w:p>
          <w:p w14:paraId="1242ACB4">
            <w:pPr>
              <w:adjustRightInd w:val="0"/>
              <w:snapToGrid w:val="0"/>
              <w:jc w:val="center"/>
              <w:rPr>
                <w:rFonts w:hint="default" w:ascii="Times New Roman" w:hAnsi="Times New Roman" w:cs="Times New Roman"/>
                <w:color w:val="000000" w:themeColor="text1"/>
                <w:kern w:val="0"/>
                <w:szCs w:val="21"/>
              </w:rPr>
            </w:pPr>
            <w:r>
              <w:rPr>
                <w:rFonts w:hint="default" w:ascii="Times New Roman" w:hAnsi="Times New Roman" w:cs="Times New Roman"/>
                <w:color w:val="000000" w:themeColor="text1"/>
                <w:kern w:val="0"/>
                <w:szCs w:val="21"/>
              </w:rPr>
              <w:t>指标</w:t>
            </w:r>
          </w:p>
        </w:tc>
        <w:tc>
          <w:tcPr>
            <w:tcW w:w="8637" w:type="dxa"/>
            <w:noWrap w:val="0"/>
            <w:vAlign w:val="center"/>
          </w:tcPr>
          <w:p w14:paraId="1FCF59DE">
            <w:pPr>
              <w:spacing w:line="360" w:lineRule="auto"/>
              <w:ind w:firstLine="480" w:firstLineChars="200"/>
              <w:rPr>
                <w:rFonts w:hint="default" w:ascii="Times New Roman" w:hAnsi="Times New Roman" w:eastAsia="宋体" w:cs="Times New Roman"/>
                <w:color w:val="000000" w:themeColor="text1"/>
                <w:kern w:val="0"/>
                <w:sz w:val="24"/>
                <w:szCs w:val="20"/>
              </w:rPr>
            </w:pPr>
            <w:r>
              <w:rPr>
                <w:rFonts w:hint="default" w:ascii="Times New Roman" w:hAnsi="Times New Roman" w:cs="Times New Roman"/>
                <w:snapToGrid w:val="0"/>
                <w:color w:val="000000" w:themeColor="text1"/>
                <w:sz w:val="24"/>
                <w:szCs w:val="24"/>
              </w:rPr>
              <w:t>根据安徽省环保厅《关于进一步加强建设项目新增大气主要污染物总量指标管理工作的通知》（皖环发〔2017〕19号），国家对SO</w:t>
            </w:r>
            <w:r>
              <w:rPr>
                <w:rFonts w:hint="default" w:ascii="Times New Roman" w:hAnsi="Times New Roman" w:cs="Times New Roman"/>
                <w:snapToGrid w:val="0"/>
                <w:color w:val="000000" w:themeColor="text1"/>
                <w:sz w:val="24"/>
                <w:szCs w:val="24"/>
                <w:vertAlign w:val="subscript"/>
              </w:rPr>
              <w:t>2</w:t>
            </w:r>
            <w:r>
              <w:rPr>
                <w:rFonts w:hint="default" w:ascii="Times New Roman" w:hAnsi="Times New Roman" w:cs="Times New Roman"/>
                <w:snapToGrid w:val="0"/>
                <w:color w:val="000000" w:themeColor="text1"/>
                <w:sz w:val="24"/>
                <w:szCs w:val="24"/>
              </w:rPr>
              <w:t>、NOx、COD、NH</w:t>
            </w:r>
            <w:r>
              <w:rPr>
                <w:rFonts w:hint="default" w:ascii="Times New Roman" w:hAnsi="Times New Roman" w:cs="Times New Roman"/>
                <w:snapToGrid w:val="0"/>
                <w:color w:val="000000" w:themeColor="text1"/>
                <w:sz w:val="24"/>
                <w:szCs w:val="24"/>
                <w:vertAlign w:val="subscript"/>
              </w:rPr>
              <w:t>3</w:t>
            </w:r>
            <w:r>
              <w:rPr>
                <w:rFonts w:hint="default" w:ascii="Times New Roman" w:hAnsi="Times New Roman" w:cs="Times New Roman"/>
                <w:snapToGrid w:val="0"/>
                <w:color w:val="000000" w:themeColor="text1"/>
                <w:sz w:val="24"/>
                <w:szCs w:val="24"/>
              </w:rPr>
              <w:t>-N、颗粒物、</w:t>
            </w:r>
            <w:r>
              <w:rPr>
                <w:rFonts w:hint="default" w:ascii="Times New Roman" w:hAnsi="Times New Roman" w:eastAsia="宋体" w:cs="Times New Roman"/>
                <w:color w:val="000000" w:themeColor="text1"/>
                <w:kern w:val="0"/>
                <w:sz w:val="24"/>
                <w:szCs w:val="20"/>
              </w:rPr>
              <w:t>VOCs实施总量控制。</w:t>
            </w:r>
          </w:p>
          <w:p w14:paraId="4949A1EE">
            <w:pPr>
              <w:spacing w:line="360" w:lineRule="auto"/>
              <w:ind w:firstLine="480" w:firstLineChars="200"/>
              <w:rPr>
                <w:rFonts w:hint="default" w:ascii="Times New Roman" w:hAnsi="Times New Roman" w:eastAsia="宋体" w:cs="Times New Roman"/>
                <w:color w:val="000000" w:themeColor="text1"/>
                <w:kern w:val="0"/>
                <w:sz w:val="24"/>
                <w:szCs w:val="20"/>
              </w:rPr>
            </w:pPr>
            <w:r>
              <w:rPr>
                <w:rFonts w:hint="default" w:ascii="Times New Roman" w:hAnsi="Times New Roman" w:eastAsia="宋体" w:cs="Times New Roman"/>
                <w:color w:val="000000" w:themeColor="text1"/>
                <w:kern w:val="0"/>
                <w:sz w:val="24"/>
                <w:szCs w:val="20"/>
              </w:rPr>
              <w:t>大气主要污染物总量指标实行区域内等量或倍量削减替代。上年度空气质量不达标的城市，相应污染物指标应执行“倍量替代”。其中，上年度PM</w:t>
            </w:r>
            <w:r>
              <w:rPr>
                <w:rFonts w:hint="default" w:ascii="Times New Roman" w:hAnsi="Times New Roman" w:eastAsia="宋体" w:cs="Times New Roman"/>
                <w:color w:val="000000" w:themeColor="text1"/>
                <w:kern w:val="0"/>
                <w:sz w:val="24"/>
                <w:szCs w:val="20"/>
                <w:vertAlign w:val="subscript"/>
              </w:rPr>
              <w:t>2.5</w:t>
            </w:r>
            <w:r>
              <w:rPr>
                <w:rFonts w:hint="default" w:ascii="Times New Roman" w:hAnsi="Times New Roman" w:eastAsia="宋体" w:cs="Times New Roman"/>
                <w:color w:val="000000" w:themeColor="text1"/>
                <w:kern w:val="0"/>
                <w:sz w:val="24"/>
                <w:szCs w:val="20"/>
              </w:rPr>
              <w:t>不达标的城市，新增SO</w:t>
            </w:r>
            <w:r>
              <w:rPr>
                <w:rFonts w:hint="default" w:ascii="Times New Roman" w:hAnsi="Times New Roman" w:eastAsia="宋体" w:cs="Times New Roman"/>
                <w:color w:val="000000" w:themeColor="text1"/>
                <w:kern w:val="0"/>
                <w:sz w:val="24"/>
                <w:szCs w:val="20"/>
                <w:vertAlign w:val="subscript"/>
              </w:rPr>
              <w:t>2</w:t>
            </w:r>
            <w:r>
              <w:rPr>
                <w:rFonts w:hint="default" w:ascii="Times New Roman" w:hAnsi="Times New Roman" w:eastAsia="宋体" w:cs="Times New Roman"/>
                <w:color w:val="000000" w:themeColor="text1"/>
                <w:kern w:val="0"/>
                <w:sz w:val="24"/>
                <w:szCs w:val="20"/>
              </w:rPr>
              <w:t>、NOx和VOCs指标均要执行“倍量替代”。上年度PM</w:t>
            </w:r>
            <w:r>
              <w:rPr>
                <w:rFonts w:hint="default" w:ascii="Times New Roman" w:hAnsi="Times New Roman" w:eastAsia="宋体" w:cs="Times New Roman"/>
                <w:color w:val="000000" w:themeColor="text1"/>
                <w:kern w:val="0"/>
                <w:sz w:val="24"/>
                <w:szCs w:val="20"/>
                <w:vertAlign w:val="subscript"/>
              </w:rPr>
              <w:t>10</w:t>
            </w:r>
            <w:r>
              <w:rPr>
                <w:rFonts w:hint="default" w:ascii="Times New Roman" w:hAnsi="Times New Roman" w:eastAsia="宋体" w:cs="Times New Roman"/>
                <w:color w:val="000000" w:themeColor="text1"/>
                <w:kern w:val="0"/>
                <w:sz w:val="24"/>
                <w:szCs w:val="20"/>
              </w:rPr>
              <w:t>不达标的城市，新增烟（粉）尘指标要执行“倍量替代”。达到超低排放标准的新建火电项目无需执行“倍量替代”。项目所在区域为淮北市，上年度环境空气质量不达标，新增大气污染物指标需执行“倍量替代”。</w:t>
            </w:r>
          </w:p>
          <w:p w14:paraId="3DD855CB">
            <w:pPr>
              <w:spacing w:line="360" w:lineRule="auto"/>
              <w:ind w:firstLine="480" w:firstLineChars="200"/>
              <w:rPr>
                <w:rFonts w:hint="eastAsia" w:ascii="Times New Roman" w:hAnsi="Times New Roman" w:eastAsia="宋体" w:cs="Times New Roman"/>
                <w:color w:val="000000" w:themeColor="text1"/>
                <w:kern w:val="0"/>
                <w:sz w:val="24"/>
                <w:szCs w:val="20"/>
                <w:lang w:val="en-US" w:eastAsia="zh-CN"/>
              </w:rPr>
            </w:pPr>
            <w:r>
              <w:rPr>
                <w:rFonts w:hint="default" w:ascii="Times New Roman" w:hAnsi="Times New Roman" w:eastAsia="宋体" w:cs="Times New Roman"/>
                <w:color w:val="000000" w:themeColor="text1"/>
                <w:kern w:val="0"/>
                <w:sz w:val="24"/>
                <w:szCs w:val="20"/>
              </w:rPr>
              <w:t>本项目</w:t>
            </w:r>
            <w:r>
              <w:rPr>
                <w:rFonts w:hint="default" w:ascii="Times New Roman" w:hAnsi="Times New Roman" w:eastAsia="宋体" w:cs="Times New Roman"/>
                <w:color w:val="000000" w:themeColor="text1"/>
                <w:kern w:val="0"/>
                <w:sz w:val="24"/>
                <w:szCs w:val="20"/>
                <w:lang w:eastAsia="zh-CN"/>
              </w:rPr>
              <w:t>废水</w:t>
            </w:r>
            <w:r>
              <w:rPr>
                <w:rFonts w:hint="eastAsia" w:ascii="Times New Roman" w:hAnsi="Times New Roman" w:eastAsia="宋体" w:cs="Times New Roman"/>
                <w:color w:val="000000" w:themeColor="text1"/>
                <w:kern w:val="0"/>
                <w:sz w:val="24"/>
                <w:szCs w:val="20"/>
                <w:lang w:val="en-US" w:eastAsia="zh-CN"/>
              </w:rPr>
              <w:t>主要为生活污水，</w:t>
            </w:r>
            <w:r>
              <w:rPr>
                <w:rFonts w:hint="default" w:ascii="Times New Roman" w:hAnsi="Times New Roman" w:eastAsia="宋体" w:cs="Times New Roman"/>
                <w:color w:val="000000" w:themeColor="text1"/>
                <w:kern w:val="0"/>
                <w:sz w:val="24"/>
                <w:szCs w:val="20"/>
              </w:rPr>
              <w:t>经</w:t>
            </w:r>
            <w:r>
              <w:rPr>
                <w:rFonts w:hint="eastAsia" w:ascii="Times New Roman" w:hAnsi="Times New Roman" w:eastAsia="宋体" w:cs="Times New Roman"/>
                <w:color w:val="000000" w:themeColor="text1"/>
                <w:kern w:val="0"/>
                <w:sz w:val="24"/>
                <w:szCs w:val="20"/>
                <w:lang w:val="en-US" w:eastAsia="zh-CN"/>
              </w:rPr>
              <w:t>化粪池</w:t>
            </w:r>
            <w:r>
              <w:rPr>
                <w:rFonts w:hint="default" w:ascii="Times New Roman" w:hAnsi="Times New Roman" w:eastAsia="宋体" w:cs="Times New Roman"/>
                <w:color w:val="000000" w:themeColor="text1"/>
                <w:kern w:val="0"/>
                <w:sz w:val="24"/>
                <w:szCs w:val="20"/>
              </w:rPr>
              <w:t>预处理</w:t>
            </w:r>
            <w:r>
              <w:rPr>
                <w:rFonts w:hint="eastAsia" w:ascii="Times New Roman" w:hAnsi="Times New Roman" w:eastAsia="宋体" w:cs="Times New Roman"/>
                <w:color w:val="000000" w:themeColor="text1"/>
                <w:kern w:val="0"/>
                <w:sz w:val="24"/>
                <w:szCs w:val="20"/>
                <w:lang w:val="en-US" w:eastAsia="zh-CN"/>
              </w:rPr>
              <w:t>后</w:t>
            </w:r>
            <w:r>
              <w:rPr>
                <w:rFonts w:hint="default" w:ascii="Times New Roman" w:hAnsi="Times New Roman" w:eastAsia="宋体" w:cs="Times New Roman"/>
                <w:color w:val="000000" w:themeColor="text1"/>
                <w:kern w:val="0"/>
                <w:sz w:val="24"/>
                <w:szCs w:val="20"/>
              </w:rPr>
              <w:t>接管至</w:t>
            </w:r>
            <w:r>
              <w:rPr>
                <w:rFonts w:hint="eastAsia" w:eastAsia="宋体" w:cs="宋体"/>
                <w:color w:val="000000" w:themeColor="text1"/>
                <w:sz w:val="24"/>
                <w:lang w:val="en-US" w:eastAsia="zh-CN"/>
              </w:rPr>
              <w:t>龙湖污水处理厂进一步处理</w:t>
            </w:r>
            <w:r>
              <w:rPr>
                <w:rFonts w:hint="default" w:ascii="Times New Roman" w:hAnsi="Times New Roman" w:eastAsia="宋体" w:cs="Times New Roman"/>
                <w:color w:val="000000" w:themeColor="text1"/>
                <w:kern w:val="0"/>
                <w:sz w:val="24"/>
                <w:szCs w:val="20"/>
              </w:rPr>
              <w:t>。</w:t>
            </w:r>
            <w:r>
              <w:rPr>
                <w:rFonts w:hint="eastAsia" w:ascii="Times New Roman" w:hAnsi="Times New Roman" w:eastAsia="宋体" w:cs="Times New Roman"/>
                <w:color w:val="000000" w:themeColor="text1"/>
                <w:kern w:val="0"/>
                <w:sz w:val="24"/>
                <w:szCs w:val="20"/>
                <w:lang w:val="en-US" w:eastAsia="zh-CN"/>
              </w:rPr>
              <w:t>本项目水污染物最终纳入龙湖污水处理厂总量范围内，本项目废水无需申请总量。</w:t>
            </w:r>
          </w:p>
          <w:p w14:paraId="74AADCD7">
            <w:pPr>
              <w:spacing w:line="360" w:lineRule="auto"/>
              <w:ind w:firstLine="480" w:firstLineChars="200"/>
              <w:jc w:val="left"/>
              <w:rPr>
                <w:rFonts w:hint="eastAsia" w:ascii="Times New Roman" w:hAnsi="Times New Roman" w:eastAsia="宋体" w:cs="Times New Roman"/>
                <w:color w:val="000000" w:themeColor="text1"/>
                <w:sz w:val="24"/>
                <w:szCs w:val="24"/>
              </w:rPr>
            </w:pPr>
            <w:r>
              <w:rPr>
                <w:rFonts w:hint="eastAsia" w:ascii="Times New Roman" w:hAnsi="Times New Roman" w:eastAsia="宋体" w:cs="Times New Roman"/>
                <w:color w:val="000000" w:themeColor="text1"/>
                <w:sz w:val="24"/>
                <w:szCs w:val="24"/>
              </w:rPr>
              <w:t>本项目运营期大气污染物需求量为：</w:t>
            </w:r>
            <w:r>
              <w:rPr>
                <w:rFonts w:hint="eastAsia" w:ascii="Times New Roman" w:hAnsi="Times New Roman" w:eastAsia="宋体" w:cs="Times New Roman"/>
                <w:color w:val="000000" w:themeColor="text1"/>
                <w:sz w:val="24"/>
                <w:lang w:bidi="ar"/>
              </w:rPr>
              <w:t>VOCs</w:t>
            </w:r>
            <w:r>
              <w:rPr>
                <w:rFonts w:hint="eastAsia" w:cs="Times New Roman"/>
                <w:color w:val="000000" w:themeColor="text1"/>
                <w:sz w:val="24"/>
                <w:lang w:val="en-US" w:eastAsia="zh-CN" w:bidi="ar"/>
              </w:rPr>
              <w:t xml:space="preserve"> </w:t>
            </w:r>
            <w:r>
              <w:rPr>
                <w:rFonts w:hint="eastAsia" w:ascii="Times New Roman" w:hAnsi="Times New Roman" w:eastAsia="宋体" w:cs="Times New Roman"/>
                <w:color w:val="000000" w:themeColor="text1"/>
                <w:sz w:val="24"/>
                <w:szCs w:val="24"/>
                <w:lang w:val="en-US" w:eastAsia="zh-CN"/>
              </w:rPr>
              <w:t>0.</w:t>
            </w:r>
            <w:r>
              <w:rPr>
                <w:rFonts w:hint="eastAsia" w:cs="Times New Roman"/>
                <w:color w:val="000000" w:themeColor="text1"/>
                <w:sz w:val="24"/>
                <w:szCs w:val="24"/>
                <w:lang w:val="en-US" w:eastAsia="zh-CN"/>
              </w:rPr>
              <w:t>117</w:t>
            </w:r>
            <w:r>
              <w:rPr>
                <w:rFonts w:hint="eastAsia" w:ascii="Times New Roman" w:hAnsi="Times New Roman" w:eastAsia="宋体" w:cs="Times New Roman"/>
                <w:color w:val="000000" w:themeColor="text1"/>
                <w:sz w:val="24"/>
                <w:szCs w:val="24"/>
              </w:rPr>
              <w:t>t/a</w:t>
            </w:r>
            <w:r>
              <w:rPr>
                <w:rFonts w:hint="eastAsia" w:cs="Times New Roman"/>
                <w:color w:val="000000" w:themeColor="text1"/>
                <w:sz w:val="24"/>
                <w:szCs w:val="24"/>
                <w:lang w:eastAsia="zh-CN"/>
              </w:rPr>
              <w:t>，</w:t>
            </w:r>
            <w:r>
              <w:rPr>
                <w:rFonts w:hint="eastAsia" w:cs="Times New Roman"/>
                <w:color w:val="000000" w:themeColor="text1"/>
                <w:sz w:val="24"/>
                <w:szCs w:val="24"/>
                <w:lang w:val="en-US" w:eastAsia="zh-CN"/>
              </w:rPr>
              <w:t>颗粒物0.00007t/a</w:t>
            </w:r>
            <w:r>
              <w:rPr>
                <w:rFonts w:hint="eastAsia" w:ascii="Times New Roman" w:hAnsi="Times New Roman" w:eastAsia="宋体" w:cs="Times New Roman"/>
                <w:color w:val="000000" w:themeColor="text1"/>
                <w:sz w:val="24"/>
                <w:szCs w:val="24"/>
              </w:rPr>
              <w:t>。</w:t>
            </w:r>
          </w:p>
          <w:p w14:paraId="0B40F400">
            <w:pPr>
              <w:pStyle w:val="11"/>
              <w:rPr>
                <w:rFonts w:hint="eastAsia" w:ascii="Times New Roman" w:hAnsi="Times New Roman" w:eastAsia="宋体" w:cs="Times New Roman"/>
                <w:color w:val="000000" w:themeColor="text1"/>
                <w:sz w:val="24"/>
                <w:szCs w:val="24"/>
              </w:rPr>
            </w:pPr>
          </w:p>
          <w:p w14:paraId="2FF7D8C3">
            <w:pPr>
              <w:pStyle w:val="46"/>
              <w:rPr>
                <w:rFonts w:hint="eastAsia" w:ascii="Times New Roman" w:hAnsi="Times New Roman" w:eastAsia="宋体" w:cs="Times New Roman"/>
                <w:color w:val="000000" w:themeColor="text1"/>
                <w:sz w:val="24"/>
                <w:szCs w:val="24"/>
              </w:rPr>
            </w:pPr>
          </w:p>
          <w:p w14:paraId="2A8F479B">
            <w:pPr>
              <w:pStyle w:val="46"/>
              <w:rPr>
                <w:rFonts w:hint="eastAsia" w:ascii="Times New Roman" w:hAnsi="Times New Roman" w:eastAsia="宋体" w:cs="Times New Roman"/>
                <w:color w:val="000000" w:themeColor="text1"/>
                <w:sz w:val="24"/>
                <w:szCs w:val="24"/>
              </w:rPr>
            </w:pPr>
          </w:p>
          <w:p w14:paraId="3CF05C5F">
            <w:pPr>
              <w:pStyle w:val="46"/>
              <w:rPr>
                <w:rFonts w:hint="eastAsia" w:ascii="Times New Roman" w:hAnsi="Times New Roman" w:eastAsia="宋体" w:cs="Times New Roman"/>
                <w:color w:val="000000" w:themeColor="text1"/>
                <w:sz w:val="24"/>
                <w:szCs w:val="24"/>
              </w:rPr>
            </w:pPr>
          </w:p>
          <w:p w14:paraId="78BA72BC">
            <w:pPr>
              <w:pStyle w:val="46"/>
              <w:rPr>
                <w:rFonts w:hint="eastAsia" w:ascii="Times New Roman" w:hAnsi="Times New Roman" w:eastAsia="宋体" w:cs="Times New Roman"/>
                <w:color w:val="000000" w:themeColor="text1"/>
                <w:sz w:val="24"/>
                <w:szCs w:val="24"/>
              </w:rPr>
            </w:pPr>
          </w:p>
          <w:p w14:paraId="18620F14">
            <w:pPr>
              <w:pStyle w:val="46"/>
              <w:rPr>
                <w:rFonts w:hint="eastAsia" w:ascii="Times New Roman" w:hAnsi="Times New Roman" w:eastAsia="宋体" w:cs="Times New Roman"/>
                <w:color w:val="000000" w:themeColor="text1"/>
                <w:sz w:val="24"/>
                <w:szCs w:val="24"/>
              </w:rPr>
            </w:pPr>
          </w:p>
          <w:p w14:paraId="33C13923">
            <w:pPr>
              <w:pStyle w:val="46"/>
              <w:rPr>
                <w:rFonts w:hint="eastAsia" w:ascii="Times New Roman" w:hAnsi="Times New Roman" w:eastAsia="宋体" w:cs="Times New Roman"/>
                <w:color w:val="000000" w:themeColor="text1"/>
                <w:sz w:val="24"/>
                <w:szCs w:val="24"/>
              </w:rPr>
            </w:pPr>
          </w:p>
          <w:p w14:paraId="4BC26242">
            <w:pPr>
              <w:pStyle w:val="46"/>
              <w:rPr>
                <w:rFonts w:hint="default" w:ascii="Times New Roman" w:hAnsi="Times New Roman" w:eastAsia="宋体" w:cs="Times New Roman"/>
                <w:color w:val="000000" w:themeColor="text1"/>
                <w:sz w:val="24"/>
                <w:szCs w:val="24"/>
              </w:rPr>
            </w:pPr>
          </w:p>
          <w:p w14:paraId="1FDADE6B">
            <w:pPr>
              <w:rPr>
                <w:rFonts w:hint="default" w:ascii="Times New Roman" w:hAnsi="Times New Roman" w:cs="Times New Roman"/>
                <w:color w:val="000000" w:themeColor="text1"/>
              </w:rPr>
            </w:pPr>
          </w:p>
          <w:p w14:paraId="46299F0B">
            <w:pPr>
              <w:rPr>
                <w:rFonts w:hint="default" w:ascii="Times New Roman" w:hAnsi="Times New Roman" w:cs="Times New Roman"/>
                <w:color w:val="000000" w:themeColor="text1"/>
              </w:rPr>
            </w:pPr>
          </w:p>
          <w:p w14:paraId="5D0905FD">
            <w:pPr>
              <w:rPr>
                <w:rFonts w:hint="default" w:ascii="Times New Roman" w:hAnsi="Times New Roman" w:cs="Times New Roman"/>
                <w:color w:val="000000" w:themeColor="text1"/>
              </w:rPr>
            </w:pPr>
          </w:p>
          <w:p w14:paraId="1424C564">
            <w:pPr>
              <w:rPr>
                <w:rFonts w:hint="default" w:ascii="Times New Roman" w:hAnsi="Times New Roman" w:cs="Times New Roman"/>
                <w:color w:val="000000" w:themeColor="text1"/>
              </w:rPr>
            </w:pPr>
          </w:p>
          <w:p w14:paraId="1308BA61">
            <w:pPr>
              <w:rPr>
                <w:rFonts w:hint="default" w:ascii="Times New Roman" w:hAnsi="Times New Roman" w:cs="Times New Roman"/>
                <w:color w:val="000000" w:themeColor="text1"/>
              </w:rPr>
            </w:pPr>
          </w:p>
          <w:p w14:paraId="7BA81EB4">
            <w:pPr>
              <w:rPr>
                <w:rFonts w:hint="default" w:ascii="Times New Roman" w:hAnsi="Times New Roman" w:cs="Times New Roman"/>
                <w:color w:val="000000" w:themeColor="text1"/>
              </w:rPr>
            </w:pPr>
          </w:p>
          <w:p w14:paraId="27D68A69">
            <w:pPr>
              <w:rPr>
                <w:rFonts w:hint="default" w:ascii="Times New Roman" w:hAnsi="Times New Roman" w:cs="Times New Roman"/>
                <w:color w:val="000000" w:themeColor="text1"/>
              </w:rPr>
            </w:pPr>
          </w:p>
          <w:p w14:paraId="26C143DA">
            <w:pPr>
              <w:pStyle w:val="22"/>
              <w:rPr>
                <w:rFonts w:hint="default" w:ascii="Times New Roman" w:hAnsi="Times New Roman" w:cs="Times New Roman"/>
                <w:color w:val="000000" w:themeColor="text1"/>
              </w:rPr>
            </w:pPr>
          </w:p>
          <w:p w14:paraId="686782AD">
            <w:pPr>
              <w:pStyle w:val="22"/>
              <w:rPr>
                <w:rFonts w:hint="default" w:ascii="Times New Roman" w:hAnsi="Times New Roman" w:cs="Times New Roman"/>
                <w:color w:val="000000" w:themeColor="text1"/>
              </w:rPr>
            </w:pPr>
          </w:p>
          <w:p w14:paraId="2912B12E">
            <w:pPr>
              <w:pStyle w:val="22"/>
              <w:rPr>
                <w:rFonts w:hint="default" w:ascii="Times New Roman" w:hAnsi="Times New Roman" w:cs="Times New Roman"/>
                <w:color w:val="000000" w:themeColor="text1"/>
              </w:rPr>
            </w:pPr>
          </w:p>
          <w:p w14:paraId="06251DE3">
            <w:pPr>
              <w:pStyle w:val="22"/>
              <w:rPr>
                <w:rFonts w:hint="default" w:ascii="Times New Roman" w:hAnsi="Times New Roman" w:cs="Times New Roman"/>
                <w:color w:val="000000" w:themeColor="text1"/>
              </w:rPr>
            </w:pPr>
          </w:p>
          <w:p w14:paraId="50E6BFC6">
            <w:pPr>
              <w:pStyle w:val="22"/>
              <w:rPr>
                <w:rFonts w:hint="default" w:ascii="Times New Roman" w:hAnsi="Times New Roman" w:cs="Times New Roman"/>
                <w:color w:val="000000" w:themeColor="text1"/>
              </w:rPr>
            </w:pPr>
          </w:p>
          <w:p w14:paraId="2AB41D23">
            <w:pPr>
              <w:pStyle w:val="22"/>
              <w:rPr>
                <w:rFonts w:hint="default" w:ascii="Times New Roman" w:hAnsi="Times New Roman" w:cs="Times New Roman"/>
                <w:color w:val="000000" w:themeColor="text1"/>
              </w:rPr>
            </w:pPr>
          </w:p>
          <w:p w14:paraId="3A6E233C">
            <w:pPr>
              <w:pStyle w:val="22"/>
              <w:rPr>
                <w:rFonts w:hint="default" w:ascii="Times New Roman" w:hAnsi="Times New Roman" w:cs="Times New Roman"/>
                <w:color w:val="000000" w:themeColor="text1"/>
              </w:rPr>
            </w:pPr>
          </w:p>
          <w:p w14:paraId="1161D246">
            <w:pPr>
              <w:pStyle w:val="22"/>
              <w:rPr>
                <w:rFonts w:hint="default" w:ascii="Times New Roman" w:hAnsi="Times New Roman" w:cs="Times New Roman"/>
                <w:color w:val="000000" w:themeColor="text1"/>
              </w:rPr>
            </w:pPr>
          </w:p>
          <w:p w14:paraId="3C71464C">
            <w:pPr>
              <w:pStyle w:val="22"/>
              <w:rPr>
                <w:rFonts w:hint="default" w:ascii="Times New Roman" w:hAnsi="Times New Roman" w:cs="Times New Roman"/>
                <w:color w:val="000000" w:themeColor="text1"/>
              </w:rPr>
            </w:pPr>
          </w:p>
          <w:p w14:paraId="1FF13E4E">
            <w:pPr>
              <w:pStyle w:val="22"/>
              <w:rPr>
                <w:rFonts w:hint="default" w:ascii="Times New Roman" w:hAnsi="Times New Roman" w:cs="Times New Roman"/>
                <w:color w:val="000000" w:themeColor="text1"/>
              </w:rPr>
            </w:pPr>
          </w:p>
          <w:p w14:paraId="1F427415">
            <w:pPr>
              <w:pStyle w:val="22"/>
              <w:rPr>
                <w:rFonts w:hint="default" w:ascii="Times New Roman" w:hAnsi="Times New Roman" w:cs="Times New Roman"/>
                <w:color w:val="000000" w:themeColor="text1"/>
              </w:rPr>
            </w:pPr>
          </w:p>
          <w:p w14:paraId="3818CD76">
            <w:pPr>
              <w:pStyle w:val="22"/>
              <w:rPr>
                <w:rFonts w:hint="default" w:ascii="Times New Roman" w:hAnsi="Times New Roman" w:cs="Times New Roman"/>
                <w:color w:val="000000" w:themeColor="text1"/>
              </w:rPr>
            </w:pPr>
          </w:p>
          <w:p w14:paraId="0D58620E">
            <w:pPr>
              <w:pStyle w:val="22"/>
              <w:rPr>
                <w:rFonts w:hint="default" w:ascii="Times New Roman" w:hAnsi="Times New Roman" w:cs="Times New Roman"/>
                <w:color w:val="000000" w:themeColor="text1"/>
              </w:rPr>
            </w:pPr>
          </w:p>
          <w:p w14:paraId="081EA812">
            <w:pPr>
              <w:pStyle w:val="22"/>
              <w:rPr>
                <w:rFonts w:hint="default" w:ascii="Times New Roman" w:hAnsi="Times New Roman" w:cs="Times New Roman"/>
                <w:color w:val="000000" w:themeColor="text1"/>
              </w:rPr>
            </w:pPr>
          </w:p>
          <w:p w14:paraId="076ED93C">
            <w:pPr>
              <w:pStyle w:val="22"/>
              <w:rPr>
                <w:rFonts w:hint="default" w:ascii="Times New Roman" w:hAnsi="Times New Roman" w:cs="Times New Roman"/>
                <w:color w:val="000000" w:themeColor="text1"/>
              </w:rPr>
            </w:pPr>
          </w:p>
          <w:p w14:paraId="0AB12F09">
            <w:pPr>
              <w:pStyle w:val="22"/>
              <w:rPr>
                <w:rFonts w:hint="default" w:ascii="Times New Roman" w:hAnsi="Times New Roman" w:cs="Times New Roman"/>
                <w:color w:val="000000" w:themeColor="text1"/>
              </w:rPr>
            </w:pPr>
          </w:p>
          <w:p w14:paraId="290D46E5">
            <w:pPr>
              <w:pStyle w:val="22"/>
              <w:rPr>
                <w:rFonts w:hint="default" w:ascii="Times New Roman" w:hAnsi="Times New Roman" w:cs="Times New Roman"/>
                <w:color w:val="000000" w:themeColor="text1"/>
              </w:rPr>
            </w:pPr>
          </w:p>
          <w:p w14:paraId="304815C6">
            <w:pPr>
              <w:pStyle w:val="22"/>
              <w:rPr>
                <w:rFonts w:hint="default" w:ascii="Times New Roman" w:hAnsi="Times New Roman" w:cs="Times New Roman"/>
                <w:color w:val="000000" w:themeColor="text1"/>
              </w:rPr>
            </w:pPr>
          </w:p>
          <w:p w14:paraId="6A8F2A72">
            <w:pPr>
              <w:pStyle w:val="22"/>
              <w:rPr>
                <w:rFonts w:hint="default" w:ascii="Times New Roman" w:hAnsi="Times New Roman" w:cs="Times New Roman"/>
                <w:color w:val="000000" w:themeColor="text1"/>
              </w:rPr>
            </w:pPr>
          </w:p>
          <w:p w14:paraId="3E43732D">
            <w:pPr>
              <w:pStyle w:val="22"/>
              <w:rPr>
                <w:rFonts w:hint="default" w:ascii="Times New Roman" w:hAnsi="Times New Roman" w:cs="Times New Roman"/>
                <w:color w:val="000000" w:themeColor="text1"/>
              </w:rPr>
            </w:pPr>
          </w:p>
          <w:p w14:paraId="3A5C8044">
            <w:pPr>
              <w:pStyle w:val="22"/>
              <w:rPr>
                <w:rFonts w:hint="default" w:ascii="Times New Roman" w:hAnsi="Times New Roman" w:cs="Times New Roman"/>
                <w:color w:val="000000" w:themeColor="text1"/>
              </w:rPr>
            </w:pPr>
          </w:p>
          <w:p w14:paraId="7546DCB8">
            <w:pPr>
              <w:pStyle w:val="22"/>
              <w:rPr>
                <w:rFonts w:hint="default" w:ascii="Times New Roman" w:hAnsi="Times New Roman" w:cs="Times New Roman"/>
                <w:color w:val="000000" w:themeColor="text1"/>
              </w:rPr>
            </w:pPr>
          </w:p>
        </w:tc>
      </w:tr>
    </w:tbl>
    <w:p w14:paraId="52CC6137">
      <w:pPr>
        <w:pStyle w:val="31"/>
        <w:jc w:val="center"/>
        <w:outlineLvl w:val="0"/>
        <w:rPr>
          <w:rFonts w:hint="default" w:ascii="Times New Roman" w:hAnsi="Times New Roman" w:cs="Times New Roman"/>
          <w:snapToGrid w:val="0"/>
          <w:color w:val="000000" w:themeColor="text1"/>
          <w:sz w:val="30"/>
          <w:szCs w:val="30"/>
        </w:rPr>
      </w:pPr>
      <w:r>
        <w:rPr>
          <w:rFonts w:hint="default" w:ascii="Times New Roman" w:hAnsi="Times New Roman" w:cs="Times New Roman"/>
          <w:snapToGrid w:val="0"/>
          <w:color w:val="000000" w:themeColor="text1"/>
          <w:sz w:val="36"/>
          <w:szCs w:val="36"/>
        </w:rPr>
        <w:br w:type="page"/>
      </w:r>
      <w:r>
        <w:rPr>
          <w:rFonts w:hint="default" w:ascii="Times New Roman" w:hAnsi="Times New Roman" w:cs="Times New Roman"/>
          <w:snapToGrid w:val="0"/>
          <w:color w:val="000000" w:themeColor="text1"/>
          <w:sz w:val="30"/>
          <w:szCs w:val="30"/>
        </w:rPr>
        <w:t>四、主要环境影响和保护措施</w:t>
      </w:r>
    </w:p>
    <w:tbl>
      <w:tblPr>
        <w:tblStyle w:val="34"/>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56"/>
        <w:gridCol w:w="8725"/>
      </w:tblGrid>
      <w:tr w14:paraId="1012FA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4" w:type="pct"/>
            <w:tcBorders>
              <w:top w:val="single" w:color="auto" w:sz="8" w:space="0"/>
            </w:tcBorders>
            <w:tcMar>
              <w:left w:w="28" w:type="dxa"/>
              <w:right w:w="28" w:type="dxa"/>
            </w:tcMar>
            <w:vAlign w:val="center"/>
          </w:tcPr>
          <w:p w14:paraId="65F9F868">
            <w:pPr>
              <w:pStyle w:val="31"/>
              <w:adjustRightInd w:val="0"/>
              <w:snapToGrid w:val="0"/>
              <w:spacing w:before="0" w:beforeAutospacing="0" w:after="0" w:afterAutospacing="0"/>
              <w:jc w:val="center"/>
              <w:rPr>
                <w:rFonts w:hint="default" w:ascii="Times New Roman" w:hAnsi="Times New Roman" w:cs="Times New Roman"/>
                <w:color w:val="000000" w:themeColor="text1"/>
                <w:kern w:val="2"/>
                <w:sz w:val="21"/>
                <w:szCs w:val="21"/>
                <w:lang w:val="en-US" w:eastAsia="zh-CN"/>
              </w:rPr>
            </w:pPr>
            <w:r>
              <w:rPr>
                <w:rFonts w:hint="default" w:ascii="Times New Roman" w:hAnsi="Times New Roman" w:cs="Times New Roman"/>
                <w:color w:val="000000" w:themeColor="text1"/>
                <w:kern w:val="2"/>
                <w:lang w:val="en-US" w:eastAsia="zh-CN"/>
              </w:rPr>
              <w:t>施工期环境保护措施</w:t>
            </w:r>
          </w:p>
        </w:tc>
        <w:tc>
          <w:tcPr>
            <w:tcW w:w="4865" w:type="pct"/>
            <w:tcBorders>
              <w:top w:val="single" w:color="auto" w:sz="8" w:space="0"/>
            </w:tcBorders>
            <w:vAlign w:val="center"/>
          </w:tcPr>
          <w:p w14:paraId="12DC58CC">
            <w:pPr>
              <w:spacing w:line="360" w:lineRule="auto"/>
              <w:rPr>
                <w:rFonts w:hint="default" w:ascii="Times New Roman" w:hAnsi="Times New Roman" w:cs="Times New Roman"/>
                <w:b/>
                <w:bCs/>
                <w:color w:val="000000" w:themeColor="text1"/>
                <w:sz w:val="24"/>
                <w:szCs w:val="24"/>
              </w:rPr>
            </w:pPr>
            <w:bookmarkStart w:id="2" w:name="_Toc140027321"/>
            <w:bookmarkStart w:id="3" w:name="_Toc140027472"/>
            <w:r>
              <w:rPr>
                <w:rFonts w:hint="default" w:ascii="Times New Roman" w:hAnsi="Times New Roman" w:cs="Times New Roman"/>
                <w:b/>
                <w:bCs/>
                <w:color w:val="000000" w:themeColor="text1"/>
                <w:sz w:val="24"/>
                <w:szCs w:val="24"/>
              </w:rPr>
              <w:t>施工期环境影响措施：</w:t>
            </w:r>
          </w:p>
          <w:bookmarkEnd w:id="2"/>
          <w:bookmarkEnd w:id="3"/>
          <w:p w14:paraId="25580A20">
            <w:pPr>
              <w:spacing w:line="360" w:lineRule="auto"/>
              <w:ind w:firstLine="480" w:firstLineChars="200"/>
              <w:textAlignment w:val="baseline"/>
              <w:rPr>
                <w:rFonts w:hint="default" w:ascii="Times New Roman" w:hAnsi="Times New Roman" w:eastAsia="宋体" w:cs="Times New Roman"/>
                <w:color w:val="000000" w:themeColor="text1"/>
                <w:sz w:val="24"/>
                <w:szCs w:val="24"/>
                <w:lang w:val="en-US" w:eastAsia="zh-CN"/>
              </w:rPr>
            </w:pPr>
            <w:r>
              <w:rPr>
                <w:rFonts w:hint="eastAsia" w:cs="Times New Roman"/>
                <w:color w:val="000000" w:themeColor="text1"/>
                <w:sz w:val="24"/>
                <w:szCs w:val="24"/>
                <w:lang w:val="en-US" w:eastAsia="zh-CN"/>
              </w:rPr>
              <w:t>本项目施工期仅涉及厂房内部改造，生产设备的安装调试及废气污染防治措施的安装等</w:t>
            </w:r>
            <w:r>
              <w:rPr>
                <w:rFonts w:hint="default" w:ascii="Times New Roman" w:hAnsi="Times New Roman" w:cs="Times New Roman"/>
                <w:color w:val="000000" w:themeColor="text1"/>
                <w:sz w:val="24"/>
                <w:szCs w:val="24"/>
              </w:rPr>
              <w:t>。</w:t>
            </w:r>
            <w:r>
              <w:rPr>
                <w:rFonts w:hint="eastAsia" w:cs="Times New Roman"/>
                <w:color w:val="000000" w:themeColor="text1"/>
                <w:sz w:val="24"/>
                <w:szCs w:val="24"/>
                <w:lang w:val="en-US" w:eastAsia="zh-CN"/>
              </w:rPr>
              <w:t>施工期时间短、影响小，本环评不另行评价。</w:t>
            </w:r>
          </w:p>
          <w:p w14:paraId="6B3BD5F8">
            <w:pPr>
              <w:spacing w:line="360" w:lineRule="auto"/>
              <w:ind w:firstLine="480" w:firstLineChars="200"/>
              <w:rPr>
                <w:rFonts w:hint="default" w:ascii="Times New Roman" w:hAnsi="Times New Roman" w:cs="Times New Roman"/>
                <w:color w:val="000000" w:themeColor="text1"/>
                <w:sz w:val="24"/>
                <w:szCs w:val="24"/>
              </w:rPr>
            </w:pPr>
          </w:p>
        </w:tc>
      </w:tr>
      <w:tr w14:paraId="1D0BAD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4" w:type="pct"/>
            <w:tcMar>
              <w:left w:w="28" w:type="dxa"/>
              <w:right w:w="28" w:type="dxa"/>
            </w:tcMar>
            <w:vAlign w:val="center"/>
          </w:tcPr>
          <w:p w14:paraId="202B6563">
            <w:pPr>
              <w:adjustRightInd w:val="0"/>
              <w:snapToGrid w:val="0"/>
              <w:spacing w:line="460" w:lineRule="exact"/>
              <w:jc w:val="center"/>
              <w:rPr>
                <w:rFonts w:hint="default" w:ascii="Times New Roman" w:hAnsi="Times New Roman" w:cs="Times New Roman"/>
                <w:color w:val="000000" w:themeColor="text1"/>
              </w:rPr>
            </w:pPr>
            <w:r>
              <w:rPr>
                <w:rFonts w:hint="default" w:ascii="Times New Roman" w:hAnsi="Times New Roman" w:cs="Times New Roman"/>
                <w:color w:val="000000" w:themeColor="text1"/>
                <w:sz w:val="24"/>
                <w:szCs w:val="24"/>
              </w:rPr>
              <w:t>运营期环境影响和保护措施</w:t>
            </w:r>
          </w:p>
        </w:tc>
        <w:tc>
          <w:tcPr>
            <w:tcW w:w="4865" w:type="pct"/>
          </w:tcPr>
          <w:p w14:paraId="67B49CD8">
            <w:pPr>
              <w:adjustRightInd w:val="0"/>
              <w:snapToGrid w:val="0"/>
              <w:spacing w:line="360" w:lineRule="auto"/>
              <w:ind w:firstLine="562" w:firstLineChars="200"/>
              <w:rPr>
                <w:rFonts w:hint="default" w:ascii="Times New Roman" w:hAnsi="Times New Roman" w:cs="Times New Roman"/>
                <w:b/>
                <w:bCs/>
                <w:color w:val="000000" w:themeColor="text1"/>
                <w:sz w:val="28"/>
                <w:szCs w:val="28"/>
              </w:rPr>
            </w:pPr>
            <w:r>
              <w:rPr>
                <w:rFonts w:hint="default" w:ascii="Times New Roman" w:hAnsi="Times New Roman" w:cs="Times New Roman"/>
                <w:b/>
                <w:bCs/>
                <w:color w:val="000000" w:themeColor="text1"/>
                <w:sz w:val="28"/>
                <w:szCs w:val="28"/>
              </w:rPr>
              <w:t>一、运营期废气</w:t>
            </w:r>
          </w:p>
          <w:p w14:paraId="3A2D58C7">
            <w:pPr>
              <w:adjustRightInd w:val="0"/>
              <w:snapToGrid w:val="0"/>
              <w:spacing w:line="360" w:lineRule="auto"/>
              <w:ind w:firstLine="480" w:firstLineChars="200"/>
              <w:rPr>
                <w:rFonts w:hint="default" w:ascii="Times New Roman" w:hAnsi="Times New Roman" w:cs="Times New Roman"/>
                <w:color w:val="000000" w:themeColor="text1"/>
                <w:sz w:val="24"/>
                <w:szCs w:val="24"/>
              </w:rPr>
            </w:pPr>
            <w:r>
              <w:rPr>
                <w:rFonts w:hint="eastAsia" w:cs="Times New Roman"/>
                <w:color w:val="000000" w:themeColor="text1"/>
                <w:sz w:val="24"/>
                <w:szCs w:val="24"/>
                <w:lang w:val="en-US" w:eastAsia="zh-CN"/>
              </w:rPr>
              <w:t>1、</w:t>
            </w:r>
            <w:r>
              <w:rPr>
                <w:rFonts w:hint="default" w:ascii="Times New Roman" w:hAnsi="Times New Roman" w:cs="Times New Roman"/>
                <w:color w:val="000000" w:themeColor="text1"/>
                <w:sz w:val="24"/>
                <w:szCs w:val="24"/>
              </w:rPr>
              <w:t>废气污染源及源强</w:t>
            </w:r>
          </w:p>
          <w:p w14:paraId="4EAD9C4F">
            <w:pPr>
              <w:pStyle w:val="125"/>
              <w:adjustRightInd w:val="0"/>
              <w:snapToGrid w:val="0"/>
              <w:spacing w:line="360" w:lineRule="auto"/>
              <w:ind w:firstLine="480" w:firstLineChars="200"/>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lang w:eastAsia="zh-CN"/>
              </w:rPr>
              <w:t>项目运营期间废气主要为</w:t>
            </w:r>
            <w:r>
              <w:rPr>
                <w:rFonts w:hint="eastAsia" w:cs="Times New Roman"/>
                <w:color w:val="000000" w:themeColor="text1"/>
                <w:lang w:val="en-US" w:eastAsia="zh-CN"/>
              </w:rPr>
              <w:t>焊接烟尘，浇筑、固化工序产生的有机废气（以非甲烷总烃计）以及变压器油储罐呼吸废气</w:t>
            </w:r>
            <w:r>
              <w:rPr>
                <w:rFonts w:hint="default" w:ascii="Times New Roman" w:hAnsi="Times New Roman" w:cs="Times New Roman"/>
                <w:color w:val="000000" w:themeColor="text1"/>
                <w:lang w:eastAsia="zh-CN"/>
              </w:rPr>
              <w:t>。</w:t>
            </w:r>
          </w:p>
          <w:p w14:paraId="2945B58E">
            <w:pPr>
              <w:adjustRightInd w:val="0"/>
              <w:snapToGrid w:val="0"/>
              <w:spacing w:line="360" w:lineRule="auto"/>
              <w:ind w:firstLine="480" w:firstLineChars="200"/>
              <w:rPr>
                <w:rFonts w:hint="default" w:ascii="Times New Roman" w:hAnsi="Times New Roman" w:eastAsia="宋体" w:cs="Times New Roman"/>
                <w:color w:val="000000" w:themeColor="text1"/>
                <w:sz w:val="24"/>
                <w:szCs w:val="24"/>
                <w:lang w:val="en-US" w:eastAsia="zh-CN"/>
              </w:rPr>
            </w:pPr>
            <w:r>
              <w:rPr>
                <w:rFonts w:hint="default" w:ascii="Times New Roman" w:hAnsi="Times New Roman" w:cs="Times New Roman"/>
                <w:color w:val="000000" w:themeColor="text1"/>
                <w:sz w:val="24"/>
                <w:szCs w:val="24"/>
              </w:rPr>
              <w:t>（1）</w:t>
            </w:r>
            <w:r>
              <w:rPr>
                <w:rFonts w:hint="eastAsia" w:cs="Times New Roman"/>
                <w:color w:val="000000" w:themeColor="text1"/>
                <w:sz w:val="24"/>
                <w:szCs w:val="24"/>
                <w:lang w:val="en-US" w:eastAsia="zh-CN"/>
              </w:rPr>
              <w:t>焊接烟尘</w:t>
            </w:r>
          </w:p>
          <w:p w14:paraId="40B3E204">
            <w:pPr>
              <w:adjustRightInd w:val="0"/>
              <w:snapToGrid w:val="0"/>
              <w:spacing w:line="360" w:lineRule="auto"/>
              <w:ind w:firstLine="480" w:firstLineChars="20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本项目焊接工艺为氧气焊，氧气焊的工作原理为利用氧乙炔火焰的高温来熔化金属使焊接件形成连接，焊接过程中使用</w:t>
            </w:r>
            <w:r>
              <w:rPr>
                <w:rFonts w:hint="eastAsia" w:cs="Times New Roman"/>
                <w:color w:val="000000" w:themeColor="text1"/>
                <w:sz w:val="24"/>
                <w:szCs w:val="24"/>
                <w:lang w:val="en-US" w:eastAsia="zh-CN"/>
              </w:rPr>
              <w:t>磷</w:t>
            </w:r>
            <w:r>
              <w:rPr>
                <w:rFonts w:hint="default" w:ascii="Times New Roman" w:hAnsi="Times New Roman" w:cs="Times New Roman"/>
                <w:color w:val="000000" w:themeColor="text1"/>
                <w:sz w:val="24"/>
                <w:szCs w:val="24"/>
              </w:rPr>
              <w:t>铜焊条，焊条焊接过程中会产生焊接烟尘。</w:t>
            </w:r>
          </w:p>
          <w:p w14:paraId="27EE2CAF">
            <w:pPr>
              <w:adjustRightInd w:val="0"/>
              <w:snapToGrid w:val="0"/>
              <w:spacing w:line="360" w:lineRule="auto"/>
              <w:ind w:firstLine="480" w:firstLineChars="200"/>
              <w:rPr>
                <w:rFonts w:hint="eastAsia" w:ascii="Times New Roman" w:hAnsi="Times New Roman" w:eastAsia="宋体" w:cs="Times New Roman"/>
                <w:color w:val="000000" w:themeColor="text1"/>
                <w:sz w:val="24"/>
                <w:szCs w:val="24"/>
                <w:lang w:eastAsia="zh-CN"/>
              </w:rPr>
            </w:pPr>
            <w:r>
              <w:rPr>
                <w:rFonts w:hint="default" w:ascii="Times New Roman" w:hAnsi="Times New Roman" w:cs="Times New Roman"/>
                <w:color w:val="000000" w:themeColor="text1"/>
                <w:sz w:val="24"/>
                <w:szCs w:val="24"/>
                <w:lang w:val="en-GB"/>
              </w:rPr>
              <w:t>根据《排放源统计调查产排污核算方法和系数手册》（生态环境部办公厅2021 年6月11日印发）中《机械行业系数手册》09 焊接工序的产污系数，铜和铜合金焊条的手工电弧焊产污系数为20.2千克/吨原料，本项目年消耗焊条</w:t>
            </w:r>
            <w:r>
              <w:rPr>
                <w:rFonts w:hint="eastAsia" w:cs="Times New Roman"/>
                <w:color w:val="000000" w:themeColor="text1"/>
                <w:sz w:val="24"/>
                <w:szCs w:val="24"/>
                <w:lang w:val="en-US" w:eastAsia="zh-CN"/>
              </w:rPr>
              <w:t>0.04</w:t>
            </w:r>
            <w:r>
              <w:rPr>
                <w:rFonts w:hint="default" w:ascii="Times New Roman" w:hAnsi="Times New Roman" w:cs="Times New Roman"/>
                <w:color w:val="000000" w:themeColor="text1"/>
                <w:sz w:val="24"/>
                <w:szCs w:val="24"/>
                <w:lang w:val="en-GB"/>
              </w:rPr>
              <w:t>t，则焊接烟尘产生量为0.00</w:t>
            </w:r>
            <w:r>
              <w:rPr>
                <w:rFonts w:hint="eastAsia" w:cs="Times New Roman"/>
                <w:color w:val="000000" w:themeColor="text1"/>
                <w:sz w:val="24"/>
                <w:szCs w:val="24"/>
                <w:lang w:val="en-US" w:eastAsia="zh-CN"/>
              </w:rPr>
              <w:t>08</w:t>
            </w:r>
            <w:r>
              <w:rPr>
                <w:rFonts w:hint="default" w:ascii="Times New Roman" w:hAnsi="Times New Roman" w:cs="Times New Roman"/>
                <w:color w:val="000000" w:themeColor="text1"/>
                <w:sz w:val="24"/>
                <w:szCs w:val="24"/>
                <w:lang w:val="en-GB"/>
              </w:rPr>
              <w:t>t/a</w:t>
            </w:r>
            <w:r>
              <w:rPr>
                <w:rFonts w:hint="eastAsia" w:cs="Times New Roman"/>
                <w:color w:val="000000" w:themeColor="text1"/>
                <w:sz w:val="24"/>
                <w:szCs w:val="24"/>
                <w:lang w:val="en-GB" w:eastAsia="zh-CN"/>
              </w:rPr>
              <w:t>。焊接烟尘产生量较少，拟采用移动式焊接烟尘净化器收集处理后经车间通风后无组织排放。收集效率</w:t>
            </w:r>
            <w:r>
              <w:rPr>
                <w:rFonts w:hint="eastAsia" w:cs="Times New Roman"/>
                <w:color w:val="000000" w:themeColor="text1"/>
                <w:sz w:val="24"/>
                <w:szCs w:val="24"/>
                <w:lang w:val="en-US" w:eastAsia="zh-CN"/>
              </w:rPr>
              <w:t>约9</w:t>
            </w:r>
            <w:r>
              <w:rPr>
                <w:rFonts w:hint="eastAsia" w:cs="Times New Roman"/>
                <w:color w:val="000000" w:themeColor="text1"/>
                <w:sz w:val="24"/>
                <w:szCs w:val="24"/>
                <w:lang w:val="en-GB" w:eastAsia="zh-CN"/>
              </w:rPr>
              <w:t>0%，处理效率参考《排放源统计调查产排污核算方法和系数手册》（生态环境部办公厅2021年6月11日印发）中《机械行业系数手册》09 焊接工序的末端治理技术名称“其他（移动式烟尘净化器）”以95%计，则</w:t>
            </w:r>
            <w:r>
              <w:rPr>
                <w:rFonts w:hint="eastAsia" w:cs="Times New Roman"/>
                <w:color w:val="000000" w:themeColor="text1"/>
                <w:sz w:val="24"/>
                <w:szCs w:val="24"/>
                <w:lang w:val="en-US" w:eastAsia="zh-CN"/>
              </w:rPr>
              <w:t>经移动式焊烟净化器处理的污染物为0.00072t/a，处理后的排放量为</w:t>
            </w:r>
            <w:r>
              <w:rPr>
                <w:rFonts w:hint="eastAsia" w:cs="Times New Roman"/>
                <w:color w:val="000000" w:themeColor="text1"/>
                <w:sz w:val="24"/>
                <w:szCs w:val="24"/>
                <w:lang w:val="en-GB" w:eastAsia="zh-CN"/>
              </w:rPr>
              <w:t>无组织排放量为</w:t>
            </w:r>
            <w:r>
              <w:rPr>
                <w:rFonts w:hint="eastAsia" w:cs="Times New Roman"/>
                <w:color w:val="000000" w:themeColor="text1"/>
                <w:sz w:val="24"/>
                <w:szCs w:val="24"/>
                <w:lang w:val="en-US" w:eastAsia="zh-CN"/>
              </w:rPr>
              <w:t>0.000036t/a，焊接过程无组织排放量为0.00012t/a</w:t>
            </w:r>
            <w:r>
              <w:rPr>
                <w:rFonts w:hint="eastAsia" w:cs="Times New Roman"/>
                <w:color w:val="000000" w:themeColor="text1"/>
                <w:sz w:val="24"/>
                <w:szCs w:val="24"/>
                <w:lang w:val="en-GB" w:eastAsia="zh-CN"/>
              </w:rPr>
              <w:t>。</w:t>
            </w:r>
          </w:p>
          <w:p w14:paraId="73F9D144">
            <w:pPr>
              <w:spacing w:line="360" w:lineRule="auto"/>
              <w:ind w:firstLine="480" w:firstLineChars="200"/>
              <w:jc w:val="left"/>
              <w:rPr>
                <w:rFonts w:hint="default" w:ascii="Times New Roman" w:hAnsi="Times New Roman" w:eastAsia="宋体" w:cs="Times New Roman"/>
                <w:color w:val="000000" w:themeColor="text1"/>
                <w:sz w:val="24"/>
                <w:szCs w:val="24"/>
                <w:lang w:val="en-US" w:eastAsia="zh-CN"/>
              </w:rPr>
            </w:pPr>
            <w:r>
              <w:rPr>
                <w:rFonts w:hint="default" w:ascii="Times New Roman" w:hAnsi="Times New Roman" w:cs="Times New Roman"/>
                <w:color w:val="000000" w:themeColor="text1"/>
                <w:sz w:val="24"/>
                <w:szCs w:val="24"/>
              </w:rPr>
              <w:t>（2）</w:t>
            </w:r>
            <w:r>
              <w:rPr>
                <w:rFonts w:hint="eastAsia" w:cs="Times New Roman"/>
                <w:color w:val="000000" w:themeColor="text1"/>
                <w:sz w:val="24"/>
                <w:szCs w:val="24"/>
                <w:lang w:val="en-US" w:eastAsia="zh-CN"/>
              </w:rPr>
              <w:t>浇筑固化废气</w:t>
            </w:r>
          </w:p>
          <w:p w14:paraId="26C9E541">
            <w:pPr>
              <w:pStyle w:val="139"/>
              <w:ind w:firstLine="480"/>
              <w:rPr>
                <w:rFonts w:hint="eastAsia" w:cs="Times New Roman"/>
                <w:color w:val="000000" w:themeColor="text1"/>
                <w:kern w:val="2"/>
                <w:lang w:eastAsia="zh-CN"/>
              </w:rPr>
            </w:pPr>
            <w:r>
              <w:rPr>
                <w:rFonts w:hint="default" w:ascii="Times New Roman" w:hAnsi="Times New Roman" w:cs="Times New Roman"/>
                <w:color w:val="000000" w:themeColor="text1"/>
                <w:sz w:val="24"/>
                <w:szCs w:val="24"/>
                <w:lang w:eastAsia="zh-CN"/>
              </w:rPr>
              <w:t>环氧树脂浇注、固化过程中需受热，会有一定量的有机废气产生（以非甲烷总烃表征）。</w:t>
            </w:r>
            <w:r>
              <w:rPr>
                <w:rFonts w:hint="default" w:ascii="Times New Roman" w:hAnsi="Times New Roman" w:cs="Times New Roman"/>
                <w:color w:val="000000" w:themeColor="text1"/>
                <w:kern w:val="2"/>
                <w:sz w:val="24"/>
                <w:szCs w:val="24"/>
              </w:rPr>
              <w:t>根据</w:t>
            </w:r>
            <w:r>
              <w:rPr>
                <w:rFonts w:hint="default" w:ascii="Times New Roman" w:hAnsi="Times New Roman" w:cs="Times New Roman"/>
                <w:color w:val="000000" w:themeColor="text1"/>
                <w:kern w:val="2"/>
                <w:sz w:val="24"/>
                <w:szCs w:val="24"/>
                <w:lang w:val="en-US" w:eastAsia="zh-CN"/>
              </w:rPr>
              <w:t>企业提供的环氧树脂混合料VOCs检测报告，其VOCs含量为29.8g/kg，</w:t>
            </w:r>
            <w:r>
              <w:rPr>
                <w:rFonts w:hint="eastAsia" w:ascii="Times New Roman" w:hAnsi="Times New Roman" w:cs="Times New Roman"/>
                <w:color w:val="000000" w:themeColor="text1"/>
                <w:kern w:val="2"/>
                <w:sz w:val="24"/>
                <w:szCs w:val="24"/>
                <w:lang w:val="en-US" w:eastAsia="zh-CN"/>
              </w:rPr>
              <w:t>本次按照全部挥发进行分析。项目</w:t>
            </w:r>
            <w:r>
              <w:rPr>
                <w:rFonts w:hint="default" w:ascii="Times New Roman" w:hAnsi="Times New Roman" w:cs="Times New Roman"/>
                <w:color w:val="000000" w:themeColor="text1"/>
                <w:kern w:val="2"/>
                <w:sz w:val="24"/>
                <w:szCs w:val="24"/>
              </w:rPr>
              <w:t>环氧树脂使用量为</w:t>
            </w:r>
            <w:r>
              <w:rPr>
                <w:rFonts w:hint="default" w:ascii="Times New Roman" w:hAnsi="Times New Roman" w:cs="Times New Roman"/>
                <w:color w:val="000000" w:themeColor="text1"/>
                <w:kern w:val="2"/>
                <w:sz w:val="24"/>
                <w:szCs w:val="24"/>
                <w:lang w:val="en-US" w:eastAsia="zh-CN"/>
              </w:rPr>
              <w:t>36</w:t>
            </w:r>
            <w:r>
              <w:rPr>
                <w:rFonts w:hint="default" w:ascii="Times New Roman" w:hAnsi="Times New Roman" w:cs="Times New Roman"/>
                <w:color w:val="000000" w:themeColor="text1"/>
                <w:kern w:val="2"/>
                <w:sz w:val="24"/>
                <w:szCs w:val="24"/>
              </w:rPr>
              <w:t>t/a，则挥发性有机物产生量为</w:t>
            </w:r>
            <w:r>
              <w:rPr>
                <w:rFonts w:hint="eastAsia" w:ascii="Times New Roman" w:hAnsi="Times New Roman" w:cs="Times New Roman"/>
                <w:color w:val="000000" w:themeColor="text1"/>
                <w:kern w:val="2"/>
                <w:sz w:val="24"/>
                <w:szCs w:val="24"/>
                <w:lang w:val="en-US" w:eastAsia="zh-CN"/>
              </w:rPr>
              <w:t>1.073</w:t>
            </w:r>
            <w:r>
              <w:rPr>
                <w:rFonts w:hint="default" w:ascii="Times New Roman" w:hAnsi="Times New Roman" w:cs="Times New Roman"/>
                <w:color w:val="000000" w:themeColor="text1"/>
                <w:kern w:val="2"/>
                <w:sz w:val="24"/>
                <w:szCs w:val="24"/>
              </w:rPr>
              <w:t>t/a</w:t>
            </w:r>
            <w:r>
              <w:rPr>
                <w:rFonts w:hint="default" w:ascii="Times New Roman" w:hAnsi="Times New Roman" w:cs="Times New Roman"/>
                <w:color w:val="000000" w:themeColor="text1"/>
                <w:kern w:val="2"/>
                <w:sz w:val="24"/>
                <w:szCs w:val="24"/>
                <w:lang w:eastAsia="zh-CN"/>
              </w:rPr>
              <w:t>。</w:t>
            </w:r>
            <w:r>
              <w:rPr>
                <w:rFonts w:hint="eastAsia" w:cs="Times New Roman"/>
                <w:color w:val="000000" w:themeColor="text1"/>
                <w:kern w:val="2"/>
                <w:lang w:eastAsia="zh-CN"/>
              </w:rPr>
              <w:t>同时，由于浇注前需在模具上涂刷一层脱模剂，浇注过程加热温度为</w:t>
            </w:r>
            <w:r>
              <w:rPr>
                <w:rFonts w:hint="eastAsia" w:cs="Times New Roman"/>
                <w:color w:val="000000" w:themeColor="text1"/>
                <w:kern w:val="2"/>
                <w:lang w:val="en-US" w:eastAsia="zh-CN"/>
              </w:rPr>
              <w:t>75</w:t>
            </w:r>
            <w:r>
              <w:rPr>
                <w:rFonts w:hint="eastAsia" w:cs="Times New Roman"/>
                <w:color w:val="000000" w:themeColor="text1"/>
                <w:kern w:val="2"/>
                <w:lang w:eastAsia="zh-CN"/>
              </w:rPr>
              <w:t>~</w:t>
            </w:r>
            <w:r>
              <w:rPr>
                <w:rFonts w:hint="eastAsia" w:cs="Times New Roman"/>
                <w:color w:val="000000" w:themeColor="text1"/>
                <w:kern w:val="2"/>
                <w:lang w:val="en-US" w:eastAsia="zh-CN"/>
              </w:rPr>
              <w:t>120</w:t>
            </w:r>
            <w:r>
              <w:rPr>
                <w:rFonts w:hint="eastAsia" w:cs="Times New Roman"/>
                <w:color w:val="000000" w:themeColor="text1"/>
                <w:kern w:val="2"/>
                <w:lang w:eastAsia="zh-CN"/>
              </w:rPr>
              <w:t>℃，则脱模剂在浇注过程中，随着加热全部挥发，同浇注废气一起排出。本项目年使用脱模剂0.1t，</w:t>
            </w:r>
            <w:r>
              <w:rPr>
                <w:rFonts w:hint="eastAsia" w:cs="Times New Roman"/>
                <w:color w:val="000000" w:themeColor="text1"/>
                <w:kern w:val="2"/>
                <w:lang w:val="en-US" w:eastAsia="zh-CN"/>
              </w:rPr>
              <w:t>其挥发性成分主要为硅油和环保异构溶剂，约占75%，</w:t>
            </w:r>
            <w:r>
              <w:rPr>
                <w:rFonts w:hint="eastAsia" w:cs="Times New Roman"/>
                <w:color w:val="000000" w:themeColor="text1"/>
                <w:kern w:val="2"/>
                <w:lang w:eastAsia="zh-CN"/>
              </w:rPr>
              <w:t>则脱模剂挥发的</w:t>
            </w:r>
            <w:r>
              <w:rPr>
                <w:rFonts w:hint="eastAsia" w:cs="Times New Roman"/>
                <w:color w:val="000000" w:themeColor="text1"/>
                <w:kern w:val="2"/>
                <w:lang w:val="en-US" w:eastAsia="zh-CN"/>
              </w:rPr>
              <w:t>有机废气</w:t>
            </w:r>
            <w:r>
              <w:rPr>
                <w:rFonts w:hint="eastAsia" w:cs="Times New Roman"/>
                <w:color w:val="000000" w:themeColor="text1"/>
                <w:kern w:val="2"/>
                <w:lang w:eastAsia="zh-CN"/>
              </w:rPr>
              <w:t>产生量为0.</w:t>
            </w:r>
            <w:r>
              <w:rPr>
                <w:rFonts w:hint="eastAsia" w:cs="Times New Roman"/>
                <w:color w:val="000000" w:themeColor="text1"/>
                <w:kern w:val="2"/>
                <w:lang w:val="en-US" w:eastAsia="zh-CN"/>
              </w:rPr>
              <w:t>075</w:t>
            </w:r>
            <w:r>
              <w:rPr>
                <w:rFonts w:hint="eastAsia" w:cs="Times New Roman"/>
                <w:color w:val="000000" w:themeColor="text1"/>
                <w:kern w:val="2"/>
                <w:lang w:eastAsia="zh-CN"/>
              </w:rPr>
              <w:t>t/a。综上，线浇注固化过程的</w:t>
            </w:r>
            <w:r>
              <w:rPr>
                <w:rFonts w:hint="eastAsia" w:cs="Times New Roman"/>
                <w:color w:val="000000" w:themeColor="text1"/>
                <w:kern w:val="2"/>
                <w:lang w:val="en-US" w:eastAsia="zh-CN"/>
              </w:rPr>
              <w:t>有机废气</w:t>
            </w:r>
            <w:r>
              <w:rPr>
                <w:rFonts w:hint="eastAsia" w:cs="Times New Roman"/>
                <w:color w:val="000000" w:themeColor="text1"/>
                <w:kern w:val="2"/>
                <w:lang w:eastAsia="zh-CN"/>
              </w:rPr>
              <w:t xml:space="preserve">总产生量为 </w:t>
            </w:r>
            <w:r>
              <w:rPr>
                <w:rFonts w:hint="eastAsia" w:cs="Times New Roman"/>
                <w:color w:val="000000" w:themeColor="text1"/>
                <w:kern w:val="2"/>
                <w:lang w:val="en-US" w:eastAsia="zh-CN"/>
              </w:rPr>
              <w:t>1.148</w:t>
            </w:r>
            <w:r>
              <w:rPr>
                <w:rFonts w:hint="eastAsia" w:cs="Times New Roman"/>
                <w:color w:val="000000" w:themeColor="text1"/>
                <w:kern w:val="2"/>
                <w:lang w:eastAsia="zh-CN"/>
              </w:rPr>
              <w:t>t/a。</w:t>
            </w:r>
          </w:p>
          <w:p w14:paraId="57E931DE">
            <w:pPr>
              <w:pStyle w:val="92"/>
              <w:spacing w:line="360" w:lineRule="auto"/>
              <w:ind w:firstLine="480" w:firstLineChars="200"/>
              <w:rPr>
                <w:rFonts w:hint="default" w:ascii="Times New Roman" w:hAnsi="Times New Roman" w:cs="Times New Roman"/>
                <w:color w:val="000000" w:themeColor="text1"/>
                <w:kern w:val="2"/>
                <w:sz w:val="24"/>
                <w:szCs w:val="24"/>
                <w:lang w:val="en-US" w:eastAsia="zh-CN"/>
              </w:rPr>
            </w:pPr>
            <w:r>
              <w:rPr>
                <w:rFonts w:hint="default" w:ascii="Times New Roman" w:hAnsi="Times New Roman" w:cs="Times New Roman"/>
                <w:color w:val="000000" w:themeColor="text1"/>
                <w:kern w:val="2"/>
                <w:sz w:val="24"/>
                <w:szCs w:val="24"/>
                <w:lang w:val="en-US" w:eastAsia="zh-CN"/>
              </w:rPr>
              <w:t>本项目拟设置2台浇筑设备和2台烘箱，设备均为密闭设备，浇筑工序产生的废气采用集气罩收集（收集效率90%）</w:t>
            </w:r>
            <w:r>
              <w:rPr>
                <w:rFonts w:hint="eastAsia" w:ascii="Times New Roman" w:hAnsi="Times New Roman" w:cs="Times New Roman"/>
                <w:color w:val="000000" w:themeColor="text1"/>
                <w:kern w:val="2"/>
                <w:sz w:val="24"/>
                <w:szCs w:val="24"/>
                <w:lang w:val="en-US" w:eastAsia="zh-CN"/>
              </w:rPr>
              <w:t>，固化工序产生的废气采用密封管道收集（收集效率98%），根据企业生产经验，浇注工序挥发比例占10%、固化工序挥发比例占90%。则浇注工序产生的有机废气量为0.115t/a，固化工序产生的有机废气量为1.033t/a。收集处理后的废气经由一套“干式过滤棉+二级活性炭”进行处理，处理后的废气经15m高排气筒DA001排放，废气处理效率约为90%。固化工序包含预固化、固化、降温等（设备提前设定温度和时长），其工作时间以24h/d（7200h/a）计。废气收集量为1.116t/a，收集处理后的排放量为0.112t/a，无组织排放量为0.032t/a。</w:t>
            </w:r>
          </w:p>
          <w:p w14:paraId="0FD4F809">
            <w:pPr>
              <w:pStyle w:val="92"/>
              <w:spacing w:line="360" w:lineRule="auto"/>
              <w:ind w:firstLine="480" w:firstLineChars="200"/>
              <w:rPr>
                <w:rFonts w:hint="eastAsia" w:ascii="Times New Roman" w:hAnsi="Times New Roman" w:cs="Times New Roman"/>
                <w:color w:val="000000" w:themeColor="text1"/>
                <w:kern w:val="2"/>
                <w:sz w:val="24"/>
                <w:szCs w:val="24"/>
                <w:lang w:val="en-US" w:eastAsia="zh-CN"/>
              </w:rPr>
            </w:pPr>
            <w:r>
              <w:rPr>
                <w:rFonts w:hint="eastAsia"/>
                <w:color w:val="000000" w:themeColor="text1"/>
                <w:sz w:val="24"/>
                <w:lang w:val="en-US" w:eastAsia="zh-CN"/>
              </w:rPr>
              <w:t>环氧树脂料</w:t>
            </w:r>
            <w:r>
              <w:rPr>
                <w:rFonts w:hint="eastAsia" w:ascii="Times New Roman" w:hAnsi="Times New Roman" w:cs="Times New Roman"/>
                <w:color w:val="000000" w:themeColor="text1"/>
                <w:kern w:val="2"/>
                <w:sz w:val="24"/>
                <w:szCs w:val="24"/>
                <w:lang w:val="en-US" w:eastAsia="zh-CN"/>
              </w:rPr>
              <w:t>VOCs平衡（不含脱模剂）见下图。</w:t>
            </w:r>
          </w:p>
          <w:p w14:paraId="3CAD6F9A">
            <w:pPr>
              <w:pStyle w:val="92"/>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color w:val="000000" w:themeColor="text1"/>
                <w:kern w:val="2"/>
                <w:sz w:val="24"/>
                <w:szCs w:val="24"/>
                <w:lang w:val="en-US" w:eastAsia="zh-CN"/>
              </w:rPr>
            </w:pPr>
            <w:r>
              <w:rPr>
                <w:color w:val="000000" w:themeColor="text1"/>
              </w:rPr>
              <w:pict>
                <v:shape id="_x0000_i1030" o:spt="75" type="#_x0000_t75" style="height:124.8pt;width:427.65pt;" filled="f" stroked="f" coordsize="21600,21600">
                  <v:path/>
                  <v:fill on="f" focussize="0,0"/>
                  <v:stroke on="f"/>
                  <v:imagedata r:id="rId14" o:title=""/>
                  <o:lock v:ext="edit" aspectratio="t"/>
                  <w10:wrap type="none"/>
                  <w10:anchorlock/>
                </v:shape>
              </w:pict>
            </w:r>
          </w:p>
          <w:p w14:paraId="62B65155">
            <w:pPr>
              <w:pStyle w:val="92"/>
              <w:spacing w:line="360" w:lineRule="auto"/>
              <w:jc w:val="center"/>
              <w:rPr>
                <w:rFonts w:hint="default" w:ascii="Times New Roman" w:hAnsi="Times New Roman" w:cs="Times New Roman"/>
                <w:b/>
                <w:bCs/>
                <w:color w:val="000000" w:themeColor="text1"/>
                <w:kern w:val="2"/>
                <w:sz w:val="24"/>
                <w:szCs w:val="24"/>
                <w:lang w:val="en-US" w:eastAsia="zh-CN"/>
              </w:rPr>
            </w:pPr>
            <w:r>
              <w:rPr>
                <w:rFonts w:hint="eastAsia" w:ascii="Times New Roman" w:hAnsi="Times New Roman" w:cs="Times New Roman"/>
                <w:b/>
                <w:bCs/>
                <w:color w:val="000000" w:themeColor="text1"/>
                <w:kern w:val="2"/>
                <w:sz w:val="24"/>
                <w:szCs w:val="24"/>
                <w:lang w:val="en-US" w:eastAsia="zh-CN"/>
              </w:rPr>
              <w:t>图4-1  环氧树脂料VOCs物料平衡 单位：t/a</w:t>
            </w:r>
          </w:p>
          <w:p w14:paraId="50C913B9">
            <w:pPr>
              <w:pStyle w:val="92"/>
              <w:spacing w:line="360" w:lineRule="auto"/>
              <w:ind w:firstLine="480" w:firstLineChars="200"/>
              <w:rPr>
                <w:rFonts w:hint="eastAsia" w:ascii="Times New Roman" w:hAnsi="Times New Roman" w:cs="Times New Roman"/>
                <w:color w:val="000000" w:themeColor="text1"/>
                <w:kern w:val="2"/>
                <w:sz w:val="24"/>
                <w:szCs w:val="24"/>
                <w:lang w:val="en-US" w:eastAsia="zh-CN"/>
              </w:rPr>
            </w:pPr>
            <w:r>
              <w:rPr>
                <w:rFonts w:hint="eastAsia" w:ascii="Times New Roman" w:hAnsi="Times New Roman" w:cs="Times New Roman"/>
                <w:color w:val="000000" w:themeColor="text1"/>
                <w:kern w:val="2"/>
                <w:sz w:val="24"/>
                <w:szCs w:val="24"/>
                <w:lang w:val="en-US" w:eastAsia="zh-CN"/>
              </w:rPr>
              <w:t>集气罩风量计算：</w:t>
            </w:r>
          </w:p>
          <w:p w14:paraId="3A4DE66E">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4"/>
                <w:lang w:val="en-US" w:eastAsia="zh-CN" w:bidi="ar"/>
              </w:rPr>
            </w:pPr>
            <w:r>
              <w:rPr>
                <w:rFonts w:hint="default" w:ascii="Times New Roman" w:hAnsi="Times New Roman" w:eastAsia="宋体" w:cs="Times New Roman"/>
                <w:color w:val="000000" w:themeColor="text1"/>
                <w:kern w:val="0"/>
                <w:sz w:val="24"/>
                <w:szCs w:val="24"/>
                <w:lang w:val="en-US" w:eastAsia="zh-CN" w:bidi="ar"/>
              </w:rPr>
              <w:t>本报告按照以下经验公式计算得出废气收集装置所需的风量L。</w:t>
            </w:r>
          </w:p>
          <w:p w14:paraId="38A44F1A">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center"/>
              <w:textAlignment w:val="auto"/>
              <w:rPr>
                <w:rFonts w:hint="default" w:ascii="Times New Roman" w:hAnsi="Times New Roman" w:eastAsia="宋体" w:cs="Times New Roman"/>
                <w:color w:val="000000" w:themeColor="text1"/>
                <w:kern w:val="0"/>
                <w:sz w:val="24"/>
                <w:szCs w:val="24"/>
                <w:lang w:val="en-US" w:eastAsia="zh-CN" w:bidi="ar"/>
              </w:rPr>
            </w:pPr>
            <w:r>
              <w:rPr>
                <w:rFonts w:hint="default" w:ascii="Times New Roman" w:hAnsi="Times New Roman" w:eastAsia="宋体" w:cs="Times New Roman"/>
                <w:color w:val="000000" w:themeColor="text1"/>
                <w:kern w:val="0"/>
                <w:sz w:val="24"/>
                <w:szCs w:val="24"/>
                <w:lang w:val="en-US" w:eastAsia="zh-CN" w:bidi="ar"/>
              </w:rPr>
              <w:t>L=3600（5X</w:t>
            </w:r>
            <w:r>
              <w:rPr>
                <w:rFonts w:hint="default" w:ascii="Times New Roman" w:hAnsi="Times New Roman" w:eastAsia="宋体" w:cs="Times New Roman"/>
                <w:color w:val="000000" w:themeColor="text1"/>
                <w:kern w:val="0"/>
                <w:sz w:val="24"/>
                <w:szCs w:val="24"/>
                <w:vertAlign w:val="superscript"/>
                <w:lang w:val="en-US" w:eastAsia="zh-CN" w:bidi="ar"/>
              </w:rPr>
              <w:t>2</w:t>
            </w:r>
            <w:r>
              <w:rPr>
                <w:rFonts w:hint="default" w:ascii="Times New Roman" w:hAnsi="Times New Roman" w:eastAsia="宋体" w:cs="Times New Roman"/>
                <w:color w:val="000000" w:themeColor="text1"/>
                <w:kern w:val="0"/>
                <w:sz w:val="24"/>
                <w:szCs w:val="24"/>
                <w:lang w:val="en-US" w:eastAsia="zh-CN" w:bidi="ar"/>
              </w:rPr>
              <w:t>+F）×Vx</w:t>
            </w:r>
          </w:p>
          <w:p w14:paraId="1EF12087">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4"/>
                <w:lang w:val="en-US" w:eastAsia="zh-CN" w:bidi="ar"/>
              </w:rPr>
            </w:pPr>
            <w:r>
              <w:rPr>
                <w:rFonts w:hint="default" w:ascii="Times New Roman" w:hAnsi="Times New Roman" w:eastAsia="宋体" w:cs="Times New Roman"/>
                <w:color w:val="000000" w:themeColor="text1"/>
                <w:kern w:val="0"/>
                <w:sz w:val="24"/>
                <w:szCs w:val="24"/>
                <w:lang w:val="en-US" w:eastAsia="zh-CN" w:bidi="ar"/>
              </w:rPr>
              <w:t>式中：X—集气罩至污染源的距离（取0.4m计）；</w:t>
            </w:r>
          </w:p>
          <w:p w14:paraId="5F8506DC">
            <w:pPr>
              <w:keepNext w:val="0"/>
              <w:keepLines w:val="0"/>
              <w:pageBreakBefore w:val="0"/>
              <w:widowControl/>
              <w:suppressLineNumbers w:val="0"/>
              <w:kinsoku/>
              <w:wordWrap/>
              <w:overflowPunct/>
              <w:topLinePunct w:val="0"/>
              <w:autoSpaceDE/>
              <w:autoSpaceDN/>
              <w:bidi w:val="0"/>
              <w:adjustRightInd/>
              <w:snapToGrid/>
              <w:spacing w:line="360" w:lineRule="auto"/>
              <w:ind w:left="630" w:leftChars="300" w:firstLine="480" w:firstLineChars="200"/>
              <w:jc w:val="both"/>
              <w:textAlignment w:val="auto"/>
              <w:rPr>
                <w:rFonts w:hint="default" w:ascii="Times New Roman" w:hAnsi="Times New Roman" w:eastAsia="宋体" w:cs="Times New Roman"/>
                <w:color w:val="000000" w:themeColor="text1"/>
                <w:kern w:val="0"/>
                <w:sz w:val="24"/>
                <w:szCs w:val="24"/>
                <w:lang w:val="en-US" w:eastAsia="zh-CN" w:bidi="ar"/>
              </w:rPr>
            </w:pPr>
            <w:r>
              <w:rPr>
                <w:rFonts w:hint="default" w:ascii="Times New Roman" w:hAnsi="Times New Roman" w:eastAsia="宋体" w:cs="Times New Roman"/>
                <w:color w:val="000000" w:themeColor="text1"/>
                <w:kern w:val="0"/>
                <w:sz w:val="24"/>
                <w:szCs w:val="24"/>
                <w:lang w:val="en-US" w:eastAsia="zh-CN" w:bidi="ar"/>
              </w:rPr>
              <w:t>F—集气罩罩口面积；</w:t>
            </w:r>
          </w:p>
          <w:p w14:paraId="0F7BA3D9">
            <w:pPr>
              <w:keepNext w:val="0"/>
              <w:keepLines w:val="0"/>
              <w:pageBreakBefore w:val="0"/>
              <w:widowControl/>
              <w:suppressLineNumbers w:val="0"/>
              <w:kinsoku/>
              <w:wordWrap/>
              <w:overflowPunct/>
              <w:topLinePunct w:val="0"/>
              <w:autoSpaceDE/>
              <w:autoSpaceDN/>
              <w:bidi w:val="0"/>
              <w:adjustRightInd/>
              <w:snapToGrid/>
              <w:spacing w:line="360" w:lineRule="auto"/>
              <w:ind w:left="630" w:leftChars="300" w:firstLine="480" w:firstLineChars="200"/>
              <w:jc w:val="both"/>
              <w:textAlignment w:val="auto"/>
              <w:rPr>
                <w:rFonts w:hint="default" w:ascii="Times New Roman" w:hAnsi="Times New Roman" w:eastAsia="宋体" w:cs="Times New Roman"/>
                <w:color w:val="000000" w:themeColor="text1"/>
                <w:kern w:val="0"/>
                <w:sz w:val="24"/>
                <w:szCs w:val="24"/>
                <w:lang w:val="en-US" w:eastAsia="zh-CN" w:bidi="ar"/>
              </w:rPr>
            </w:pPr>
            <w:r>
              <w:rPr>
                <w:rFonts w:hint="default" w:ascii="Times New Roman" w:hAnsi="Times New Roman" w:eastAsia="宋体" w:cs="Times New Roman"/>
                <w:color w:val="000000" w:themeColor="text1"/>
                <w:kern w:val="0"/>
                <w:sz w:val="24"/>
                <w:szCs w:val="24"/>
                <w:lang w:val="en-US" w:eastAsia="zh-CN" w:bidi="ar"/>
              </w:rPr>
              <w:t>Vx—控制风速（本项目取0.4m/s）。</w:t>
            </w:r>
          </w:p>
          <w:p w14:paraId="0AA7CB32">
            <w:pPr>
              <w:pStyle w:val="92"/>
              <w:spacing w:line="360" w:lineRule="auto"/>
              <w:ind w:firstLine="480" w:firstLineChars="200"/>
              <w:rPr>
                <w:rFonts w:hint="default" w:ascii="Times New Roman" w:hAnsi="Times New Roman" w:cs="Times New Roman"/>
                <w:color w:val="000000" w:themeColor="text1"/>
                <w:kern w:val="2"/>
                <w:sz w:val="24"/>
                <w:szCs w:val="24"/>
                <w:lang w:val="en-US" w:eastAsia="zh-CN"/>
              </w:rPr>
            </w:pPr>
            <w:r>
              <w:rPr>
                <w:rFonts w:hint="eastAsia" w:ascii="Times New Roman" w:hAnsi="Times New Roman" w:cs="Times New Roman"/>
                <w:color w:val="000000" w:themeColor="text1"/>
                <w:kern w:val="2"/>
                <w:sz w:val="24"/>
                <w:szCs w:val="24"/>
                <w:lang w:val="en-US" w:eastAsia="zh-CN"/>
              </w:rPr>
              <w:t>企业在2台真空浇筑设备上方分别设置1个2*2m的集气罩，则所需风量为2*6912=13824m</w:t>
            </w:r>
            <w:r>
              <w:rPr>
                <w:rFonts w:hint="eastAsia" w:ascii="Times New Roman" w:hAnsi="Times New Roman" w:cs="Times New Roman"/>
                <w:color w:val="000000" w:themeColor="text1"/>
                <w:kern w:val="2"/>
                <w:sz w:val="24"/>
                <w:szCs w:val="24"/>
                <w:vertAlign w:val="superscript"/>
                <w:lang w:val="en-US" w:eastAsia="zh-CN"/>
              </w:rPr>
              <w:t>3</w:t>
            </w:r>
            <w:r>
              <w:rPr>
                <w:rFonts w:hint="eastAsia" w:ascii="Times New Roman" w:hAnsi="Times New Roman" w:cs="Times New Roman"/>
                <w:color w:val="000000" w:themeColor="text1"/>
                <w:kern w:val="2"/>
                <w:sz w:val="24"/>
                <w:szCs w:val="24"/>
                <w:lang w:val="en-US" w:eastAsia="zh-CN"/>
              </w:rPr>
              <w:t>/h。</w:t>
            </w:r>
          </w:p>
          <w:p w14:paraId="7D86FB56">
            <w:pPr>
              <w:pStyle w:val="92"/>
              <w:spacing w:line="360" w:lineRule="auto"/>
              <w:ind w:firstLine="480" w:firstLineChars="200"/>
              <w:rPr>
                <w:rFonts w:hint="eastAsia" w:ascii="Times New Roman" w:hAnsi="Times New Roman" w:cs="Times New Roman"/>
                <w:color w:val="000000" w:themeColor="text1"/>
                <w:kern w:val="2"/>
                <w:sz w:val="24"/>
                <w:szCs w:val="24"/>
                <w:lang w:val="en-US" w:eastAsia="zh-CN"/>
              </w:rPr>
            </w:pPr>
            <w:r>
              <w:rPr>
                <w:rFonts w:hint="eastAsia" w:ascii="Times New Roman" w:hAnsi="Times New Roman" w:cs="Times New Roman"/>
                <w:color w:val="000000" w:themeColor="text1"/>
                <w:kern w:val="2"/>
                <w:sz w:val="24"/>
                <w:szCs w:val="24"/>
                <w:lang w:val="en-US" w:eastAsia="zh-CN"/>
              </w:rPr>
              <w:t>本项目烘箱设计密闭区域的体积为20m</w:t>
            </w:r>
            <w:r>
              <w:rPr>
                <w:rFonts w:hint="eastAsia" w:ascii="Times New Roman" w:hAnsi="Times New Roman" w:cs="Times New Roman"/>
                <w:color w:val="000000" w:themeColor="text1"/>
                <w:kern w:val="2"/>
                <w:sz w:val="24"/>
                <w:szCs w:val="24"/>
                <w:vertAlign w:val="superscript"/>
                <w:lang w:val="en-US" w:eastAsia="zh-CN"/>
              </w:rPr>
              <w:t>3</w:t>
            </w:r>
            <w:r>
              <w:rPr>
                <w:rFonts w:hint="eastAsia" w:ascii="Times New Roman" w:hAnsi="Times New Roman" w:cs="Times New Roman"/>
                <w:color w:val="000000" w:themeColor="text1"/>
                <w:kern w:val="2"/>
                <w:sz w:val="24"/>
                <w:szCs w:val="24"/>
                <w:lang w:val="en-US" w:eastAsia="zh-CN"/>
              </w:rPr>
              <w:t>（4m×2m×2.5m），设计换风次数为20次/小时，则单台干燥箱需要的风机风量为400m</w:t>
            </w:r>
            <w:r>
              <w:rPr>
                <w:rFonts w:hint="eastAsia" w:ascii="Times New Roman" w:hAnsi="Times New Roman" w:cs="Times New Roman"/>
                <w:color w:val="000000" w:themeColor="text1"/>
                <w:kern w:val="2"/>
                <w:sz w:val="24"/>
                <w:szCs w:val="24"/>
                <w:vertAlign w:val="superscript"/>
                <w:lang w:val="en-US" w:eastAsia="zh-CN"/>
              </w:rPr>
              <w:t>3</w:t>
            </w:r>
            <w:r>
              <w:rPr>
                <w:rFonts w:hint="eastAsia" w:ascii="Times New Roman" w:hAnsi="Times New Roman" w:cs="Times New Roman"/>
                <w:color w:val="000000" w:themeColor="text1"/>
                <w:kern w:val="2"/>
                <w:sz w:val="24"/>
                <w:szCs w:val="24"/>
                <w:lang w:val="en-US" w:eastAsia="zh-CN"/>
              </w:rPr>
              <w:t>/h，本项目共有2台干燥箱用于干燥工序，则干燥工序需要的总风量为800m</w:t>
            </w:r>
            <w:r>
              <w:rPr>
                <w:rFonts w:hint="eastAsia" w:ascii="Times New Roman" w:hAnsi="Times New Roman" w:cs="Times New Roman"/>
                <w:color w:val="000000" w:themeColor="text1"/>
                <w:kern w:val="2"/>
                <w:sz w:val="24"/>
                <w:szCs w:val="24"/>
                <w:vertAlign w:val="superscript"/>
                <w:lang w:val="en-US" w:eastAsia="zh-CN"/>
              </w:rPr>
              <w:t>3</w:t>
            </w:r>
            <w:r>
              <w:rPr>
                <w:rFonts w:hint="eastAsia" w:ascii="Times New Roman" w:hAnsi="Times New Roman" w:cs="Times New Roman"/>
                <w:color w:val="000000" w:themeColor="text1"/>
                <w:kern w:val="2"/>
                <w:sz w:val="24"/>
                <w:szCs w:val="24"/>
                <w:lang w:val="en-US" w:eastAsia="zh-CN"/>
              </w:rPr>
              <w:t>/h，则浇注干燥需要的总风量为14624m</w:t>
            </w:r>
            <w:r>
              <w:rPr>
                <w:rFonts w:hint="eastAsia" w:ascii="Times New Roman" w:hAnsi="Times New Roman" w:cs="Times New Roman"/>
                <w:color w:val="000000" w:themeColor="text1"/>
                <w:kern w:val="2"/>
                <w:sz w:val="24"/>
                <w:szCs w:val="24"/>
                <w:vertAlign w:val="superscript"/>
                <w:lang w:val="en-US" w:eastAsia="zh-CN"/>
              </w:rPr>
              <w:t>3</w:t>
            </w:r>
            <w:r>
              <w:rPr>
                <w:rFonts w:hint="eastAsia" w:ascii="Times New Roman" w:hAnsi="Times New Roman" w:cs="Times New Roman"/>
                <w:color w:val="000000" w:themeColor="text1"/>
                <w:kern w:val="2"/>
                <w:sz w:val="24"/>
                <w:szCs w:val="24"/>
                <w:lang w:val="en-US" w:eastAsia="zh-CN"/>
              </w:rPr>
              <w:t>/h。</w:t>
            </w:r>
          </w:p>
          <w:p w14:paraId="58B52B50">
            <w:pPr>
              <w:pStyle w:val="139"/>
              <w:numPr>
                <w:ilvl w:val="0"/>
                <w:numId w:val="3"/>
              </w:numPr>
              <w:ind w:firstLine="480"/>
              <w:rPr>
                <w:rFonts w:hint="eastAsia" w:cs="Times New Roman"/>
                <w:color w:val="000000" w:themeColor="text1"/>
                <w:kern w:val="2"/>
                <w:lang w:val="en-US" w:eastAsia="zh-CN"/>
              </w:rPr>
            </w:pPr>
            <w:r>
              <w:rPr>
                <w:rFonts w:hint="eastAsia" w:cs="Times New Roman"/>
                <w:color w:val="000000" w:themeColor="text1"/>
                <w:kern w:val="2"/>
                <w:lang w:val="en-US" w:eastAsia="zh-CN"/>
              </w:rPr>
              <w:t>变压器油储罐呼吸废气</w:t>
            </w:r>
          </w:p>
          <w:p w14:paraId="76812ED9">
            <w:pPr>
              <w:pStyle w:val="139"/>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cs="Times New Roman"/>
                <w:color w:val="000000" w:themeColor="text1"/>
                <w:kern w:val="2"/>
                <w:lang w:val="en-US" w:eastAsia="zh-CN"/>
              </w:rPr>
            </w:pPr>
            <w:r>
              <w:rPr>
                <w:rFonts w:hint="default" w:cs="Times New Roman"/>
                <w:color w:val="000000" w:themeColor="text1"/>
                <w:kern w:val="2"/>
                <w:lang w:val="en-US" w:eastAsia="zh-CN"/>
              </w:rPr>
              <w:t>油品在贮存过程中，可能由于大小呼吸等因素排放少量有机废气，油品挥发废气以非甲烷总烃计。</w:t>
            </w:r>
          </w:p>
          <w:p w14:paraId="20390637">
            <w:pPr>
              <w:pStyle w:val="139"/>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cs="Times New Roman"/>
                <w:color w:val="000000" w:themeColor="text1"/>
                <w:kern w:val="2"/>
                <w:lang w:val="en-US" w:eastAsia="zh-CN"/>
              </w:rPr>
            </w:pPr>
            <w:r>
              <w:rPr>
                <w:rFonts w:hint="default" w:cs="Times New Roman"/>
                <w:color w:val="000000" w:themeColor="text1"/>
                <w:kern w:val="2"/>
                <w:lang w:val="en-US" w:eastAsia="zh-CN"/>
              </w:rPr>
              <w:t>A.油罐大呼吸损失</w:t>
            </w:r>
          </w:p>
          <w:p w14:paraId="7790A643">
            <w:pPr>
              <w:pStyle w:val="139"/>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cs="Times New Roman"/>
                <w:color w:val="000000" w:themeColor="text1"/>
                <w:kern w:val="2"/>
                <w:lang w:val="en-US" w:eastAsia="zh-CN"/>
              </w:rPr>
            </w:pPr>
            <w:r>
              <w:rPr>
                <w:rFonts w:hint="default" w:cs="Times New Roman"/>
                <w:color w:val="000000" w:themeColor="text1"/>
                <w:kern w:val="2"/>
                <w:lang w:val="en-US" w:eastAsia="zh-CN"/>
              </w:rPr>
              <w:t>一是指油罐进发油时的呼吸。油罐进油时，由于油面逐渐升高，气体空间逐渐减少，罐内压力增大，当压力超过呼吸阀控制压力时，一定浓度油蒸汽开始从呼吸阀呼出，直到油罐停止放油，所呼出的油蒸汽造成油品蒸发的损失。二是油罐向外发油时，由于油面不断降低，气体空间逐渐增大，罐内压力减少，当压力小于呼吸阀控制真空度时，油罐开始吸入新鲜空气，由于油面上方空间油气没有达到饱和，促使油品蒸发加速，使其重新达到饱和，罐内压力再次上升，造成部分油蒸汽从呼吸阀呼出。</w:t>
            </w:r>
          </w:p>
          <w:p w14:paraId="63A4AB49">
            <w:pPr>
              <w:pStyle w:val="139"/>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cs="Times New Roman"/>
                <w:color w:val="000000" w:themeColor="text1"/>
                <w:kern w:val="2"/>
                <w:lang w:val="en-US" w:eastAsia="zh-CN"/>
              </w:rPr>
            </w:pPr>
            <w:r>
              <w:rPr>
                <w:rFonts w:hint="default" w:cs="Times New Roman"/>
                <w:color w:val="000000" w:themeColor="text1"/>
                <w:kern w:val="2"/>
                <w:lang w:val="en-US" w:eastAsia="zh-CN"/>
              </w:rPr>
              <w:t>参照《社会区域类环境影响评价》（环境保护部环境影响评价工程师职业资格等级管理办公室编）中加油站（加气站）污染源分析，当储油罐装料时停留在罐内的烃类气体被液体置换，通过排气孔进入大气，称为储油罐装料损失，烃类排放率为0.88kg/m</w:t>
            </w:r>
            <w:r>
              <w:rPr>
                <w:rFonts w:hint="default" w:cs="Times New Roman"/>
                <w:color w:val="000000" w:themeColor="text1"/>
                <w:kern w:val="2"/>
                <w:vertAlign w:val="superscript"/>
                <w:lang w:val="en-US" w:eastAsia="zh-CN"/>
              </w:rPr>
              <w:t>3</w:t>
            </w:r>
            <w:r>
              <w:rPr>
                <w:rFonts w:hint="default" w:cs="Times New Roman"/>
                <w:color w:val="000000" w:themeColor="text1"/>
                <w:kern w:val="2"/>
                <w:lang w:val="en-US" w:eastAsia="zh-CN"/>
              </w:rPr>
              <w:t>通过量。</w:t>
            </w:r>
          </w:p>
          <w:p w14:paraId="1A611290">
            <w:pPr>
              <w:pStyle w:val="139"/>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cs="Times New Roman"/>
                <w:color w:val="000000" w:themeColor="text1"/>
                <w:kern w:val="2"/>
                <w:lang w:val="en-US" w:eastAsia="zh-CN"/>
              </w:rPr>
            </w:pPr>
            <w:r>
              <w:rPr>
                <w:rFonts w:hint="default" w:cs="Times New Roman"/>
                <w:color w:val="000000" w:themeColor="text1"/>
                <w:kern w:val="2"/>
                <w:lang w:val="en-US" w:eastAsia="zh-CN"/>
              </w:rPr>
              <w:t>B.油罐小呼吸损失</w:t>
            </w:r>
          </w:p>
          <w:p w14:paraId="1DCD664F">
            <w:pPr>
              <w:pStyle w:val="139"/>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cs="Times New Roman"/>
                <w:color w:val="000000" w:themeColor="text1"/>
                <w:kern w:val="2"/>
                <w:lang w:val="en-US" w:eastAsia="zh-CN"/>
              </w:rPr>
            </w:pPr>
            <w:r>
              <w:rPr>
                <w:rFonts w:hint="default" w:cs="Times New Roman"/>
                <w:color w:val="000000" w:themeColor="text1"/>
                <w:kern w:val="2"/>
                <w:lang w:val="en-US" w:eastAsia="zh-CN"/>
              </w:rPr>
              <w:t>油罐在没有收发油作业的情况下，随着外界气温和压力在一天内的升降周期变化，罐内气体空间温度、油品蒸发速度、油气浓度和蒸汽压力也随之变化。这种排出油蒸汽和吸入空气的过程造成的油气损失，叫小呼吸损失。</w:t>
            </w:r>
          </w:p>
          <w:p w14:paraId="2786650A">
            <w:pPr>
              <w:pStyle w:val="139"/>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cs="Times New Roman"/>
                <w:color w:val="000000" w:themeColor="text1"/>
                <w:kern w:val="2"/>
                <w:lang w:val="en-US" w:eastAsia="zh-CN"/>
              </w:rPr>
            </w:pPr>
            <w:r>
              <w:rPr>
                <w:rFonts w:hint="default" w:cs="Times New Roman"/>
                <w:color w:val="000000" w:themeColor="text1"/>
                <w:kern w:val="2"/>
                <w:lang w:val="en-US" w:eastAsia="zh-CN"/>
              </w:rPr>
              <w:t>参照《社会区域类环境影响评价》（环境保护部环境影响评价工程师职业资格等级管理办公室编）中加油站（加气站）污染源分析，储油罐在装卸料时或静置时，由于环境温度的变化和罐内压力的变化，使得罐内逸出的烃类气体通过罐顶的呼吸阀排入大气，这种现象称为储油罐呼吸，它造成的烃类有机物平均排放率为 0.12kg/m</w:t>
            </w:r>
            <w:r>
              <w:rPr>
                <w:rFonts w:hint="default" w:cs="Times New Roman"/>
                <w:color w:val="000000" w:themeColor="text1"/>
                <w:kern w:val="2"/>
                <w:vertAlign w:val="superscript"/>
                <w:lang w:val="en-US" w:eastAsia="zh-CN"/>
              </w:rPr>
              <w:t>3</w:t>
            </w:r>
            <w:r>
              <w:rPr>
                <w:rFonts w:hint="default" w:cs="Times New Roman"/>
                <w:color w:val="000000" w:themeColor="text1"/>
                <w:kern w:val="2"/>
                <w:lang w:val="en-US" w:eastAsia="zh-CN"/>
              </w:rPr>
              <w:t>通过量。</w:t>
            </w:r>
          </w:p>
          <w:p w14:paraId="03320DAA">
            <w:pPr>
              <w:pStyle w:val="139"/>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cs="Times New Roman"/>
                <w:color w:val="000000" w:themeColor="text1"/>
                <w:kern w:val="2"/>
                <w:lang w:val="en-US" w:eastAsia="zh-CN"/>
              </w:rPr>
            </w:pPr>
            <w:r>
              <w:rPr>
                <w:rFonts w:hint="default" w:cs="Times New Roman"/>
                <w:color w:val="000000" w:themeColor="text1"/>
                <w:kern w:val="2"/>
                <w:lang w:val="en-US" w:eastAsia="zh-CN"/>
              </w:rPr>
              <w:t>本项目变压器储油罐区油品年用量</w:t>
            </w:r>
            <w:r>
              <w:rPr>
                <w:rFonts w:hint="eastAsia" w:cs="Times New Roman"/>
                <w:color w:val="000000" w:themeColor="text1"/>
                <w:kern w:val="2"/>
                <w:lang w:val="en-US" w:eastAsia="zh-CN"/>
              </w:rPr>
              <w:t>52t</w:t>
            </w:r>
            <w:r>
              <w:rPr>
                <w:rFonts w:hint="default" w:cs="Times New Roman"/>
                <w:color w:val="000000" w:themeColor="text1"/>
                <w:kern w:val="2"/>
                <w:lang w:val="en-US" w:eastAsia="zh-CN"/>
              </w:rPr>
              <w:t>，变压器油相对密度为0.8</w:t>
            </w:r>
            <w:r>
              <w:rPr>
                <w:rFonts w:hint="eastAsia" w:cs="Times New Roman"/>
                <w:color w:val="000000" w:themeColor="text1"/>
                <w:kern w:val="2"/>
                <w:lang w:val="en-US" w:eastAsia="zh-CN"/>
              </w:rPr>
              <w:t>96</w:t>
            </w:r>
            <w:r>
              <w:rPr>
                <w:rFonts w:hint="default" w:cs="Times New Roman"/>
                <w:color w:val="000000" w:themeColor="text1"/>
                <w:kern w:val="2"/>
                <w:lang w:val="en-US" w:eastAsia="zh-CN"/>
              </w:rPr>
              <w:t>g/cm</w:t>
            </w:r>
            <w:r>
              <w:rPr>
                <w:rFonts w:hint="default" w:cs="Times New Roman"/>
                <w:color w:val="000000" w:themeColor="text1"/>
                <w:kern w:val="2"/>
                <w:vertAlign w:val="superscript"/>
                <w:lang w:val="en-US" w:eastAsia="zh-CN"/>
              </w:rPr>
              <w:t>3</w:t>
            </w:r>
            <w:r>
              <w:rPr>
                <w:rFonts w:hint="eastAsia" w:cs="Times New Roman"/>
                <w:color w:val="000000" w:themeColor="text1"/>
                <w:kern w:val="2"/>
                <w:lang w:val="en-US" w:eastAsia="zh-CN"/>
              </w:rPr>
              <w:t>，</w:t>
            </w:r>
            <w:r>
              <w:rPr>
                <w:rFonts w:hint="default" w:cs="Times New Roman"/>
                <w:color w:val="000000" w:themeColor="text1"/>
                <w:kern w:val="2"/>
                <w:lang w:val="en-US" w:eastAsia="zh-CN"/>
              </w:rPr>
              <w:t>计算可知，项目运营后</w:t>
            </w:r>
            <w:r>
              <w:rPr>
                <w:rFonts w:hint="eastAsia" w:cs="Times New Roman"/>
                <w:color w:val="000000" w:themeColor="text1"/>
                <w:kern w:val="2"/>
                <w:lang w:val="en-US" w:eastAsia="zh-CN"/>
              </w:rPr>
              <w:t>变压器油</w:t>
            </w:r>
            <w:r>
              <w:rPr>
                <w:rFonts w:hint="default" w:cs="Times New Roman"/>
                <w:color w:val="000000" w:themeColor="text1"/>
                <w:kern w:val="2"/>
                <w:lang w:val="en-US" w:eastAsia="zh-CN"/>
              </w:rPr>
              <w:t>年通过量为</w:t>
            </w:r>
            <w:r>
              <w:rPr>
                <w:rFonts w:hint="eastAsia" w:cs="Times New Roman"/>
                <w:color w:val="000000" w:themeColor="text1"/>
                <w:kern w:val="2"/>
                <w:lang w:val="en-US" w:eastAsia="zh-CN"/>
              </w:rPr>
              <w:t>58</w:t>
            </w:r>
            <w:r>
              <w:rPr>
                <w:rFonts w:hint="default" w:cs="Times New Roman"/>
                <w:color w:val="000000" w:themeColor="text1"/>
                <w:kern w:val="2"/>
                <w:lang w:val="en-US" w:eastAsia="zh-CN"/>
              </w:rPr>
              <w:t>m</w:t>
            </w:r>
            <w:r>
              <w:rPr>
                <w:rFonts w:hint="default" w:cs="Times New Roman"/>
                <w:color w:val="000000" w:themeColor="text1"/>
                <w:kern w:val="2"/>
                <w:vertAlign w:val="superscript"/>
                <w:lang w:val="en-US" w:eastAsia="zh-CN"/>
              </w:rPr>
              <w:t>3</w:t>
            </w:r>
            <w:r>
              <w:rPr>
                <w:rFonts w:hint="default" w:cs="Times New Roman"/>
                <w:color w:val="000000" w:themeColor="text1"/>
                <w:kern w:val="2"/>
                <w:lang w:val="en-US" w:eastAsia="zh-CN"/>
              </w:rPr>
              <w:t>/a</w:t>
            </w:r>
            <w:r>
              <w:rPr>
                <w:rFonts w:hint="eastAsia" w:cs="Times New Roman"/>
                <w:color w:val="000000" w:themeColor="text1"/>
                <w:kern w:val="2"/>
                <w:lang w:val="en-US" w:eastAsia="zh-CN"/>
              </w:rPr>
              <w:t>，储罐呼吸作业时间以7200h计</w:t>
            </w:r>
            <w:r>
              <w:rPr>
                <w:rFonts w:hint="default" w:cs="Times New Roman"/>
                <w:color w:val="000000" w:themeColor="text1"/>
                <w:kern w:val="2"/>
                <w:lang w:val="en-US" w:eastAsia="zh-CN"/>
              </w:rPr>
              <w:t>。则项目</w:t>
            </w:r>
            <w:r>
              <w:rPr>
                <w:rFonts w:hint="eastAsia" w:cs="Times New Roman"/>
                <w:color w:val="000000" w:themeColor="text1"/>
                <w:kern w:val="2"/>
                <w:lang w:val="en-US" w:eastAsia="zh-CN"/>
              </w:rPr>
              <w:t>储罐呼吸废气</w:t>
            </w:r>
            <w:r>
              <w:rPr>
                <w:rFonts w:hint="default" w:cs="Times New Roman"/>
                <w:color w:val="000000" w:themeColor="text1"/>
                <w:kern w:val="2"/>
                <w:lang w:val="en-US" w:eastAsia="zh-CN"/>
              </w:rPr>
              <w:t>产排情况详见下表。</w:t>
            </w:r>
          </w:p>
          <w:p w14:paraId="7FD036D5">
            <w:pPr>
              <w:pStyle w:val="139"/>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cs="Times New Roman"/>
                <w:b/>
                <w:bCs/>
                <w:color w:val="000000" w:themeColor="text1"/>
                <w:kern w:val="2"/>
                <w:lang w:val="en-US" w:eastAsia="zh-CN"/>
              </w:rPr>
            </w:pPr>
            <w:r>
              <w:rPr>
                <w:rFonts w:hint="eastAsia" w:cs="Times New Roman"/>
                <w:b/>
                <w:bCs/>
                <w:color w:val="000000" w:themeColor="text1"/>
                <w:kern w:val="2"/>
                <w:lang w:val="en-US" w:eastAsia="zh-CN"/>
              </w:rPr>
              <w:t>表4-1  储罐呼吸废气产排污情况一览表</w:t>
            </w:r>
          </w:p>
          <w:tbl>
            <w:tblPr>
              <w:tblStyle w:val="3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3"/>
              <w:gridCol w:w="1276"/>
              <w:gridCol w:w="840"/>
              <w:gridCol w:w="1202"/>
              <w:gridCol w:w="1296"/>
              <w:gridCol w:w="653"/>
              <w:gridCol w:w="1202"/>
              <w:gridCol w:w="1297"/>
            </w:tblGrid>
            <w:tr w14:paraId="5ABBB8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1" w:type="pct"/>
                  <w:vAlign w:val="center"/>
                </w:tcPr>
                <w:p w14:paraId="4D22F45A">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项目</w:t>
                  </w:r>
                </w:p>
              </w:tc>
              <w:tc>
                <w:tcPr>
                  <w:tcW w:w="750" w:type="pct"/>
                  <w:vAlign w:val="center"/>
                </w:tcPr>
                <w:p w14:paraId="1474D2A4">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产生系数通过量kg/m</w:t>
                  </w:r>
                  <w:r>
                    <w:rPr>
                      <w:rFonts w:hint="eastAsia" w:ascii="Times New Roman" w:hAnsi="Times New Roman" w:eastAsia="宋体" w:cs="Times New Roman"/>
                      <w:color w:val="000000" w:themeColor="text1"/>
                      <w:spacing w:val="0"/>
                      <w:position w:val="0"/>
                      <w:sz w:val="21"/>
                      <w:szCs w:val="21"/>
                      <w:vertAlign w:val="superscript"/>
                      <w:lang w:val="en-US" w:eastAsia="zh-CN"/>
                    </w:rPr>
                    <w:t>3</w:t>
                  </w:r>
                </w:p>
              </w:tc>
              <w:tc>
                <w:tcPr>
                  <w:tcW w:w="493" w:type="pct"/>
                  <w:vAlign w:val="center"/>
                </w:tcPr>
                <w:p w14:paraId="7EA436A6">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通过量m</w:t>
                  </w:r>
                  <w:r>
                    <w:rPr>
                      <w:rFonts w:hint="eastAsia" w:ascii="Times New Roman" w:hAnsi="Times New Roman" w:eastAsia="宋体" w:cs="Times New Roman"/>
                      <w:color w:val="000000" w:themeColor="text1"/>
                      <w:spacing w:val="0"/>
                      <w:position w:val="0"/>
                      <w:sz w:val="21"/>
                      <w:szCs w:val="21"/>
                      <w:vertAlign w:val="superscript"/>
                      <w:lang w:val="en-US" w:eastAsia="zh-CN"/>
                    </w:rPr>
                    <w:t>3</w:t>
                  </w:r>
                  <w:r>
                    <w:rPr>
                      <w:rFonts w:hint="eastAsia" w:ascii="Times New Roman" w:hAnsi="Times New Roman" w:eastAsia="宋体" w:cs="Times New Roman"/>
                      <w:color w:val="000000" w:themeColor="text1"/>
                      <w:spacing w:val="0"/>
                      <w:position w:val="0"/>
                      <w:sz w:val="21"/>
                      <w:szCs w:val="21"/>
                      <w:lang w:val="en-US" w:eastAsia="zh-CN"/>
                    </w:rPr>
                    <w:t>/a</w:t>
                  </w:r>
                </w:p>
              </w:tc>
              <w:tc>
                <w:tcPr>
                  <w:tcW w:w="707" w:type="pct"/>
                  <w:vAlign w:val="center"/>
                </w:tcPr>
                <w:p w14:paraId="19BD6F57">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产生量（kg/a）</w:t>
                  </w:r>
                </w:p>
              </w:tc>
              <w:tc>
                <w:tcPr>
                  <w:tcW w:w="762" w:type="pct"/>
                  <w:vAlign w:val="center"/>
                </w:tcPr>
                <w:p w14:paraId="78610E75">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产生速率（kg/h）</w:t>
                  </w:r>
                </w:p>
              </w:tc>
              <w:tc>
                <w:tcPr>
                  <w:tcW w:w="384" w:type="pct"/>
                  <w:vAlign w:val="center"/>
                </w:tcPr>
                <w:p w14:paraId="742E7CF4">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治理措施</w:t>
                  </w:r>
                </w:p>
              </w:tc>
              <w:tc>
                <w:tcPr>
                  <w:tcW w:w="707" w:type="pct"/>
                  <w:vAlign w:val="center"/>
                </w:tcPr>
                <w:p w14:paraId="1695D252">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排放量（kg/a）</w:t>
                  </w:r>
                </w:p>
              </w:tc>
              <w:tc>
                <w:tcPr>
                  <w:tcW w:w="762" w:type="pct"/>
                  <w:vAlign w:val="center"/>
                </w:tcPr>
                <w:p w14:paraId="531253D5">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排放速率（kg/h）</w:t>
                  </w:r>
                </w:p>
              </w:tc>
            </w:tr>
            <w:tr w14:paraId="4EBAF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1" w:type="pct"/>
                  <w:vAlign w:val="center"/>
                </w:tcPr>
                <w:p w14:paraId="5B0DD789">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大呼吸损失</w:t>
                  </w:r>
                </w:p>
              </w:tc>
              <w:tc>
                <w:tcPr>
                  <w:tcW w:w="750" w:type="pct"/>
                  <w:vAlign w:val="center"/>
                </w:tcPr>
                <w:p w14:paraId="569DE9B0">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0.88</w:t>
                  </w:r>
                </w:p>
              </w:tc>
              <w:tc>
                <w:tcPr>
                  <w:tcW w:w="493" w:type="pct"/>
                  <w:vMerge w:val="restart"/>
                  <w:vAlign w:val="center"/>
                </w:tcPr>
                <w:p w14:paraId="1CB9BCEA">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58</w:t>
                  </w:r>
                </w:p>
              </w:tc>
              <w:tc>
                <w:tcPr>
                  <w:tcW w:w="707" w:type="pct"/>
                  <w:vAlign w:val="center"/>
                </w:tcPr>
                <w:p w14:paraId="4DDEF261">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51.04</w:t>
                  </w:r>
                </w:p>
              </w:tc>
              <w:tc>
                <w:tcPr>
                  <w:tcW w:w="762" w:type="pct"/>
                  <w:vAlign w:val="center"/>
                </w:tcPr>
                <w:p w14:paraId="7B8FE292">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0.007</w:t>
                  </w:r>
                </w:p>
              </w:tc>
              <w:tc>
                <w:tcPr>
                  <w:tcW w:w="384" w:type="pct"/>
                  <w:vAlign w:val="center"/>
                </w:tcPr>
                <w:p w14:paraId="17C6FB26">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w:t>
                  </w:r>
                </w:p>
              </w:tc>
              <w:tc>
                <w:tcPr>
                  <w:tcW w:w="707" w:type="pct"/>
                  <w:vAlign w:val="center"/>
                </w:tcPr>
                <w:p w14:paraId="2542CB46">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51.04</w:t>
                  </w:r>
                </w:p>
              </w:tc>
              <w:tc>
                <w:tcPr>
                  <w:tcW w:w="762" w:type="pct"/>
                  <w:vAlign w:val="center"/>
                </w:tcPr>
                <w:p w14:paraId="1042A88A">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0.007</w:t>
                  </w:r>
                </w:p>
              </w:tc>
            </w:tr>
            <w:tr w14:paraId="08AFD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1" w:type="pct"/>
                  <w:vAlign w:val="center"/>
                </w:tcPr>
                <w:p w14:paraId="568C2631">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小呼吸损失</w:t>
                  </w:r>
                </w:p>
              </w:tc>
              <w:tc>
                <w:tcPr>
                  <w:tcW w:w="750" w:type="pct"/>
                  <w:vAlign w:val="center"/>
                </w:tcPr>
                <w:p w14:paraId="149E58D7">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0.12</w:t>
                  </w:r>
                </w:p>
              </w:tc>
              <w:tc>
                <w:tcPr>
                  <w:tcW w:w="493" w:type="pct"/>
                  <w:vMerge w:val="continue"/>
                  <w:vAlign w:val="center"/>
                </w:tcPr>
                <w:p w14:paraId="422A7BFF">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p>
              </w:tc>
              <w:tc>
                <w:tcPr>
                  <w:tcW w:w="707" w:type="pct"/>
                  <w:vAlign w:val="center"/>
                </w:tcPr>
                <w:p w14:paraId="5F6C60F2">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6.96</w:t>
                  </w:r>
                </w:p>
              </w:tc>
              <w:tc>
                <w:tcPr>
                  <w:tcW w:w="762" w:type="pct"/>
                  <w:vAlign w:val="center"/>
                </w:tcPr>
                <w:p w14:paraId="2FD64DFE">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0.001</w:t>
                  </w:r>
                </w:p>
              </w:tc>
              <w:tc>
                <w:tcPr>
                  <w:tcW w:w="384" w:type="pct"/>
                  <w:vAlign w:val="center"/>
                </w:tcPr>
                <w:p w14:paraId="37100BFD">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w:t>
                  </w:r>
                </w:p>
              </w:tc>
              <w:tc>
                <w:tcPr>
                  <w:tcW w:w="707" w:type="pct"/>
                  <w:vAlign w:val="center"/>
                </w:tcPr>
                <w:p w14:paraId="67A12C58">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6.96</w:t>
                  </w:r>
                </w:p>
              </w:tc>
              <w:tc>
                <w:tcPr>
                  <w:tcW w:w="762" w:type="pct"/>
                  <w:vAlign w:val="center"/>
                </w:tcPr>
                <w:p w14:paraId="1FDE0543">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0.001</w:t>
                  </w:r>
                </w:p>
              </w:tc>
            </w:tr>
            <w:tr w14:paraId="7FB8B2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5" w:type="pct"/>
                  <w:gridSpan w:val="3"/>
                  <w:vAlign w:val="center"/>
                </w:tcPr>
                <w:p w14:paraId="4F497C48">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合计</w:t>
                  </w:r>
                </w:p>
              </w:tc>
              <w:tc>
                <w:tcPr>
                  <w:tcW w:w="707" w:type="pct"/>
                  <w:vAlign w:val="center"/>
                </w:tcPr>
                <w:p w14:paraId="243BFC7C">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58</w:t>
                  </w:r>
                </w:p>
              </w:tc>
              <w:tc>
                <w:tcPr>
                  <w:tcW w:w="762" w:type="pct"/>
                  <w:vAlign w:val="center"/>
                </w:tcPr>
                <w:p w14:paraId="3470693C">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0.008</w:t>
                  </w:r>
                </w:p>
              </w:tc>
              <w:tc>
                <w:tcPr>
                  <w:tcW w:w="384" w:type="pct"/>
                  <w:vAlign w:val="center"/>
                </w:tcPr>
                <w:p w14:paraId="1D907FAF">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w:t>
                  </w:r>
                </w:p>
              </w:tc>
              <w:tc>
                <w:tcPr>
                  <w:tcW w:w="707" w:type="pct"/>
                  <w:vAlign w:val="center"/>
                </w:tcPr>
                <w:p w14:paraId="0163D78B">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58</w:t>
                  </w:r>
                </w:p>
              </w:tc>
              <w:tc>
                <w:tcPr>
                  <w:tcW w:w="762" w:type="pct"/>
                  <w:vAlign w:val="center"/>
                </w:tcPr>
                <w:p w14:paraId="6ED16FE8">
                  <w:pPr>
                    <w:pStyle w:val="125"/>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pacing w:val="0"/>
                      <w:position w:val="0"/>
                      <w:sz w:val="21"/>
                      <w:szCs w:val="21"/>
                      <w:lang w:val="en-US" w:eastAsia="zh-CN"/>
                    </w:rPr>
                  </w:pPr>
                  <w:r>
                    <w:rPr>
                      <w:rFonts w:hint="eastAsia" w:ascii="Times New Roman" w:hAnsi="Times New Roman" w:eastAsia="宋体" w:cs="Times New Roman"/>
                      <w:color w:val="000000" w:themeColor="text1"/>
                      <w:spacing w:val="0"/>
                      <w:position w:val="0"/>
                      <w:sz w:val="21"/>
                      <w:szCs w:val="21"/>
                      <w:lang w:val="en-US" w:eastAsia="zh-CN"/>
                    </w:rPr>
                    <w:t>0.008</w:t>
                  </w:r>
                </w:p>
              </w:tc>
            </w:tr>
          </w:tbl>
          <w:p w14:paraId="007E4408">
            <w:pPr>
              <w:pStyle w:val="139"/>
              <w:ind w:firstLine="480"/>
              <w:rPr>
                <w:rFonts w:hint="default" w:ascii="Times New Roman" w:hAnsi="Times New Roman" w:eastAsia="宋体" w:cs="Times New Roman"/>
                <w:color w:val="000000" w:themeColor="text1"/>
                <w:kern w:val="2"/>
                <w:lang w:val="en-US" w:eastAsia="zh-CN"/>
              </w:rPr>
            </w:pPr>
            <w:r>
              <w:rPr>
                <w:rFonts w:hint="default" w:ascii="Times New Roman" w:hAnsi="Times New Roman" w:cs="Times New Roman"/>
                <w:color w:val="000000" w:themeColor="text1"/>
                <w:kern w:val="2"/>
              </w:rPr>
              <w:t>由上表可知，本项目非甲烷总烃产生量约</w:t>
            </w:r>
            <w:r>
              <w:rPr>
                <w:rFonts w:hint="eastAsia" w:cs="Times New Roman"/>
                <w:color w:val="000000" w:themeColor="text1"/>
                <w:kern w:val="2"/>
                <w:lang w:val="en-US" w:eastAsia="zh-CN"/>
              </w:rPr>
              <w:t>58</w:t>
            </w:r>
            <w:r>
              <w:rPr>
                <w:rFonts w:hint="default" w:ascii="Times New Roman" w:hAnsi="Times New Roman" w:cs="Times New Roman"/>
                <w:color w:val="000000" w:themeColor="text1"/>
                <w:kern w:val="2"/>
              </w:rPr>
              <w:t>kg/a（0.</w:t>
            </w:r>
            <w:r>
              <w:rPr>
                <w:rFonts w:hint="eastAsia" w:cs="Times New Roman"/>
                <w:color w:val="000000" w:themeColor="text1"/>
                <w:kern w:val="2"/>
                <w:lang w:val="en-US" w:eastAsia="zh-CN"/>
              </w:rPr>
              <w:t>058</w:t>
            </w:r>
            <w:r>
              <w:rPr>
                <w:rFonts w:hint="default" w:ascii="Times New Roman" w:hAnsi="Times New Roman" w:cs="Times New Roman"/>
                <w:color w:val="000000" w:themeColor="text1"/>
                <w:kern w:val="2"/>
              </w:rPr>
              <w:t>t/a），</w:t>
            </w:r>
            <w:r>
              <w:rPr>
                <w:rFonts w:hint="eastAsia" w:cs="Times New Roman"/>
                <w:color w:val="000000" w:themeColor="text1"/>
                <w:kern w:val="2"/>
                <w:lang w:val="en-US" w:eastAsia="zh-CN"/>
              </w:rPr>
              <w:t>在储罐上方设置集气罩进行废气收集，收集后的废气引至“干式过滤棉+二级活性炭”进行处理，废气收集效率为90%，处理效率为90%。经收集的废气量为0.052t/a，处理后排放量为0.005t/a，无组织废气排放量为0.006t/a。</w:t>
            </w:r>
          </w:p>
          <w:p w14:paraId="7BEA5E43">
            <w:pPr>
              <w:pStyle w:val="92"/>
              <w:spacing w:line="360" w:lineRule="auto"/>
              <w:ind w:firstLine="480" w:firstLineChars="200"/>
              <w:rPr>
                <w:rFonts w:hint="default" w:ascii="Times New Roman" w:hAnsi="Times New Roman" w:cs="Times New Roman"/>
                <w:color w:val="000000" w:themeColor="text1"/>
                <w:kern w:val="2"/>
                <w:sz w:val="24"/>
                <w:szCs w:val="24"/>
                <w:lang w:val="en-US" w:eastAsia="zh-CN"/>
              </w:rPr>
            </w:pPr>
            <w:r>
              <w:rPr>
                <w:rFonts w:hint="eastAsia" w:ascii="Times New Roman" w:hAnsi="Times New Roman" w:cs="Times New Roman"/>
                <w:color w:val="000000" w:themeColor="text1"/>
                <w:kern w:val="2"/>
                <w:sz w:val="24"/>
                <w:szCs w:val="24"/>
                <w:lang w:val="en-US" w:eastAsia="zh-CN"/>
              </w:rPr>
              <w:t>集气罩风量计算：根据上述风量计算公式，企业在油罐上方设置1个1.5*1.2m的集气罩，则所需风量为3744m</w:t>
            </w:r>
            <w:r>
              <w:rPr>
                <w:rFonts w:hint="eastAsia" w:ascii="Times New Roman" w:hAnsi="Times New Roman" w:cs="Times New Roman"/>
                <w:color w:val="000000" w:themeColor="text1"/>
                <w:kern w:val="2"/>
                <w:sz w:val="24"/>
                <w:szCs w:val="24"/>
                <w:vertAlign w:val="superscript"/>
                <w:lang w:val="en-US" w:eastAsia="zh-CN"/>
              </w:rPr>
              <w:t>3</w:t>
            </w:r>
            <w:r>
              <w:rPr>
                <w:rFonts w:hint="eastAsia" w:ascii="Times New Roman" w:hAnsi="Times New Roman" w:cs="Times New Roman"/>
                <w:color w:val="000000" w:themeColor="text1"/>
                <w:kern w:val="2"/>
                <w:sz w:val="24"/>
                <w:szCs w:val="24"/>
                <w:lang w:val="en-US" w:eastAsia="zh-CN"/>
              </w:rPr>
              <w:t>/h。综上所述，企业设计风机风量总计为14624+3744=18368m</w:t>
            </w:r>
            <w:r>
              <w:rPr>
                <w:rFonts w:hint="eastAsia" w:ascii="Times New Roman" w:hAnsi="Times New Roman" w:cs="Times New Roman"/>
                <w:color w:val="000000" w:themeColor="text1"/>
                <w:kern w:val="2"/>
                <w:sz w:val="24"/>
                <w:szCs w:val="24"/>
                <w:vertAlign w:val="superscript"/>
                <w:lang w:val="en-US" w:eastAsia="zh-CN"/>
              </w:rPr>
              <w:t>3</w:t>
            </w:r>
            <w:r>
              <w:rPr>
                <w:rFonts w:hint="eastAsia" w:ascii="Times New Roman" w:hAnsi="Times New Roman" w:cs="Times New Roman"/>
                <w:color w:val="000000" w:themeColor="text1"/>
                <w:kern w:val="2"/>
                <w:sz w:val="24"/>
                <w:szCs w:val="24"/>
                <w:lang w:val="en-US" w:eastAsia="zh-CN"/>
              </w:rPr>
              <w:t>/h，考虑管道收集及部分风量损失，本次拟设置风机风量为20000m</w:t>
            </w:r>
            <w:r>
              <w:rPr>
                <w:rFonts w:hint="eastAsia" w:ascii="Times New Roman" w:hAnsi="Times New Roman" w:cs="Times New Roman"/>
                <w:color w:val="000000" w:themeColor="text1"/>
                <w:kern w:val="2"/>
                <w:sz w:val="24"/>
                <w:szCs w:val="24"/>
                <w:vertAlign w:val="superscript"/>
                <w:lang w:val="en-US" w:eastAsia="zh-CN"/>
              </w:rPr>
              <w:t>3</w:t>
            </w:r>
            <w:r>
              <w:rPr>
                <w:rFonts w:hint="eastAsia" w:ascii="Times New Roman" w:hAnsi="Times New Roman" w:cs="Times New Roman"/>
                <w:color w:val="000000" w:themeColor="text1"/>
                <w:kern w:val="2"/>
                <w:sz w:val="24"/>
                <w:szCs w:val="24"/>
                <w:lang w:val="en-US" w:eastAsia="zh-CN"/>
              </w:rPr>
              <w:t>/h。</w:t>
            </w:r>
          </w:p>
          <w:p w14:paraId="77B183A7">
            <w:pPr>
              <w:adjustRightInd w:val="0"/>
              <w:spacing w:line="360" w:lineRule="auto"/>
              <w:ind w:firstLine="480" w:firstLineChars="200"/>
              <w:textAlignment w:val="baseline"/>
              <w:rPr>
                <w:rFonts w:hint="default" w:ascii="Times New Roman" w:hAnsi="Times New Roman" w:eastAsia="宋体" w:cs="Times New Roman"/>
                <w:b w:val="0"/>
                <w:bCs w:val="0"/>
                <w:color w:val="000000" w:themeColor="text1"/>
                <w:sz w:val="24"/>
                <w:szCs w:val="24"/>
              </w:rPr>
            </w:pPr>
            <w:r>
              <w:rPr>
                <w:rFonts w:hint="default" w:ascii="Times New Roman" w:hAnsi="Times New Roman" w:eastAsia="宋体" w:cs="Times New Roman"/>
                <w:b w:val="0"/>
                <w:bCs w:val="0"/>
                <w:color w:val="000000" w:themeColor="text1"/>
                <w:sz w:val="24"/>
                <w:szCs w:val="24"/>
              </w:rPr>
              <w:t>根据以上分析，拟建项目有组织排放情况详见表4-</w:t>
            </w:r>
            <w:r>
              <w:rPr>
                <w:rFonts w:hint="eastAsia" w:ascii="Times New Roman" w:hAnsi="Times New Roman" w:eastAsia="宋体" w:cs="Times New Roman"/>
                <w:b w:val="0"/>
                <w:bCs w:val="0"/>
                <w:color w:val="000000" w:themeColor="text1"/>
                <w:sz w:val="24"/>
                <w:szCs w:val="24"/>
                <w:lang w:val="en-US" w:eastAsia="zh-CN"/>
              </w:rPr>
              <w:t>2</w:t>
            </w:r>
            <w:r>
              <w:rPr>
                <w:rFonts w:hint="default" w:ascii="Times New Roman" w:hAnsi="Times New Roman" w:eastAsia="宋体" w:cs="Times New Roman"/>
                <w:b w:val="0"/>
                <w:bCs w:val="0"/>
                <w:color w:val="000000" w:themeColor="text1"/>
                <w:sz w:val="24"/>
                <w:szCs w:val="24"/>
              </w:rPr>
              <w:t>，废气排放口信息详见表4-</w:t>
            </w:r>
            <w:r>
              <w:rPr>
                <w:rFonts w:hint="eastAsia" w:ascii="Times New Roman" w:hAnsi="Times New Roman" w:eastAsia="宋体" w:cs="Times New Roman"/>
                <w:b w:val="0"/>
                <w:bCs w:val="0"/>
                <w:color w:val="000000" w:themeColor="text1"/>
                <w:sz w:val="24"/>
                <w:szCs w:val="24"/>
                <w:lang w:val="en-US" w:eastAsia="zh-CN"/>
              </w:rPr>
              <w:t>3</w:t>
            </w:r>
            <w:r>
              <w:rPr>
                <w:rFonts w:hint="default" w:ascii="Times New Roman" w:hAnsi="Times New Roman" w:eastAsia="宋体" w:cs="Times New Roman"/>
                <w:b w:val="0"/>
                <w:bCs w:val="0"/>
                <w:color w:val="000000" w:themeColor="text1"/>
                <w:sz w:val="24"/>
                <w:szCs w:val="24"/>
              </w:rPr>
              <w:t>，无组织废气排放情况详见表4-</w:t>
            </w:r>
            <w:r>
              <w:rPr>
                <w:rFonts w:hint="eastAsia" w:ascii="Times New Roman" w:hAnsi="Times New Roman" w:eastAsia="宋体" w:cs="Times New Roman"/>
                <w:b w:val="0"/>
                <w:bCs w:val="0"/>
                <w:color w:val="000000" w:themeColor="text1"/>
                <w:sz w:val="24"/>
                <w:szCs w:val="24"/>
                <w:lang w:val="en-US" w:eastAsia="zh-CN"/>
              </w:rPr>
              <w:t>4</w:t>
            </w:r>
            <w:r>
              <w:rPr>
                <w:rFonts w:hint="default" w:ascii="Times New Roman" w:hAnsi="Times New Roman" w:eastAsia="宋体" w:cs="Times New Roman"/>
                <w:b w:val="0"/>
                <w:bCs w:val="0"/>
                <w:color w:val="000000" w:themeColor="text1"/>
                <w:sz w:val="24"/>
                <w:szCs w:val="24"/>
              </w:rPr>
              <w:t>。</w:t>
            </w:r>
          </w:p>
          <w:p w14:paraId="3981D3FF">
            <w:pPr>
              <w:adjustRightInd w:val="0"/>
              <w:snapToGrid w:val="0"/>
              <w:jc w:val="center"/>
              <w:rPr>
                <w:rFonts w:hint="default" w:ascii="Times New Roman" w:hAnsi="Times New Roman" w:cs="Times New Roman"/>
                <w:b/>
                <w:bCs/>
                <w:color w:val="000000" w:themeColor="text1"/>
                <w:sz w:val="24"/>
                <w:szCs w:val="24"/>
                <w:u w:color="000000"/>
              </w:rPr>
            </w:pPr>
            <w:r>
              <w:rPr>
                <w:rFonts w:hint="default" w:ascii="Times New Roman" w:hAnsi="Times New Roman" w:cs="Times New Roman"/>
                <w:b/>
                <w:bCs/>
                <w:color w:val="000000" w:themeColor="text1"/>
                <w:sz w:val="24"/>
                <w:szCs w:val="24"/>
                <w:u w:color="000000"/>
              </w:rPr>
              <w:t>表4-</w:t>
            </w:r>
            <w:r>
              <w:rPr>
                <w:rFonts w:hint="eastAsia" w:cs="Times New Roman"/>
                <w:b/>
                <w:bCs/>
                <w:color w:val="000000" w:themeColor="text1"/>
                <w:sz w:val="24"/>
                <w:szCs w:val="24"/>
                <w:u w:color="000000"/>
                <w:lang w:val="en-US" w:eastAsia="zh-CN"/>
              </w:rPr>
              <w:t>2</w:t>
            </w:r>
            <w:r>
              <w:rPr>
                <w:rFonts w:hint="default" w:ascii="Times New Roman" w:hAnsi="Times New Roman" w:cs="Times New Roman"/>
                <w:b/>
                <w:bCs/>
                <w:color w:val="000000" w:themeColor="text1"/>
                <w:sz w:val="24"/>
                <w:szCs w:val="24"/>
                <w:u w:color="000000"/>
              </w:rPr>
              <w:t xml:space="preserve"> 本项目有组织废气产生及排放情况一览表</w:t>
            </w:r>
          </w:p>
          <w:tbl>
            <w:tblPr>
              <w:tblStyle w:val="34"/>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69"/>
              <w:gridCol w:w="747"/>
              <w:gridCol w:w="619"/>
              <w:gridCol w:w="370"/>
              <w:gridCol w:w="491"/>
              <w:gridCol w:w="973"/>
              <w:gridCol w:w="934"/>
              <w:gridCol w:w="702"/>
              <w:gridCol w:w="491"/>
              <w:gridCol w:w="1075"/>
              <w:gridCol w:w="934"/>
              <w:gridCol w:w="804"/>
            </w:tblGrid>
            <w:tr w14:paraId="187113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216" w:type="pct"/>
                  <w:vMerge w:val="restart"/>
                  <w:tcBorders>
                    <w:top w:val="single" w:color="auto" w:sz="12" w:space="0"/>
                  </w:tcBorders>
                  <w:noWrap w:val="0"/>
                  <w:tcMar>
                    <w:left w:w="57" w:type="dxa"/>
                    <w:right w:w="57" w:type="dxa"/>
                  </w:tcMar>
                  <w:vAlign w:val="center"/>
                </w:tcPr>
                <w:p w14:paraId="08BD64BD">
                  <w:pPr>
                    <w:pStyle w:val="85"/>
                    <w:spacing w:before="0" w:after="0" w:line="240" w:lineRule="auto"/>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污染工序</w:t>
                  </w:r>
                </w:p>
              </w:tc>
              <w:tc>
                <w:tcPr>
                  <w:tcW w:w="438" w:type="pct"/>
                  <w:vMerge w:val="restart"/>
                  <w:tcBorders>
                    <w:top w:val="single" w:color="auto" w:sz="12" w:space="0"/>
                  </w:tcBorders>
                  <w:noWrap w:val="0"/>
                  <w:tcMar>
                    <w:left w:w="57" w:type="dxa"/>
                    <w:right w:w="57" w:type="dxa"/>
                  </w:tcMar>
                  <w:vAlign w:val="center"/>
                </w:tcPr>
                <w:p w14:paraId="4CA2EAD5">
                  <w:pPr>
                    <w:pStyle w:val="85"/>
                    <w:spacing w:before="0" w:after="0" w:line="240" w:lineRule="auto"/>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废气量</w:t>
                  </w:r>
                </w:p>
                <w:p w14:paraId="28C95196">
                  <w:pPr>
                    <w:pStyle w:val="85"/>
                    <w:spacing w:before="0" w:after="0" w:line="240" w:lineRule="auto"/>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(Nm</w:t>
                  </w:r>
                  <w:r>
                    <w:rPr>
                      <w:rFonts w:hint="default" w:ascii="Times New Roman" w:hAnsi="Times New Roman" w:eastAsia="宋体" w:cs="Times New Roman"/>
                      <w:color w:val="000000" w:themeColor="text1"/>
                      <w:sz w:val="21"/>
                      <w:szCs w:val="21"/>
                      <w:vertAlign w:val="superscript"/>
                    </w:rPr>
                    <w:t>3</w:t>
                  </w:r>
                  <w:r>
                    <w:rPr>
                      <w:rFonts w:hint="default" w:ascii="Times New Roman" w:hAnsi="Times New Roman" w:eastAsia="宋体" w:cs="Times New Roman"/>
                      <w:color w:val="000000" w:themeColor="text1"/>
                      <w:sz w:val="21"/>
                      <w:szCs w:val="21"/>
                    </w:rPr>
                    <w:t>/h)</w:t>
                  </w:r>
                </w:p>
              </w:tc>
              <w:tc>
                <w:tcPr>
                  <w:tcW w:w="363" w:type="pct"/>
                  <w:vMerge w:val="restart"/>
                  <w:tcBorders>
                    <w:top w:val="single" w:color="auto" w:sz="12" w:space="0"/>
                  </w:tcBorders>
                  <w:noWrap w:val="0"/>
                  <w:tcMar>
                    <w:left w:w="57" w:type="dxa"/>
                    <w:right w:w="57" w:type="dxa"/>
                  </w:tcMar>
                  <w:vAlign w:val="center"/>
                </w:tcPr>
                <w:p w14:paraId="125EDA05">
                  <w:pPr>
                    <w:pStyle w:val="85"/>
                    <w:spacing w:before="0" w:after="0" w:line="240" w:lineRule="auto"/>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年工作时间（h）</w:t>
                  </w:r>
                </w:p>
              </w:tc>
              <w:tc>
                <w:tcPr>
                  <w:tcW w:w="217" w:type="pct"/>
                  <w:vMerge w:val="restart"/>
                  <w:tcBorders>
                    <w:top w:val="single" w:color="auto" w:sz="12" w:space="0"/>
                  </w:tcBorders>
                  <w:noWrap w:val="0"/>
                  <w:tcMar>
                    <w:left w:w="57" w:type="dxa"/>
                    <w:right w:w="57" w:type="dxa"/>
                  </w:tcMar>
                  <w:vAlign w:val="center"/>
                </w:tcPr>
                <w:p w14:paraId="4F87BE1F">
                  <w:pPr>
                    <w:pStyle w:val="85"/>
                    <w:spacing w:before="0" w:after="0" w:line="240" w:lineRule="auto"/>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污染物名称</w:t>
                  </w:r>
                </w:p>
              </w:tc>
              <w:tc>
                <w:tcPr>
                  <w:tcW w:w="288" w:type="pct"/>
                  <w:vMerge w:val="restart"/>
                  <w:tcBorders>
                    <w:top w:val="single" w:color="auto" w:sz="12" w:space="0"/>
                  </w:tcBorders>
                  <w:noWrap w:val="0"/>
                  <w:vAlign w:val="center"/>
                </w:tcPr>
                <w:p w14:paraId="0327C47A">
                  <w:pPr>
                    <w:pStyle w:val="85"/>
                    <w:spacing w:before="0" w:after="0" w:line="240" w:lineRule="auto"/>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收集效率</w:t>
                  </w:r>
                  <w:r>
                    <w:rPr>
                      <w:rFonts w:hint="eastAsia" w:cs="Times New Roman"/>
                      <w:color w:val="000000" w:themeColor="text1"/>
                      <w:sz w:val="21"/>
                      <w:szCs w:val="21"/>
                      <w:lang w:val="en-US" w:eastAsia="zh-CN"/>
                    </w:rPr>
                    <w:t>/%</w:t>
                  </w:r>
                </w:p>
              </w:tc>
              <w:tc>
                <w:tcPr>
                  <w:tcW w:w="1533" w:type="pct"/>
                  <w:gridSpan w:val="3"/>
                  <w:tcBorders>
                    <w:top w:val="single" w:color="auto" w:sz="12" w:space="0"/>
                  </w:tcBorders>
                  <w:noWrap w:val="0"/>
                  <w:vAlign w:val="center"/>
                </w:tcPr>
                <w:p w14:paraId="6D212DF6">
                  <w:pPr>
                    <w:pStyle w:val="85"/>
                    <w:spacing w:before="0" w:after="0" w:line="240" w:lineRule="auto"/>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产生情况</w:t>
                  </w:r>
                </w:p>
              </w:tc>
              <w:tc>
                <w:tcPr>
                  <w:tcW w:w="288" w:type="pct"/>
                  <w:vMerge w:val="restart"/>
                  <w:tcBorders>
                    <w:top w:val="single" w:color="auto" w:sz="12" w:space="0"/>
                  </w:tcBorders>
                  <w:noWrap w:val="0"/>
                  <w:vAlign w:val="center"/>
                </w:tcPr>
                <w:p w14:paraId="46F943C0">
                  <w:pPr>
                    <w:pStyle w:val="85"/>
                    <w:spacing w:before="0" w:after="0" w:line="240" w:lineRule="auto"/>
                    <w:rPr>
                      <w:rFonts w:hint="default" w:ascii="Times New Roman" w:hAnsi="Times New Roman" w:eastAsia="宋体" w:cs="Times New Roman"/>
                      <w:color w:val="000000" w:themeColor="text1"/>
                      <w:sz w:val="21"/>
                      <w:szCs w:val="21"/>
                      <w:lang w:val="en-US" w:eastAsia="zh-CN"/>
                    </w:rPr>
                  </w:pPr>
                  <w:r>
                    <w:rPr>
                      <w:rFonts w:hint="default" w:ascii="Times New Roman" w:hAnsi="Times New Roman" w:eastAsia="宋体" w:cs="Times New Roman"/>
                      <w:color w:val="000000" w:themeColor="text1"/>
                      <w:sz w:val="21"/>
                      <w:szCs w:val="21"/>
                    </w:rPr>
                    <w:t>处理效率</w:t>
                  </w:r>
                  <w:r>
                    <w:rPr>
                      <w:rFonts w:hint="eastAsia" w:cs="Times New Roman"/>
                      <w:color w:val="000000" w:themeColor="text1"/>
                      <w:sz w:val="21"/>
                      <w:szCs w:val="21"/>
                      <w:lang w:val="en-US" w:eastAsia="zh-CN"/>
                    </w:rPr>
                    <w:t>/%</w:t>
                  </w:r>
                </w:p>
              </w:tc>
              <w:tc>
                <w:tcPr>
                  <w:tcW w:w="1652" w:type="pct"/>
                  <w:gridSpan w:val="3"/>
                  <w:tcBorders>
                    <w:top w:val="single" w:color="auto" w:sz="12" w:space="0"/>
                  </w:tcBorders>
                  <w:noWrap w:val="0"/>
                  <w:vAlign w:val="center"/>
                </w:tcPr>
                <w:p w14:paraId="012F4DFE">
                  <w:pPr>
                    <w:pStyle w:val="85"/>
                    <w:spacing w:before="0" w:after="0" w:line="240" w:lineRule="auto"/>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排放情况</w:t>
                  </w:r>
                </w:p>
              </w:tc>
            </w:tr>
            <w:tr w14:paraId="0525C4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216" w:type="pct"/>
                  <w:vMerge w:val="continue"/>
                  <w:noWrap w:val="0"/>
                  <w:tcMar>
                    <w:left w:w="57" w:type="dxa"/>
                    <w:right w:w="57" w:type="dxa"/>
                  </w:tcMar>
                  <w:vAlign w:val="center"/>
                </w:tcPr>
                <w:p w14:paraId="1EADD250">
                  <w:pPr>
                    <w:pStyle w:val="85"/>
                    <w:spacing w:before="0" w:after="0" w:line="240" w:lineRule="auto"/>
                    <w:rPr>
                      <w:rFonts w:hint="default" w:ascii="Times New Roman" w:hAnsi="Times New Roman" w:eastAsia="宋体" w:cs="Times New Roman"/>
                      <w:color w:val="000000" w:themeColor="text1"/>
                      <w:sz w:val="21"/>
                      <w:szCs w:val="21"/>
                    </w:rPr>
                  </w:pPr>
                </w:p>
              </w:tc>
              <w:tc>
                <w:tcPr>
                  <w:tcW w:w="438" w:type="pct"/>
                  <w:vMerge w:val="continue"/>
                  <w:noWrap w:val="0"/>
                  <w:tcMar>
                    <w:left w:w="57" w:type="dxa"/>
                    <w:right w:w="57" w:type="dxa"/>
                  </w:tcMar>
                  <w:vAlign w:val="center"/>
                </w:tcPr>
                <w:p w14:paraId="0F99D487">
                  <w:pPr>
                    <w:pStyle w:val="85"/>
                    <w:spacing w:before="0" w:after="0" w:line="240" w:lineRule="auto"/>
                    <w:rPr>
                      <w:rFonts w:hint="default" w:ascii="Times New Roman" w:hAnsi="Times New Roman" w:eastAsia="宋体" w:cs="Times New Roman"/>
                      <w:color w:val="000000" w:themeColor="text1"/>
                      <w:sz w:val="21"/>
                      <w:szCs w:val="21"/>
                    </w:rPr>
                  </w:pPr>
                </w:p>
              </w:tc>
              <w:tc>
                <w:tcPr>
                  <w:tcW w:w="363" w:type="pct"/>
                  <w:vMerge w:val="continue"/>
                  <w:noWrap w:val="0"/>
                  <w:tcMar>
                    <w:left w:w="57" w:type="dxa"/>
                    <w:right w:w="57" w:type="dxa"/>
                  </w:tcMar>
                  <w:vAlign w:val="center"/>
                </w:tcPr>
                <w:p w14:paraId="049A5440">
                  <w:pPr>
                    <w:pStyle w:val="85"/>
                    <w:spacing w:before="0" w:after="0" w:line="240" w:lineRule="auto"/>
                    <w:rPr>
                      <w:rFonts w:hint="default" w:ascii="Times New Roman" w:hAnsi="Times New Roman" w:eastAsia="宋体" w:cs="Times New Roman"/>
                      <w:color w:val="000000" w:themeColor="text1"/>
                      <w:sz w:val="21"/>
                      <w:szCs w:val="21"/>
                    </w:rPr>
                  </w:pPr>
                </w:p>
              </w:tc>
              <w:tc>
                <w:tcPr>
                  <w:tcW w:w="217" w:type="pct"/>
                  <w:vMerge w:val="continue"/>
                  <w:noWrap w:val="0"/>
                  <w:tcMar>
                    <w:left w:w="57" w:type="dxa"/>
                    <w:right w:w="57" w:type="dxa"/>
                  </w:tcMar>
                  <w:vAlign w:val="center"/>
                </w:tcPr>
                <w:p w14:paraId="625A490A">
                  <w:pPr>
                    <w:pStyle w:val="85"/>
                    <w:spacing w:before="0" w:after="0" w:line="240" w:lineRule="auto"/>
                    <w:rPr>
                      <w:rFonts w:hint="default" w:ascii="Times New Roman" w:hAnsi="Times New Roman" w:eastAsia="宋体" w:cs="Times New Roman"/>
                      <w:color w:val="000000" w:themeColor="text1"/>
                      <w:sz w:val="21"/>
                      <w:szCs w:val="21"/>
                    </w:rPr>
                  </w:pPr>
                </w:p>
              </w:tc>
              <w:tc>
                <w:tcPr>
                  <w:tcW w:w="288" w:type="pct"/>
                  <w:vMerge w:val="continue"/>
                  <w:noWrap w:val="0"/>
                  <w:tcMar>
                    <w:left w:w="57" w:type="dxa"/>
                    <w:right w:w="57" w:type="dxa"/>
                  </w:tcMar>
                  <w:vAlign w:val="center"/>
                </w:tcPr>
                <w:p w14:paraId="548C7DFE">
                  <w:pPr>
                    <w:pStyle w:val="85"/>
                    <w:spacing w:before="0" w:after="0" w:line="240" w:lineRule="auto"/>
                    <w:rPr>
                      <w:rFonts w:hint="default" w:ascii="Times New Roman" w:hAnsi="Times New Roman" w:eastAsia="宋体" w:cs="Times New Roman"/>
                      <w:color w:val="000000" w:themeColor="text1"/>
                      <w:sz w:val="21"/>
                      <w:szCs w:val="21"/>
                    </w:rPr>
                  </w:pPr>
                </w:p>
              </w:tc>
              <w:tc>
                <w:tcPr>
                  <w:tcW w:w="571" w:type="pct"/>
                  <w:noWrap w:val="0"/>
                  <w:tcMar>
                    <w:left w:w="57" w:type="dxa"/>
                    <w:right w:w="57" w:type="dxa"/>
                  </w:tcMar>
                  <w:vAlign w:val="center"/>
                </w:tcPr>
                <w:p w14:paraId="1B41A5A0">
                  <w:pPr>
                    <w:pStyle w:val="85"/>
                    <w:spacing w:before="0" w:after="0" w:line="240" w:lineRule="auto"/>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浓度</w:t>
                  </w:r>
                </w:p>
                <w:p w14:paraId="7B91BE1B">
                  <w:pPr>
                    <w:pStyle w:val="85"/>
                    <w:spacing w:before="0" w:after="0" w:line="240" w:lineRule="auto"/>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（mg/m³）</w:t>
                  </w:r>
                </w:p>
              </w:tc>
              <w:tc>
                <w:tcPr>
                  <w:tcW w:w="548" w:type="pct"/>
                  <w:noWrap w:val="0"/>
                  <w:vAlign w:val="center"/>
                </w:tcPr>
                <w:p w14:paraId="79C14FED">
                  <w:pPr>
                    <w:pStyle w:val="85"/>
                    <w:spacing w:before="0" w:after="0" w:line="240" w:lineRule="auto"/>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速率（kg/h）</w:t>
                  </w:r>
                </w:p>
              </w:tc>
              <w:tc>
                <w:tcPr>
                  <w:tcW w:w="412" w:type="pct"/>
                  <w:noWrap w:val="0"/>
                  <w:tcMar>
                    <w:left w:w="57" w:type="dxa"/>
                    <w:right w:w="57" w:type="dxa"/>
                  </w:tcMar>
                  <w:vAlign w:val="center"/>
                </w:tcPr>
                <w:p w14:paraId="3E6C6426">
                  <w:pPr>
                    <w:pStyle w:val="85"/>
                    <w:spacing w:before="0" w:after="0" w:line="240" w:lineRule="auto"/>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产生量（t/a）</w:t>
                  </w:r>
                </w:p>
              </w:tc>
              <w:tc>
                <w:tcPr>
                  <w:tcW w:w="288" w:type="pct"/>
                  <w:vMerge w:val="continue"/>
                  <w:noWrap w:val="0"/>
                  <w:vAlign w:val="center"/>
                </w:tcPr>
                <w:p w14:paraId="4CB92817">
                  <w:pPr>
                    <w:pStyle w:val="85"/>
                    <w:spacing w:before="0" w:after="0" w:line="240" w:lineRule="auto"/>
                    <w:rPr>
                      <w:rFonts w:hint="default" w:ascii="Times New Roman" w:hAnsi="Times New Roman" w:eastAsia="宋体" w:cs="Times New Roman"/>
                      <w:color w:val="000000" w:themeColor="text1"/>
                      <w:sz w:val="21"/>
                      <w:szCs w:val="21"/>
                    </w:rPr>
                  </w:pPr>
                </w:p>
              </w:tc>
              <w:tc>
                <w:tcPr>
                  <w:tcW w:w="631" w:type="pct"/>
                  <w:noWrap w:val="0"/>
                  <w:vAlign w:val="center"/>
                </w:tcPr>
                <w:p w14:paraId="0FB9EFD0">
                  <w:pPr>
                    <w:pStyle w:val="85"/>
                    <w:spacing w:before="0" w:after="0" w:line="240" w:lineRule="auto"/>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浓度</w:t>
                  </w:r>
                </w:p>
                <w:p w14:paraId="4ED5DCEF">
                  <w:pPr>
                    <w:pStyle w:val="85"/>
                    <w:spacing w:before="0" w:after="0" w:line="240" w:lineRule="auto"/>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（mg/m³）</w:t>
                  </w:r>
                </w:p>
              </w:tc>
              <w:tc>
                <w:tcPr>
                  <w:tcW w:w="548" w:type="pct"/>
                  <w:noWrap w:val="0"/>
                  <w:vAlign w:val="center"/>
                </w:tcPr>
                <w:p w14:paraId="7D4A5C61">
                  <w:pPr>
                    <w:pStyle w:val="85"/>
                    <w:spacing w:before="0" w:after="0" w:line="240" w:lineRule="auto"/>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速率（kg/h）</w:t>
                  </w:r>
                </w:p>
              </w:tc>
              <w:tc>
                <w:tcPr>
                  <w:tcW w:w="472" w:type="pct"/>
                  <w:noWrap w:val="0"/>
                  <w:vAlign w:val="center"/>
                </w:tcPr>
                <w:p w14:paraId="43D58E2A">
                  <w:pPr>
                    <w:pStyle w:val="85"/>
                    <w:spacing w:before="0" w:after="0" w:line="240" w:lineRule="auto"/>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排放量（t/a）</w:t>
                  </w:r>
                </w:p>
              </w:tc>
            </w:tr>
            <w:tr w14:paraId="21A36C9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216" w:type="pct"/>
                  <w:noWrap w:val="0"/>
                  <w:tcMar>
                    <w:left w:w="57" w:type="dxa"/>
                    <w:right w:w="57" w:type="dxa"/>
                  </w:tcMar>
                  <w:vAlign w:val="center"/>
                </w:tcPr>
                <w:p w14:paraId="6A169CAC">
                  <w:pPr>
                    <w:pStyle w:val="85"/>
                    <w:spacing w:before="0" w:after="0" w:line="240" w:lineRule="auto"/>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浇筑</w:t>
                  </w:r>
                </w:p>
              </w:tc>
              <w:tc>
                <w:tcPr>
                  <w:tcW w:w="438" w:type="pct"/>
                  <w:vMerge w:val="restart"/>
                  <w:noWrap w:val="0"/>
                  <w:tcMar>
                    <w:left w:w="57" w:type="dxa"/>
                    <w:right w:w="57" w:type="dxa"/>
                  </w:tcMar>
                  <w:vAlign w:val="center"/>
                </w:tcPr>
                <w:p w14:paraId="231A95B9">
                  <w:pPr>
                    <w:pStyle w:val="85"/>
                    <w:spacing w:before="0" w:after="0" w:line="240" w:lineRule="auto"/>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20000</w:t>
                  </w:r>
                </w:p>
              </w:tc>
              <w:tc>
                <w:tcPr>
                  <w:tcW w:w="363" w:type="pct"/>
                  <w:vMerge w:val="restart"/>
                  <w:noWrap w:val="0"/>
                  <w:tcMar>
                    <w:left w:w="57" w:type="dxa"/>
                    <w:right w:w="57" w:type="dxa"/>
                  </w:tcMar>
                  <w:vAlign w:val="center"/>
                </w:tcPr>
                <w:p w14:paraId="2AE4C441">
                  <w:pPr>
                    <w:pStyle w:val="85"/>
                    <w:spacing w:before="0" w:after="0" w:line="240" w:lineRule="auto"/>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7200</w:t>
                  </w:r>
                </w:p>
              </w:tc>
              <w:tc>
                <w:tcPr>
                  <w:tcW w:w="217" w:type="pct"/>
                  <w:vMerge w:val="restart"/>
                  <w:noWrap w:val="0"/>
                  <w:tcMar>
                    <w:left w:w="57" w:type="dxa"/>
                    <w:right w:w="57" w:type="dxa"/>
                  </w:tcMar>
                  <w:vAlign w:val="center"/>
                </w:tcPr>
                <w:p w14:paraId="0AE26607">
                  <w:pPr>
                    <w:pStyle w:val="85"/>
                    <w:spacing w:before="0" w:after="0" w:line="240" w:lineRule="auto"/>
                    <w:rPr>
                      <w:rFonts w:hint="eastAsia" w:ascii="Times New Roman" w:hAnsi="Times New Roman" w:eastAsia="宋体" w:cs="Times New Roman"/>
                      <w:color w:val="000000" w:themeColor="text1"/>
                      <w:sz w:val="21"/>
                      <w:szCs w:val="21"/>
                      <w:lang w:val="en-US" w:eastAsia="zh-CN"/>
                    </w:rPr>
                  </w:pPr>
                  <w:r>
                    <w:rPr>
                      <w:rFonts w:hint="eastAsia" w:hAnsi="Times New Roman" w:eastAsia="宋体" w:cs="Times New Roman"/>
                      <w:color w:val="000000" w:themeColor="text1"/>
                      <w:sz w:val="21"/>
                      <w:szCs w:val="21"/>
                      <w:lang w:val="en-US" w:eastAsia="zh-CN"/>
                    </w:rPr>
                    <w:t>非甲烷总烃</w:t>
                  </w:r>
                </w:p>
              </w:tc>
              <w:tc>
                <w:tcPr>
                  <w:tcW w:w="288" w:type="pct"/>
                  <w:noWrap w:val="0"/>
                  <w:tcMar>
                    <w:left w:w="57" w:type="dxa"/>
                    <w:right w:w="57" w:type="dxa"/>
                  </w:tcMar>
                  <w:vAlign w:val="center"/>
                </w:tcPr>
                <w:p w14:paraId="09509F0B">
                  <w:pPr>
                    <w:pStyle w:val="85"/>
                    <w:spacing w:before="0" w:after="0" w:line="240" w:lineRule="auto"/>
                    <w:rPr>
                      <w:rFonts w:hint="default"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90</w:t>
                  </w:r>
                </w:p>
              </w:tc>
              <w:tc>
                <w:tcPr>
                  <w:tcW w:w="571" w:type="pct"/>
                  <w:vMerge w:val="restart"/>
                  <w:noWrap w:val="0"/>
                  <w:tcMar>
                    <w:left w:w="57" w:type="dxa"/>
                    <w:right w:w="57" w:type="dxa"/>
                  </w:tcMar>
                  <w:vAlign w:val="center"/>
                </w:tcPr>
                <w:p w14:paraId="3107A163">
                  <w:pPr>
                    <w:pStyle w:val="85"/>
                    <w:spacing w:before="0" w:after="0" w:line="240" w:lineRule="auto"/>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7.75</w:t>
                  </w:r>
                </w:p>
              </w:tc>
              <w:tc>
                <w:tcPr>
                  <w:tcW w:w="548" w:type="pct"/>
                  <w:vMerge w:val="restart"/>
                  <w:noWrap w:val="0"/>
                  <w:vAlign w:val="center"/>
                </w:tcPr>
                <w:p w14:paraId="4AAA92E4">
                  <w:pPr>
                    <w:pStyle w:val="85"/>
                    <w:spacing w:before="0" w:after="0" w:line="240" w:lineRule="auto"/>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0.155</w:t>
                  </w:r>
                </w:p>
              </w:tc>
              <w:tc>
                <w:tcPr>
                  <w:tcW w:w="412" w:type="pct"/>
                  <w:vMerge w:val="restart"/>
                  <w:noWrap w:val="0"/>
                  <w:tcMar>
                    <w:left w:w="57" w:type="dxa"/>
                    <w:right w:w="57" w:type="dxa"/>
                  </w:tcMar>
                  <w:vAlign w:val="center"/>
                </w:tcPr>
                <w:p w14:paraId="6D51EF6C">
                  <w:pPr>
                    <w:pStyle w:val="85"/>
                    <w:spacing w:before="0" w:after="0" w:line="240" w:lineRule="auto"/>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1.116</w:t>
                  </w:r>
                </w:p>
              </w:tc>
              <w:tc>
                <w:tcPr>
                  <w:tcW w:w="288" w:type="pct"/>
                  <w:vMerge w:val="restart"/>
                  <w:noWrap w:val="0"/>
                  <w:vAlign w:val="center"/>
                </w:tcPr>
                <w:p w14:paraId="60A72770">
                  <w:pPr>
                    <w:pStyle w:val="85"/>
                    <w:spacing w:before="0" w:after="0" w:line="240" w:lineRule="auto"/>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90</w:t>
                  </w:r>
                </w:p>
              </w:tc>
              <w:tc>
                <w:tcPr>
                  <w:tcW w:w="631" w:type="pct"/>
                  <w:vMerge w:val="restart"/>
                  <w:noWrap w:val="0"/>
                  <w:vAlign w:val="center"/>
                </w:tcPr>
                <w:p w14:paraId="26A8323B">
                  <w:pPr>
                    <w:pStyle w:val="85"/>
                    <w:spacing w:before="0" w:after="0" w:line="240" w:lineRule="auto"/>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0.8</w:t>
                  </w:r>
                </w:p>
              </w:tc>
              <w:tc>
                <w:tcPr>
                  <w:tcW w:w="548" w:type="pct"/>
                  <w:vMerge w:val="restart"/>
                  <w:noWrap w:val="0"/>
                  <w:vAlign w:val="center"/>
                </w:tcPr>
                <w:p w14:paraId="13C2CBBC">
                  <w:pPr>
                    <w:pStyle w:val="85"/>
                    <w:spacing w:before="0" w:after="0" w:line="240" w:lineRule="auto"/>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0.016</w:t>
                  </w:r>
                </w:p>
              </w:tc>
              <w:tc>
                <w:tcPr>
                  <w:tcW w:w="472" w:type="pct"/>
                  <w:vMerge w:val="restart"/>
                  <w:noWrap w:val="0"/>
                  <w:vAlign w:val="center"/>
                </w:tcPr>
                <w:p w14:paraId="341E30C6">
                  <w:pPr>
                    <w:pStyle w:val="85"/>
                    <w:spacing w:before="0" w:after="0" w:line="240" w:lineRule="auto"/>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0.117</w:t>
                  </w:r>
                </w:p>
              </w:tc>
            </w:tr>
            <w:tr w14:paraId="58C475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216" w:type="pct"/>
                  <w:noWrap w:val="0"/>
                  <w:tcMar>
                    <w:left w:w="57" w:type="dxa"/>
                    <w:right w:w="57" w:type="dxa"/>
                  </w:tcMar>
                  <w:vAlign w:val="center"/>
                </w:tcPr>
                <w:p w14:paraId="559938FC">
                  <w:pPr>
                    <w:pStyle w:val="85"/>
                    <w:spacing w:before="0" w:after="0" w:line="240" w:lineRule="auto"/>
                    <w:rPr>
                      <w:rFonts w:hint="eastAsia"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固化</w:t>
                  </w:r>
                </w:p>
              </w:tc>
              <w:tc>
                <w:tcPr>
                  <w:tcW w:w="438" w:type="pct"/>
                  <w:vMerge w:val="continue"/>
                  <w:noWrap w:val="0"/>
                  <w:tcMar>
                    <w:left w:w="57" w:type="dxa"/>
                    <w:right w:w="57" w:type="dxa"/>
                  </w:tcMar>
                  <w:vAlign w:val="center"/>
                </w:tcPr>
                <w:p w14:paraId="58B76A7B">
                  <w:pPr>
                    <w:pStyle w:val="85"/>
                    <w:spacing w:before="0" w:after="0" w:line="240" w:lineRule="auto"/>
                    <w:rPr>
                      <w:rFonts w:hint="eastAsia" w:ascii="Times New Roman" w:hAnsi="Times New Roman" w:eastAsia="宋体" w:cs="Times New Roman"/>
                      <w:color w:val="000000" w:themeColor="text1"/>
                      <w:sz w:val="21"/>
                      <w:szCs w:val="21"/>
                      <w:lang w:val="en-US" w:eastAsia="zh-CN"/>
                    </w:rPr>
                  </w:pPr>
                </w:p>
              </w:tc>
              <w:tc>
                <w:tcPr>
                  <w:tcW w:w="363" w:type="pct"/>
                  <w:vMerge w:val="continue"/>
                  <w:noWrap w:val="0"/>
                  <w:tcMar>
                    <w:left w:w="57" w:type="dxa"/>
                    <w:right w:w="57" w:type="dxa"/>
                  </w:tcMar>
                  <w:vAlign w:val="center"/>
                </w:tcPr>
                <w:p w14:paraId="718E8647">
                  <w:pPr>
                    <w:pStyle w:val="85"/>
                    <w:spacing w:before="0" w:after="0" w:line="240" w:lineRule="auto"/>
                    <w:rPr>
                      <w:rFonts w:hint="eastAsia" w:ascii="Times New Roman" w:hAnsi="Times New Roman" w:eastAsia="宋体" w:cs="Times New Roman"/>
                      <w:color w:val="000000" w:themeColor="text1"/>
                      <w:sz w:val="21"/>
                      <w:szCs w:val="21"/>
                      <w:lang w:val="en-US" w:eastAsia="zh-CN"/>
                    </w:rPr>
                  </w:pPr>
                </w:p>
              </w:tc>
              <w:tc>
                <w:tcPr>
                  <w:tcW w:w="217" w:type="pct"/>
                  <w:vMerge w:val="continue"/>
                  <w:noWrap w:val="0"/>
                  <w:tcMar>
                    <w:left w:w="57" w:type="dxa"/>
                    <w:right w:w="57" w:type="dxa"/>
                  </w:tcMar>
                  <w:vAlign w:val="center"/>
                </w:tcPr>
                <w:p w14:paraId="4DAB14E5">
                  <w:pPr>
                    <w:pStyle w:val="85"/>
                    <w:spacing w:before="0" w:after="0" w:line="240" w:lineRule="auto"/>
                    <w:rPr>
                      <w:rFonts w:hint="eastAsia" w:ascii="Times New Roman" w:hAnsi="Times New Roman" w:eastAsia="宋体" w:cs="Times New Roman"/>
                      <w:color w:val="000000" w:themeColor="text1"/>
                      <w:sz w:val="21"/>
                      <w:szCs w:val="21"/>
                      <w:lang w:val="en-US" w:eastAsia="zh-CN"/>
                    </w:rPr>
                  </w:pPr>
                </w:p>
              </w:tc>
              <w:tc>
                <w:tcPr>
                  <w:tcW w:w="288" w:type="pct"/>
                  <w:noWrap w:val="0"/>
                  <w:tcMar>
                    <w:left w:w="57" w:type="dxa"/>
                    <w:right w:w="57" w:type="dxa"/>
                  </w:tcMar>
                  <w:vAlign w:val="center"/>
                </w:tcPr>
                <w:p w14:paraId="395DF47C">
                  <w:pPr>
                    <w:pStyle w:val="85"/>
                    <w:spacing w:before="0" w:after="0" w:line="240" w:lineRule="auto"/>
                    <w:rPr>
                      <w:rFonts w:hint="eastAsia" w:ascii="Times New Roman" w:hAnsi="Times New Roman" w:eastAsia="宋体" w:cs="Times New Roman"/>
                      <w:color w:val="000000" w:themeColor="text1"/>
                      <w:sz w:val="21"/>
                      <w:szCs w:val="21"/>
                      <w:lang w:val="en-US" w:eastAsia="zh-CN"/>
                    </w:rPr>
                  </w:pPr>
                  <w:r>
                    <w:rPr>
                      <w:rFonts w:hint="eastAsia" w:hAnsi="Times New Roman" w:eastAsia="宋体" w:cs="Times New Roman"/>
                      <w:color w:val="000000" w:themeColor="text1"/>
                      <w:sz w:val="21"/>
                      <w:szCs w:val="21"/>
                      <w:lang w:val="en-US" w:eastAsia="zh-CN"/>
                    </w:rPr>
                    <w:t>98</w:t>
                  </w:r>
                </w:p>
              </w:tc>
              <w:tc>
                <w:tcPr>
                  <w:tcW w:w="571" w:type="pct"/>
                  <w:vMerge w:val="continue"/>
                  <w:noWrap w:val="0"/>
                  <w:tcMar>
                    <w:left w:w="57" w:type="dxa"/>
                    <w:right w:w="57" w:type="dxa"/>
                  </w:tcMar>
                  <w:vAlign w:val="center"/>
                </w:tcPr>
                <w:p w14:paraId="08D8AA63">
                  <w:pPr>
                    <w:pStyle w:val="85"/>
                    <w:spacing w:before="0" w:after="0" w:line="240" w:lineRule="auto"/>
                    <w:rPr>
                      <w:rFonts w:hint="eastAsia" w:ascii="Times New Roman" w:hAnsi="Times New Roman" w:eastAsia="宋体" w:cs="Times New Roman"/>
                      <w:color w:val="000000" w:themeColor="text1"/>
                      <w:sz w:val="21"/>
                      <w:szCs w:val="21"/>
                      <w:lang w:val="en-US" w:eastAsia="zh-CN"/>
                    </w:rPr>
                  </w:pPr>
                </w:p>
              </w:tc>
              <w:tc>
                <w:tcPr>
                  <w:tcW w:w="548" w:type="pct"/>
                  <w:vMerge w:val="continue"/>
                  <w:noWrap w:val="0"/>
                  <w:vAlign w:val="center"/>
                </w:tcPr>
                <w:p w14:paraId="19368404">
                  <w:pPr>
                    <w:pStyle w:val="85"/>
                    <w:spacing w:before="0" w:after="0" w:line="240" w:lineRule="auto"/>
                    <w:rPr>
                      <w:rFonts w:hint="eastAsia" w:ascii="Times New Roman" w:hAnsi="Times New Roman" w:eastAsia="宋体" w:cs="Times New Roman"/>
                      <w:color w:val="000000" w:themeColor="text1"/>
                      <w:sz w:val="21"/>
                      <w:szCs w:val="21"/>
                      <w:lang w:val="en-US" w:eastAsia="zh-CN"/>
                    </w:rPr>
                  </w:pPr>
                </w:p>
              </w:tc>
              <w:tc>
                <w:tcPr>
                  <w:tcW w:w="412" w:type="pct"/>
                  <w:vMerge w:val="continue"/>
                  <w:noWrap w:val="0"/>
                  <w:tcMar>
                    <w:left w:w="57" w:type="dxa"/>
                    <w:right w:w="57" w:type="dxa"/>
                  </w:tcMar>
                  <w:vAlign w:val="center"/>
                </w:tcPr>
                <w:p w14:paraId="1FBC34DE">
                  <w:pPr>
                    <w:pStyle w:val="85"/>
                    <w:spacing w:before="0" w:after="0" w:line="240" w:lineRule="auto"/>
                    <w:rPr>
                      <w:rFonts w:hint="eastAsia" w:ascii="Times New Roman" w:hAnsi="Times New Roman" w:eastAsia="宋体" w:cs="Times New Roman"/>
                      <w:color w:val="000000" w:themeColor="text1"/>
                      <w:sz w:val="21"/>
                      <w:szCs w:val="21"/>
                      <w:lang w:val="en-US" w:eastAsia="zh-CN"/>
                    </w:rPr>
                  </w:pPr>
                </w:p>
              </w:tc>
              <w:tc>
                <w:tcPr>
                  <w:tcW w:w="288" w:type="pct"/>
                  <w:vMerge w:val="continue"/>
                  <w:noWrap w:val="0"/>
                  <w:vAlign w:val="center"/>
                </w:tcPr>
                <w:p w14:paraId="279E01C7">
                  <w:pPr>
                    <w:pStyle w:val="85"/>
                    <w:spacing w:before="0" w:after="0" w:line="240" w:lineRule="auto"/>
                    <w:rPr>
                      <w:rFonts w:hint="eastAsia" w:ascii="Times New Roman" w:hAnsi="Times New Roman" w:eastAsia="宋体" w:cs="Times New Roman"/>
                      <w:color w:val="000000" w:themeColor="text1"/>
                      <w:sz w:val="21"/>
                      <w:szCs w:val="21"/>
                      <w:lang w:val="en-US" w:eastAsia="zh-CN"/>
                    </w:rPr>
                  </w:pPr>
                </w:p>
              </w:tc>
              <w:tc>
                <w:tcPr>
                  <w:tcW w:w="631" w:type="pct"/>
                  <w:vMerge w:val="continue"/>
                  <w:noWrap w:val="0"/>
                  <w:vAlign w:val="center"/>
                </w:tcPr>
                <w:p w14:paraId="77A61AF7">
                  <w:pPr>
                    <w:pStyle w:val="85"/>
                    <w:spacing w:before="0" w:after="0" w:line="240" w:lineRule="auto"/>
                    <w:rPr>
                      <w:rFonts w:hint="eastAsia" w:ascii="Times New Roman" w:hAnsi="Times New Roman" w:eastAsia="宋体" w:cs="Times New Roman"/>
                      <w:color w:val="000000" w:themeColor="text1"/>
                      <w:sz w:val="21"/>
                      <w:szCs w:val="21"/>
                      <w:lang w:val="en-US" w:eastAsia="zh-CN"/>
                    </w:rPr>
                  </w:pPr>
                </w:p>
              </w:tc>
              <w:tc>
                <w:tcPr>
                  <w:tcW w:w="548" w:type="pct"/>
                  <w:vMerge w:val="continue"/>
                  <w:noWrap w:val="0"/>
                  <w:vAlign w:val="center"/>
                </w:tcPr>
                <w:p w14:paraId="02A9AA32">
                  <w:pPr>
                    <w:pStyle w:val="85"/>
                    <w:spacing w:before="0" w:after="0" w:line="240" w:lineRule="auto"/>
                    <w:rPr>
                      <w:rFonts w:hint="eastAsia" w:ascii="Times New Roman" w:hAnsi="Times New Roman" w:eastAsia="宋体" w:cs="Times New Roman"/>
                      <w:color w:val="000000" w:themeColor="text1"/>
                      <w:sz w:val="21"/>
                      <w:szCs w:val="21"/>
                      <w:lang w:val="en-US" w:eastAsia="zh-CN"/>
                    </w:rPr>
                  </w:pPr>
                </w:p>
              </w:tc>
              <w:tc>
                <w:tcPr>
                  <w:tcW w:w="472" w:type="pct"/>
                  <w:vMerge w:val="continue"/>
                  <w:noWrap w:val="0"/>
                  <w:vAlign w:val="center"/>
                </w:tcPr>
                <w:p w14:paraId="2A018264">
                  <w:pPr>
                    <w:pStyle w:val="85"/>
                    <w:spacing w:before="0" w:after="0" w:line="240" w:lineRule="auto"/>
                    <w:rPr>
                      <w:rFonts w:hint="eastAsia" w:ascii="Times New Roman" w:hAnsi="Times New Roman" w:eastAsia="宋体" w:cs="Times New Roman"/>
                      <w:color w:val="000000" w:themeColor="text1"/>
                      <w:sz w:val="21"/>
                      <w:szCs w:val="21"/>
                      <w:lang w:val="en-US" w:eastAsia="zh-CN"/>
                    </w:rPr>
                  </w:pPr>
                </w:p>
              </w:tc>
            </w:tr>
            <w:tr w14:paraId="4AEC28E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216" w:type="pct"/>
                  <w:noWrap w:val="0"/>
                  <w:tcMar>
                    <w:left w:w="57" w:type="dxa"/>
                    <w:right w:w="57" w:type="dxa"/>
                  </w:tcMar>
                  <w:vAlign w:val="center"/>
                </w:tcPr>
                <w:p w14:paraId="4F5D8CFA">
                  <w:pPr>
                    <w:pStyle w:val="85"/>
                    <w:spacing w:before="0" w:after="0" w:line="240" w:lineRule="auto"/>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油罐</w:t>
                  </w:r>
                </w:p>
              </w:tc>
              <w:tc>
                <w:tcPr>
                  <w:tcW w:w="438" w:type="pct"/>
                  <w:vMerge w:val="continue"/>
                  <w:noWrap w:val="0"/>
                  <w:tcMar>
                    <w:left w:w="57" w:type="dxa"/>
                    <w:right w:w="57" w:type="dxa"/>
                  </w:tcMar>
                  <w:vAlign w:val="center"/>
                </w:tcPr>
                <w:p w14:paraId="550B268D">
                  <w:pPr>
                    <w:pStyle w:val="85"/>
                    <w:spacing w:before="0" w:after="0" w:line="240" w:lineRule="auto"/>
                    <w:rPr>
                      <w:rFonts w:hint="default" w:ascii="Times New Roman" w:hAnsi="Times New Roman" w:eastAsia="宋体" w:cs="Times New Roman"/>
                      <w:color w:val="000000" w:themeColor="text1"/>
                      <w:sz w:val="21"/>
                      <w:szCs w:val="21"/>
                      <w:lang w:val="en-US" w:eastAsia="zh-CN"/>
                    </w:rPr>
                  </w:pPr>
                </w:p>
              </w:tc>
              <w:tc>
                <w:tcPr>
                  <w:tcW w:w="363" w:type="pct"/>
                  <w:vMerge w:val="continue"/>
                  <w:noWrap w:val="0"/>
                  <w:tcMar>
                    <w:left w:w="57" w:type="dxa"/>
                    <w:right w:w="57" w:type="dxa"/>
                  </w:tcMar>
                  <w:vAlign w:val="center"/>
                </w:tcPr>
                <w:p w14:paraId="50FF168D">
                  <w:pPr>
                    <w:pStyle w:val="85"/>
                    <w:spacing w:before="0" w:after="0" w:line="240" w:lineRule="auto"/>
                    <w:rPr>
                      <w:rFonts w:hint="eastAsia" w:hAnsi="Times New Roman" w:eastAsia="宋体" w:cs="Times New Roman"/>
                      <w:color w:val="000000" w:themeColor="text1"/>
                      <w:sz w:val="21"/>
                      <w:szCs w:val="21"/>
                      <w:lang w:val="en-US" w:eastAsia="zh-CN"/>
                    </w:rPr>
                  </w:pPr>
                </w:p>
              </w:tc>
              <w:tc>
                <w:tcPr>
                  <w:tcW w:w="217" w:type="pct"/>
                  <w:vMerge w:val="continue"/>
                  <w:noWrap w:val="0"/>
                  <w:tcMar>
                    <w:left w:w="57" w:type="dxa"/>
                    <w:right w:w="57" w:type="dxa"/>
                  </w:tcMar>
                  <w:vAlign w:val="center"/>
                </w:tcPr>
                <w:p w14:paraId="1F34BDA5">
                  <w:pPr>
                    <w:pStyle w:val="85"/>
                    <w:spacing w:before="0" w:after="0" w:line="240" w:lineRule="auto"/>
                    <w:rPr>
                      <w:rFonts w:hint="eastAsia" w:hAnsi="Times New Roman" w:eastAsia="宋体" w:cs="Times New Roman"/>
                      <w:color w:val="000000" w:themeColor="text1"/>
                      <w:sz w:val="21"/>
                      <w:szCs w:val="21"/>
                      <w:lang w:val="en-US" w:eastAsia="zh-CN"/>
                    </w:rPr>
                  </w:pPr>
                </w:p>
              </w:tc>
              <w:tc>
                <w:tcPr>
                  <w:tcW w:w="288" w:type="pct"/>
                  <w:noWrap w:val="0"/>
                  <w:tcMar>
                    <w:left w:w="57" w:type="dxa"/>
                    <w:right w:w="57" w:type="dxa"/>
                  </w:tcMar>
                  <w:vAlign w:val="center"/>
                </w:tcPr>
                <w:p w14:paraId="5DDDB475">
                  <w:pPr>
                    <w:pStyle w:val="85"/>
                    <w:spacing w:before="0" w:after="0" w:line="240" w:lineRule="auto"/>
                    <w:rPr>
                      <w:rFonts w:hint="eastAsia"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90</w:t>
                  </w:r>
                </w:p>
              </w:tc>
              <w:tc>
                <w:tcPr>
                  <w:tcW w:w="571" w:type="pct"/>
                  <w:noWrap w:val="0"/>
                  <w:tcMar>
                    <w:left w:w="57" w:type="dxa"/>
                    <w:right w:w="57" w:type="dxa"/>
                  </w:tcMar>
                  <w:vAlign w:val="center"/>
                </w:tcPr>
                <w:p w14:paraId="03497AAE">
                  <w:pPr>
                    <w:pStyle w:val="85"/>
                    <w:spacing w:before="0" w:after="0" w:line="240" w:lineRule="auto"/>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0.4</w:t>
                  </w:r>
                </w:p>
              </w:tc>
              <w:tc>
                <w:tcPr>
                  <w:tcW w:w="548" w:type="pct"/>
                  <w:noWrap w:val="0"/>
                  <w:vAlign w:val="center"/>
                </w:tcPr>
                <w:p w14:paraId="07FB28EB">
                  <w:pPr>
                    <w:pStyle w:val="85"/>
                    <w:spacing w:before="0" w:after="0" w:line="240" w:lineRule="auto"/>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0.008</w:t>
                  </w:r>
                </w:p>
              </w:tc>
              <w:tc>
                <w:tcPr>
                  <w:tcW w:w="412" w:type="pct"/>
                  <w:noWrap w:val="0"/>
                  <w:tcMar>
                    <w:left w:w="57" w:type="dxa"/>
                    <w:right w:w="57" w:type="dxa"/>
                  </w:tcMar>
                  <w:vAlign w:val="center"/>
                </w:tcPr>
                <w:p w14:paraId="2FC74D77">
                  <w:pPr>
                    <w:pStyle w:val="85"/>
                    <w:spacing w:before="0" w:after="0" w:line="240" w:lineRule="auto"/>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0.058</w:t>
                  </w:r>
                </w:p>
              </w:tc>
              <w:tc>
                <w:tcPr>
                  <w:tcW w:w="288" w:type="pct"/>
                  <w:vMerge w:val="continue"/>
                  <w:noWrap w:val="0"/>
                  <w:vAlign w:val="center"/>
                </w:tcPr>
                <w:p w14:paraId="4AB8CBE4">
                  <w:pPr>
                    <w:pStyle w:val="85"/>
                    <w:spacing w:before="0" w:after="0" w:line="240" w:lineRule="auto"/>
                    <w:rPr>
                      <w:rFonts w:hint="eastAsia" w:ascii="Times New Roman" w:hAnsi="Times New Roman" w:eastAsia="宋体" w:cs="Times New Roman"/>
                      <w:color w:val="000000" w:themeColor="text1"/>
                      <w:sz w:val="21"/>
                      <w:szCs w:val="21"/>
                      <w:lang w:val="en-US" w:eastAsia="zh-CN"/>
                    </w:rPr>
                  </w:pPr>
                </w:p>
              </w:tc>
              <w:tc>
                <w:tcPr>
                  <w:tcW w:w="631" w:type="pct"/>
                  <w:vMerge w:val="continue"/>
                  <w:noWrap w:val="0"/>
                  <w:vAlign w:val="center"/>
                </w:tcPr>
                <w:p w14:paraId="5AEBB017">
                  <w:pPr>
                    <w:pStyle w:val="85"/>
                    <w:spacing w:before="0" w:after="0" w:line="240" w:lineRule="auto"/>
                    <w:rPr>
                      <w:rFonts w:hint="eastAsia" w:ascii="Times New Roman" w:hAnsi="Times New Roman" w:eastAsia="宋体" w:cs="Times New Roman"/>
                      <w:color w:val="000000" w:themeColor="text1"/>
                      <w:sz w:val="21"/>
                      <w:szCs w:val="21"/>
                      <w:lang w:val="en-US" w:eastAsia="zh-CN"/>
                    </w:rPr>
                  </w:pPr>
                </w:p>
              </w:tc>
              <w:tc>
                <w:tcPr>
                  <w:tcW w:w="548" w:type="pct"/>
                  <w:vMerge w:val="continue"/>
                  <w:noWrap w:val="0"/>
                  <w:vAlign w:val="center"/>
                </w:tcPr>
                <w:p w14:paraId="2472EEC4">
                  <w:pPr>
                    <w:pStyle w:val="85"/>
                    <w:spacing w:before="0" w:after="0" w:line="240" w:lineRule="auto"/>
                    <w:rPr>
                      <w:rFonts w:hint="eastAsia" w:ascii="Times New Roman" w:hAnsi="Times New Roman" w:eastAsia="宋体" w:cs="Times New Roman"/>
                      <w:color w:val="000000" w:themeColor="text1"/>
                      <w:sz w:val="21"/>
                      <w:szCs w:val="21"/>
                      <w:lang w:val="en-US" w:eastAsia="zh-CN"/>
                    </w:rPr>
                  </w:pPr>
                </w:p>
              </w:tc>
              <w:tc>
                <w:tcPr>
                  <w:tcW w:w="472" w:type="pct"/>
                  <w:vMerge w:val="continue"/>
                  <w:noWrap w:val="0"/>
                  <w:vAlign w:val="center"/>
                </w:tcPr>
                <w:p w14:paraId="48D28C3F">
                  <w:pPr>
                    <w:pStyle w:val="85"/>
                    <w:spacing w:before="0" w:after="0" w:line="240" w:lineRule="auto"/>
                    <w:rPr>
                      <w:rFonts w:hint="eastAsia" w:ascii="Times New Roman" w:hAnsi="Times New Roman" w:eastAsia="宋体" w:cs="Times New Roman"/>
                      <w:color w:val="000000" w:themeColor="text1"/>
                      <w:sz w:val="21"/>
                      <w:szCs w:val="21"/>
                      <w:lang w:val="en-US" w:eastAsia="zh-CN"/>
                    </w:rPr>
                  </w:pPr>
                </w:p>
              </w:tc>
            </w:tr>
          </w:tbl>
          <w:p w14:paraId="5DE74562">
            <w:pPr>
              <w:adjustRightInd w:val="0"/>
              <w:snapToGrid w:val="0"/>
              <w:jc w:val="center"/>
              <w:rPr>
                <w:rFonts w:hint="default" w:ascii="Times New Roman" w:hAnsi="Times New Roman" w:eastAsia="宋体" w:cs="Times New Roman"/>
                <w:b/>
                <w:bCs/>
                <w:color w:val="000000" w:themeColor="text1"/>
                <w:sz w:val="24"/>
                <w:szCs w:val="32"/>
              </w:rPr>
            </w:pPr>
          </w:p>
          <w:p w14:paraId="4B52D6AE">
            <w:pPr>
              <w:adjustRightInd w:val="0"/>
              <w:snapToGrid w:val="0"/>
              <w:jc w:val="center"/>
              <w:rPr>
                <w:rFonts w:hint="default" w:ascii="Times New Roman" w:hAnsi="Times New Roman" w:eastAsia="宋体" w:cs="Times New Roman"/>
                <w:b/>
                <w:bCs/>
                <w:color w:val="000000" w:themeColor="text1"/>
                <w:sz w:val="24"/>
                <w:szCs w:val="32"/>
              </w:rPr>
            </w:pPr>
            <w:r>
              <w:rPr>
                <w:rFonts w:hint="default" w:ascii="Times New Roman" w:hAnsi="Times New Roman" w:eastAsia="宋体" w:cs="Times New Roman"/>
                <w:b/>
                <w:bCs/>
                <w:color w:val="000000" w:themeColor="text1"/>
                <w:sz w:val="24"/>
                <w:szCs w:val="32"/>
              </w:rPr>
              <w:t>表4-</w:t>
            </w:r>
            <w:r>
              <w:rPr>
                <w:rFonts w:hint="eastAsia" w:ascii="Times New Roman" w:hAnsi="Times New Roman" w:eastAsia="宋体" w:cs="Times New Roman"/>
                <w:b/>
                <w:bCs/>
                <w:color w:val="000000" w:themeColor="text1"/>
                <w:sz w:val="24"/>
                <w:szCs w:val="32"/>
                <w:lang w:val="en-US" w:eastAsia="zh-CN"/>
              </w:rPr>
              <w:t>3</w:t>
            </w:r>
            <w:r>
              <w:rPr>
                <w:rFonts w:hint="default" w:ascii="Times New Roman" w:hAnsi="Times New Roman" w:eastAsia="宋体" w:cs="Times New Roman"/>
                <w:b/>
                <w:bCs/>
                <w:color w:val="000000" w:themeColor="text1"/>
                <w:sz w:val="24"/>
                <w:szCs w:val="32"/>
              </w:rPr>
              <w:t xml:space="preserve"> 废气排放口基本情况一览表</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2"/>
              <w:gridCol w:w="642"/>
              <w:gridCol w:w="642"/>
              <w:gridCol w:w="1267"/>
              <w:gridCol w:w="803"/>
              <w:gridCol w:w="1290"/>
              <w:gridCol w:w="1891"/>
              <w:gridCol w:w="1252"/>
            </w:tblGrid>
            <w:tr w14:paraId="2FC3D7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715" w:type="dxa"/>
                  <w:vMerge w:val="restart"/>
                  <w:noWrap w:val="0"/>
                  <w:vAlign w:val="center"/>
                </w:tcPr>
                <w:p w14:paraId="44A9EB6A">
                  <w:pPr>
                    <w:snapToGrid w:val="0"/>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排气筒高度</w:t>
                  </w:r>
                </w:p>
              </w:tc>
              <w:tc>
                <w:tcPr>
                  <w:tcW w:w="642" w:type="dxa"/>
                  <w:vMerge w:val="restart"/>
                  <w:noWrap w:val="0"/>
                  <w:vAlign w:val="center"/>
                </w:tcPr>
                <w:p w14:paraId="500B5F45">
                  <w:pPr>
                    <w:snapToGrid w:val="0"/>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内径</w:t>
                  </w:r>
                </w:p>
              </w:tc>
              <w:tc>
                <w:tcPr>
                  <w:tcW w:w="642" w:type="dxa"/>
                  <w:vMerge w:val="restart"/>
                  <w:noWrap w:val="0"/>
                  <w:vAlign w:val="center"/>
                </w:tcPr>
                <w:p w14:paraId="76F5F40C">
                  <w:pPr>
                    <w:snapToGrid w:val="0"/>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温度</w:t>
                  </w:r>
                </w:p>
              </w:tc>
              <w:tc>
                <w:tcPr>
                  <w:tcW w:w="1278" w:type="dxa"/>
                  <w:vMerge w:val="restart"/>
                  <w:noWrap w:val="0"/>
                  <w:vAlign w:val="center"/>
                </w:tcPr>
                <w:p w14:paraId="2A871D71">
                  <w:pPr>
                    <w:snapToGrid w:val="0"/>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编号及名称</w:t>
                  </w:r>
                </w:p>
              </w:tc>
              <w:tc>
                <w:tcPr>
                  <w:tcW w:w="813" w:type="dxa"/>
                  <w:vMerge w:val="restart"/>
                  <w:noWrap w:val="0"/>
                  <w:vAlign w:val="center"/>
                </w:tcPr>
                <w:p w14:paraId="5BEF65B1">
                  <w:pPr>
                    <w:snapToGrid w:val="0"/>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类型</w:t>
                  </w:r>
                </w:p>
              </w:tc>
              <w:tc>
                <w:tcPr>
                  <w:tcW w:w="1258" w:type="dxa"/>
                  <w:vMerge w:val="restart"/>
                  <w:noWrap w:val="0"/>
                  <w:vAlign w:val="center"/>
                </w:tcPr>
                <w:p w14:paraId="6A52397B">
                  <w:pPr>
                    <w:snapToGrid w:val="0"/>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地理坐标</w:t>
                  </w:r>
                </w:p>
              </w:tc>
              <w:tc>
                <w:tcPr>
                  <w:tcW w:w="3151" w:type="dxa"/>
                  <w:gridSpan w:val="2"/>
                  <w:noWrap w:val="0"/>
                  <w:vAlign w:val="center"/>
                </w:tcPr>
                <w:p w14:paraId="001C687F">
                  <w:pPr>
                    <w:snapToGrid w:val="0"/>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排放标准</w:t>
                  </w:r>
                </w:p>
              </w:tc>
            </w:tr>
            <w:tr w14:paraId="2231B2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715" w:type="dxa"/>
                  <w:vMerge w:val="continue"/>
                  <w:noWrap w:val="0"/>
                  <w:vAlign w:val="center"/>
                </w:tcPr>
                <w:p w14:paraId="474519A8">
                  <w:pPr>
                    <w:snapToGrid w:val="0"/>
                    <w:jc w:val="center"/>
                    <w:rPr>
                      <w:rFonts w:hint="default" w:ascii="Times New Roman" w:hAnsi="Times New Roman" w:eastAsia="宋体" w:cs="Times New Roman"/>
                      <w:color w:val="000000" w:themeColor="text1"/>
                      <w:sz w:val="21"/>
                      <w:szCs w:val="21"/>
                    </w:rPr>
                  </w:pPr>
                </w:p>
              </w:tc>
              <w:tc>
                <w:tcPr>
                  <w:tcW w:w="642" w:type="dxa"/>
                  <w:vMerge w:val="continue"/>
                  <w:noWrap w:val="0"/>
                  <w:vAlign w:val="center"/>
                </w:tcPr>
                <w:p w14:paraId="040BC8F4">
                  <w:pPr>
                    <w:snapToGrid w:val="0"/>
                    <w:jc w:val="center"/>
                    <w:rPr>
                      <w:rFonts w:hint="default" w:ascii="Times New Roman" w:hAnsi="Times New Roman" w:eastAsia="宋体" w:cs="Times New Roman"/>
                      <w:color w:val="000000" w:themeColor="text1"/>
                      <w:sz w:val="21"/>
                      <w:szCs w:val="21"/>
                    </w:rPr>
                  </w:pPr>
                </w:p>
              </w:tc>
              <w:tc>
                <w:tcPr>
                  <w:tcW w:w="642" w:type="dxa"/>
                  <w:vMerge w:val="continue"/>
                  <w:noWrap w:val="0"/>
                  <w:vAlign w:val="center"/>
                </w:tcPr>
                <w:p w14:paraId="18DBECC3">
                  <w:pPr>
                    <w:snapToGrid w:val="0"/>
                    <w:jc w:val="center"/>
                    <w:rPr>
                      <w:rFonts w:hint="default" w:ascii="Times New Roman" w:hAnsi="Times New Roman" w:eastAsia="宋体" w:cs="Times New Roman"/>
                      <w:color w:val="000000" w:themeColor="text1"/>
                      <w:sz w:val="21"/>
                      <w:szCs w:val="21"/>
                    </w:rPr>
                  </w:pPr>
                </w:p>
              </w:tc>
              <w:tc>
                <w:tcPr>
                  <w:tcW w:w="1278" w:type="dxa"/>
                  <w:vMerge w:val="continue"/>
                  <w:noWrap w:val="0"/>
                  <w:vAlign w:val="center"/>
                </w:tcPr>
                <w:p w14:paraId="2A5C8D8D">
                  <w:pPr>
                    <w:snapToGrid w:val="0"/>
                    <w:jc w:val="center"/>
                    <w:rPr>
                      <w:rFonts w:hint="default" w:ascii="Times New Roman" w:hAnsi="Times New Roman" w:eastAsia="宋体" w:cs="Times New Roman"/>
                      <w:color w:val="000000" w:themeColor="text1"/>
                      <w:sz w:val="21"/>
                      <w:szCs w:val="21"/>
                    </w:rPr>
                  </w:pPr>
                </w:p>
              </w:tc>
              <w:tc>
                <w:tcPr>
                  <w:tcW w:w="813" w:type="dxa"/>
                  <w:vMerge w:val="continue"/>
                  <w:noWrap w:val="0"/>
                  <w:vAlign w:val="center"/>
                </w:tcPr>
                <w:p w14:paraId="1382C114">
                  <w:pPr>
                    <w:snapToGrid w:val="0"/>
                    <w:jc w:val="center"/>
                    <w:rPr>
                      <w:rFonts w:hint="default" w:ascii="Times New Roman" w:hAnsi="Times New Roman" w:eastAsia="宋体" w:cs="Times New Roman"/>
                      <w:color w:val="000000" w:themeColor="text1"/>
                      <w:sz w:val="21"/>
                      <w:szCs w:val="21"/>
                    </w:rPr>
                  </w:pPr>
                </w:p>
              </w:tc>
              <w:tc>
                <w:tcPr>
                  <w:tcW w:w="1258" w:type="dxa"/>
                  <w:vMerge w:val="continue"/>
                  <w:noWrap w:val="0"/>
                  <w:vAlign w:val="center"/>
                </w:tcPr>
                <w:p w14:paraId="4511127F">
                  <w:pPr>
                    <w:snapToGrid w:val="0"/>
                    <w:jc w:val="center"/>
                    <w:rPr>
                      <w:rFonts w:hint="default" w:ascii="Times New Roman" w:hAnsi="Times New Roman" w:eastAsia="宋体" w:cs="Times New Roman"/>
                      <w:color w:val="000000" w:themeColor="text1"/>
                      <w:sz w:val="21"/>
                      <w:szCs w:val="21"/>
                    </w:rPr>
                  </w:pPr>
                </w:p>
              </w:tc>
              <w:tc>
                <w:tcPr>
                  <w:tcW w:w="1891" w:type="dxa"/>
                  <w:noWrap w:val="0"/>
                  <w:vAlign w:val="center"/>
                </w:tcPr>
                <w:p w14:paraId="319BAC62">
                  <w:pPr>
                    <w:pStyle w:val="11"/>
                    <w:adjustRightInd w:val="0"/>
                    <w:spacing w:before="0" w:after="0" w:line="240" w:lineRule="auto"/>
                    <w:ind w:right="0"/>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标准名称</w:t>
                  </w:r>
                </w:p>
              </w:tc>
              <w:tc>
                <w:tcPr>
                  <w:tcW w:w="1260" w:type="dxa"/>
                  <w:noWrap w:val="0"/>
                  <w:vAlign w:val="center"/>
                </w:tcPr>
                <w:p w14:paraId="70BB61AA">
                  <w:pPr>
                    <w:pStyle w:val="11"/>
                    <w:adjustRightInd w:val="0"/>
                    <w:spacing w:before="0" w:after="0" w:line="240" w:lineRule="auto"/>
                    <w:ind w:right="0"/>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浓度限值(mg/m</w:t>
                  </w:r>
                  <w:r>
                    <w:rPr>
                      <w:rFonts w:hint="default" w:ascii="Times New Roman" w:hAnsi="Times New Roman" w:eastAsia="宋体" w:cs="Times New Roman"/>
                      <w:color w:val="000000" w:themeColor="text1"/>
                      <w:sz w:val="21"/>
                      <w:szCs w:val="21"/>
                      <w:vertAlign w:val="superscript"/>
                    </w:rPr>
                    <w:t>3</w:t>
                  </w:r>
                  <w:r>
                    <w:rPr>
                      <w:rFonts w:hint="default" w:ascii="Times New Roman" w:hAnsi="Times New Roman" w:eastAsia="宋体" w:cs="Times New Roman"/>
                      <w:color w:val="000000" w:themeColor="text1"/>
                      <w:sz w:val="21"/>
                      <w:szCs w:val="21"/>
                    </w:rPr>
                    <w:t>)</w:t>
                  </w:r>
                </w:p>
              </w:tc>
            </w:tr>
            <w:tr w14:paraId="6A23ED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715" w:type="dxa"/>
                  <w:noWrap w:val="0"/>
                  <w:vAlign w:val="center"/>
                </w:tcPr>
                <w:p w14:paraId="1A2C9035">
                  <w:pPr>
                    <w:snapToGrid w:val="0"/>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15m</w:t>
                  </w:r>
                </w:p>
              </w:tc>
              <w:tc>
                <w:tcPr>
                  <w:tcW w:w="642" w:type="dxa"/>
                  <w:noWrap w:val="0"/>
                  <w:vAlign w:val="center"/>
                </w:tcPr>
                <w:p w14:paraId="6879B37F">
                  <w:pPr>
                    <w:snapToGrid w:val="0"/>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0.</w:t>
                  </w:r>
                  <w:r>
                    <w:rPr>
                      <w:rFonts w:hint="eastAsia" w:ascii="Times New Roman" w:hAnsi="Times New Roman" w:eastAsia="宋体" w:cs="Times New Roman"/>
                      <w:color w:val="000000" w:themeColor="text1"/>
                      <w:sz w:val="21"/>
                      <w:szCs w:val="21"/>
                      <w:lang w:val="en-US" w:eastAsia="zh-CN"/>
                    </w:rPr>
                    <w:t>2</w:t>
                  </w:r>
                  <w:r>
                    <w:rPr>
                      <w:rFonts w:hint="default" w:ascii="Times New Roman" w:hAnsi="Times New Roman" w:eastAsia="宋体" w:cs="Times New Roman"/>
                      <w:color w:val="000000" w:themeColor="text1"/>
                      <w:sz w:val="21"/>
                      <w:szCs w:val="21"/>
                    </w:rPr>
                    <w:t>m</w:t>
                  </w:r>
                </w:p>
              </w:tc>
              <w:tc>
                <w:tcPr>
                  <w:tcW w:w="642" w:type="dxa"/>
                  <w:noWrap w:val="0"/>
                  <w:vAlign w:val="center"/>
                </w:tcPr>
                <w:p w14:paraId="40DCCB99">
                  <w:pPr>
                    <w:snapToGrid w:val="0"/>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25℃</w:t>
                  </w:r>
                </w:p>
              </w:tc>
              <w:tc>
                <w:tcPr>
                  <w:tcW w:w="1278" w:type="dxa"/>
                  <w:noWrap w:val="0"/>
                  <w:vAlign w:val="center"/>
                </w:tcPr>
                <w:p w14:paraId="5E8DE598">
                  <w:pPr>
                    <w:snapToGrid w:val="0"/>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DA001排气筒</w:t>
                  </w:r>
                </w:p>
              </w:tc>
              <w:tc>
                <w:tcPr>
                  <w:tcW w:w="813" w:type="dxa"/>
                  <w:noWrap w:val="0"/>
                  <w:vAlign w:val="center"/>
                </w:tcPr>
                <w:p w14:paraId="3A418ABC">
                  <w:pPr>
                    <w:snapToGrid w:val="0"/>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一般排放口</w:t>
                  </w:r>
                </w:p>
              </w:tc>
              <w:tc>
                <w:tcPr>
                  <w:tcW w:w="1258" w:type="dxa"/>
                  <w:noWrap w:val="0"/>
                  <w:vAlign w:val="center"/>
                </w:tcPr>
                <w:p w14:paraId="37619A8D">
                  <w:pPr>
                    <w:snapToGrid w:val="0"/>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116.814674°</w:t>
                  </w:r>
                </w:p>
                <w:p w14:paraId="1E937825">
                  <w:pPr>
                    <w:snapToGrid w:val="0"/>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34.035249°</w:t>
                  </w:r>
                </w:p>
              </w:tc>
              <w:tc>
                <w:tcPr>
                  <w:tcW w:w="1891" w:type="dxa"/>
                  <w:shd w:val="clear" w:color="auto" w:fill="auto"/>
                  <w:noWrap w:val="0"/>
                  <w:vAlign w:val="center"/>
                </w:tcPr>
                <w:p w14:paraId="13855B63">
                  <w:pPr>
                    <w:snapToGrid w:val="0"/>
                    <w:jc w:val="center"/>
                    <w:rPr>
                      <w:rFonts w:hint="default" w:ascii="Times New Roman" w:hAnsi="Times New Roman" w:eastAsia="宋体" w:cs="Times New Roman"/>
                      <w:color w:val="000000" w:themeColor="text1"/>
                      <w:kern w:val="2"/>
                      <w:sz w:val="21"/>
                      <w:szCs w:val="21"/>
                      <w:lang w:val="en-US" w:eastAsia="zh-CN" w:bidi="ar-SA"/>
                    </w:rPr>
                  </w:pPr>
                  <w:r>
                    <w:rPr>
                      <w:rFonts w:hint="default" w:ascii="Times New Roman" w:hAnsi="Times New Roman" w:eastAsia="宋体" w:cs="Times New Roman"/>
                      <w:color w:val="000000" w:themeColor="text1"/>
                      <w:sz w:val="21"/>
                      <w:szCs w:val="21"/>
                      <w:highlight w:val="none"/>
                      <w:lang w:val="en-US" w:eastAsia="zh-CN"/>
                    </w:rPr>
                    <w:t>DB34_4812.6-2024</w:t>
                  </w:r>
                </w:p>
              </w:tc>
              <w:tc>
                <w:tcPr>
                  <w:tcW w:w="1260" w:type="dxa"/>
                  <w:shd w:val="clear" w:color="auto" w:fill="auto"/>
                  <w:noWrap w:val="0"/>
                  <w:vAlign w:val="center"/>
                </w:tcPr>
                <w:p w14:paraId="020FA283">
                  <w:pPr>
                    <w:snapToGrid w:val="0"/>
                    <w:jc w:val="center"/>
                    <w:rPr>
                      <w:rFonts w:hint="default" w:ascii="Times New Roman" w:hAnsi="Times New Roman" w:eastAsia="宋体" w:cs="Times New Roman"/>
                      <w:color w:val="000000" w:themeColor="text1"/>
                      <w:kern w:val="2"/>
                      <w:sz w:val="21"/>
                      <w:szCs w:val="21"/>
                      <w:lang w:val="en-US" w:eastAsia="zh-CN" w:bidi="ar-SA"/>
                    </w:rPr>
                  </w:pPr>
                  <w:r>
                    <w:rPr>
                      <w:rFonts w:hint="default" w:ascii="Times New Roman" w:hAnsi="Times New Roman" w:eastAsia="宋体" w:cs="Times New Roman"/>
                      <w:color w:val="000000" w:themeColor="text1"/>
                      <w:sz w:val="21"/>
                      <w:szCs w:val="21"/>
                    </w:rPr>
                    <w:t>非甲烷总烃：</w:t>
                  </w:r>
                  <w:r>
                    <w:rPr>
                      <w:rFonts w:hint="eastAsia" w:ascii="Times New Roman" w:hAnsi="Times New Roman" w:eastAsia="宋体" w:cs="Times New Roman"/>
                      <w:color w:val="000000" w:themeColor="text1"/>
                      <w:sz w:val="21"/>
                      <w:szCs w:val="21"/>
                      <w:lang w:val="en-US" w:eastAsia="zh-CN"/>
                    </w:rPr>
                    <w:t>50</w:t>
                  </w:r>
                </w:p>
              </w:tc>
            </w:tr>
          </w:tbl>
          <w:p w14:paraId="2CF8827C">
            <w:pPr>
              <w:jc w:val="center"/>
              <w:rPr>
                <w:rFonts w:hint="default" w:ascii="Times New Roman" w:hAnsi="Times New Roman" w:eastAsia="宋体" w:cs="Times New Roman"/>
                <w:b/>
                <w:bCs/>
                <w:color w:val="000000" w:themeColor="text1"/>
                <w:sz w:val="24"/>
                <w:szCs w:val="32"/>
              </w:rPr>
            </w:pPr>
          </w:p>
          <w:p w14:paraId="7329E724">
            <w:pPr>
              <w:jc w:val="center"/>
              <w:rPr>
                <w:rFonts w:hint="default"/>
                <w:color w:val="000000" w:themeColor="text1"/>
              </w:rPr>
            </w:pPr>
            <w:r>
              <w:rPr>
                <w:rFonts w:hint="default" w:ascii="Times New Roman" w:hAnsi="Times New Roman" w:eastAsia="宋体" w:cs="Times New Roman"/>
                <w:b/>
                <w:bCs/>
                <w:color w:val="000000" w:themeColor="text1"/>
                <w:sz w:val="24"/>
                <w:szCs w:val="32"/>
              </w:rPr>
              <w:t>表4-</w:t>
            </w:r>
            <w:r>
              <w:rPr>
                <w:rFonts w:hint="eastAsia" w:ascii="Times New Roman" w:hAnsi="Times New Roman" w:eastAsia="宋体" w:cs="Times New Roman"/>
                <w:b/>
                <w:bCs/>
                <w:color w:val="000000" w:themeColor="text1"/>
                <w:sz w:val="24"/>
                <w:szCs w:val="32"/>
                <w:lang w:val="en-US" w:eastAsia="zh-CN"/>
              </w:rPr>
              <w:t>4</w:t>
            </w:r>
            <w:r>
              <w:rPr>
                <w:rFonts w:hint="default" w:ascii="Times New Roman" w:hAnsi="Times New Roman" w:eastAsia="宋体" w:cs="Times New Roman"/>
                <w:b/>
                <w:bCs/>
                <w:color w:val="000000" w:themeColor="text1"/>
                <w:sz w:val="24"/>
                <w:szCs w:val="32"/>
              </w:rPr>
              <w:t xml:space="preserve">  无组织废气产生及排放情况一览表</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211"/>
              <w:gridCol w:w="1965"/>
              <w:gridCol w:w="1552"/>
              <w:gridCol w:w="1251"/>
              <w:gridCol w:w="1251"/>
              <w:gridCol w:w="1269"/>
            </w:tblGrid>
            <w:tr w14:paraId="182860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25" w:hRule="atLeast"/>
                <w:jc w:val="center"/>
              </w:trPr>
              <w:tc>
                <w:tcPr>
                  <w:tcW w:w="712" w:type="pct"/>
                  <w:vMerge w:val="restart"/>
                  <w:noWrap w:val="0"/>
                  <w:vAlign w:val="center"/>
                </w:tcPr>
                <w:p w14:paraId="0A69C012">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排放源</w:t>
                  </w:r>
                </w:p>
              </w:tc>
              <w:tc>
                <w:tcPr>
                  <w:tcW w:w="1155" w:type="pct"/>
                  <w:vMerge w:val="restart"/>
                  <w:noWrap w:val="0"/>
                  <w:vAlign w:val="center"/>
                </w:tcPr>
                <w:p w14:paraId="3FCD94F6">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产污环节</w:t>
                  </w:r>
                </w:p>
              </w:tc>
              <w:tc>
                <w:tcPr>
                  <w:tcW w:w="913" w:type="pct"/>
                  <w:vMerge w:val="restart"/>
                  <w:noWrap w:val="0"/>
                  <w:vAlign w:val="center"/>
                </w:tcPr>
                <w:p w14:paraId="5BEBA3F3">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污染因子</w:t>
                  </w:r>
                </w:p>
              </w:tc>
              <w:tc>
                <w:tcPr>
                  <w:tcW w:w="2218" w:type="pct"/>
                  <w:gridSpan w:val="3"/>
                  <w:noWrap w:val="0"/>
                  <w:vAlign w:val="center"/>
                </w:tcPr>
                <w:p w14:paraId="0A7562BC">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无组织排放</w:t>
                  </w:r>
                </w:p>
              </w:tc>
            </w:tr>
            <w:tr w14:paraId="63DBD6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25" w:hRule="atLeast"/>
                <w:jc w:val="center"/>
              </w:trPr>
              <w:tc>
                <w:tcPr>
                  <w:tcW w:w="712" w:type="pct"/>
                  <w:vMerge w:val="continue"/>
                  <w:noWrap w:val="0"/>
                  <w:vAlign w:val="center"/>
                </w:tcPr>
                <w:p w14:paraId="2B93423B">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z w:val="21"/>
                      <w:szCs w:val="21"/>
                    </w:rPr>
                  </w:pPr>
                </w:p>
              </w:tc>
              <w:tc>
                <w:tcPr>
                  <w:tcW w:w="1155" w:type="pct"/>
                  <w:vMerge w:val="continue"/>
                  <w:noWrap w:val="0"/>
                  <w:vAlign w:val="center"/>
                </w:tcPr>
                <w:p w14:paraId="652C3977">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z w:val="21"/>
                      <w:szCs w:val="21"/>
                    </w:rPr>
                  </w:pPr>
                </w:p>
              </w:tc>
              <w:tc>
                <w:tcPr>
                  <w:tcW w:w="913" w:type="pct"/>
                  <w:vMerge w:val="continue"/>
                  <w:noWrap w:val="0"/>
                  <w:vAlign w:val="center"/>
                </w:tcPr>
                <w:p w14:paraId="3CC95C27">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z w:val="21"/>
                      <w:szCs w:val="21"/>
                    </w:rPr>
                  </w:pPr>
                </w:p>
              </w:tc>
              <w:tc>
                <w:tcPr>
                  <w:tcW w:w="736" w:type="pct"/>
                  <w:noWrap w:val="0"/>
                  <w:vAlign w:val="center"/>
                </w:tcPr>
                <w:p w14:paraId="4B6CB3AA">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产生量(t/a)</w:t>
                  </w:r>
                </w:p>
              </w:tc>
              <w:tc>
                <w:tcPr>
                  <w:tcW w:w="736" w:type="pct"/>
                  <w:noWrap w:val="0"/>
                  <w:vAlign w:val="center"/>
                </w:tcPr>
                <w:p w14:paraId="48B37D69">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削减量(t/a)</w:t>
                  </w:r>
                </w:p>
              </w:tc>
              <w:tc>
                <w:tcPr>
                  <w:tcW w:w="745" w:type="pct"/>
                  <w:noWrap w:val="0"/>
                  <w:vAlign w:val="center"/>
                </w:tcPr>
                <w:p w14:paraId="41348361">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排放量(t/a)</w:t>
                  </w:r>
                </w:p>
              </w:tc>
            </w:tr>
            <w:tr w14:paraId="75105B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25" w:hRule="atLeast"/>
                <w:jc w:val="center"/>
              </w:trPr>
              <w:tc>
                <w:tcPr>
                  <w:tcW w:w="712" w:type="pct"/>
                  <w:vMerge w:val="restart"/>
                  <w:noWrap w:val="0"/>
                  <w:vAlign w:val="center"/>
                </w:tcPr>
                <w:p w14:paraId="3113DBB4">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生产车间</w:t>
                  </w:r>
                </w:p>
              </w:tc>
              <w:tc>
                <w:tcPr>
                  <w:tcW w:w="1155" w:type="pct"/>
                  <w:noWrap w:val="0"/>
                  <w:vAlign w:val="center"/>
                </w:tcPr>
                <w:p w14:paraId="52A02E4B">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lang w:val="en-US" w:eastAsia="zh-CN"/>
                    </w:rPr>
                  </w:pPr>
                  <w:r>
                    <w:rPr>
                      <w:rFonts w:hint="eastAsia" w:ascii="Times New Roman" w:hAnsi="Times New Roman" w:cs="Times New Roman"/>
                      <w:color w:val="000000" w:themeColor="text1"/>
                      <w:sz w:val="21"/>
                      <w:szCs w:val="21"/>
                      <w:lang w:val="en-US" w:eastAsia="zh-CN"/>
                    </w:rPr>
                    <w:t>焊接</w:t>
                  </w:r>
                </w:p>
              </w:tc>
              <w:tc>
                <w:tcPr>
                  <w:tcW w:w="913" w:type="pct"/>
                  <w:noWrap w:val="0"/>
                  <w:vAlign w:val="center"/>
                </w:tcPr>
                <w:p w14:paraId="640D768D">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eastAsia" w:ascii="Times New Roman" w:hAnsi="Times New Roman" w:eastAsia="宋体" w:cs="Times New Roman"/>
                      <w:color w:val="000000" w:themeColor="text1"/>
                      <w:sz w:val="21"/>
                      <w:szCs w:val="21"/>
                      <w:lang w:eastAsia="zh-CN"/>
                    </w:rPr>
                  </w:pPr>
                  <w:r>
                    <w:rPr>
                      <w:rFonts w:hint="eastAsia" w:ascii="Times New Roman" w:hAnsi="Times New Roman" w:cs="Times New Roman"/>
                      <w:color w:val="000000" w:themeColor="text1"/>
                      <w:sz w:val="21"/>
                      <w:szCs w:val="21"/>
                      <w:lang w:val="en-US" w:eastAsia="zh-CN"/>
                    </w:rPr>
                    <w:t>颗粒物</w:t>
                  </w:r>
                </w:p>
              </w:tc>
              <w:tc>
                <w:tcPr>
                  <w:tcW w:w="736" w:type="pct"/>
                  <w:noWrap w:val="0"/>
                  <w:vAlign w:val="center"/>
                </w:tcPr>
                <w:p w14:paraId="14B76144">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lang w:val="en-US" w:eastAsia="zh-CN"/>
                    </w:rPr>
                  </w:pPr>
                  <w:r>
                    <w:rPr>
                      <w:rFonts w:hint="eastAsia" w:ascii="Times New Roman" w:hAnsi="Times New Roman" w:cs="Times New Roman"/>
                      <w:color w:val="000000" w:themeColor="text1"/>
                      <w:sz w:val="21"/>
                      <w:szCs w:val="21"/>
                      <w:lang w:val="en-US" w:eastAsia="zh-CN"/>
                    </w:rPr>
                    <w:t>0.000</w:t>
                  </w:r>
                  <w:r>
                    <w:rPr>
                      <w:rFonts w:hint="eastAsia" w:cs="Times New Roman"/>
                      <w:color w:val="000000" w:themeColor="text1"/>
                      <w:sz w:val="21"/>
                      <w:szCs w:val="21"/>
                      <w:lang w:val="en-US" w:eastAsia="zh-CN"/>
                    </w:rPr>
                    <w:t>8</w:t>
                  </w:r>
                </w:p>
              </w:tc>
              <w:tc>
                <w:tcPr>
                  <w:tcW w:w="736" w:type="pct"/>
                  <w:noWrap w:val="0"/>
                  <w:vAlign w:val="center"/>
                </w:tcPr>
                <w:p w14:paraId="18DA97C0">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0.00068</w:t>
                  </w:r>
                </w:p>
              </w:tc>
              <w:tc>
                <w:tcPr>
                  <w:tcW w:w="745" w:type="pct"/>
                  <w:noWrap w:val="0"/>
                  <w:vAlign w:val="center"/>
                </w:tcPr>
                <w:p w14:paraId="3F9990FD">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z w:val="21"/>
                      <w:szCs w:val="21"/>
                      <w:lang w:val="en-US"/>
                    </w:rPr>
                  </w:pPr>
                  <w:r>
                    <w:rPr>
                      <w:rFonts w:hint="eastAsia" w:ascii="Times New Roman" w:hAnsi="Times New Roman" w:cs="Times New Roman"/>
                      <w:color w:val="000000" w:themeColor="text1"/>
                      <w:sz w:val="21"/>
                      <w:szCs w:val="21"/>
                      <w:lang w:val="en-US" w:eastAsia="zh-CN"/>
                    </w:rPr>
                    <w:t>0.000</w:t>
                  </w:r>
                  <w:r>
                    <w:rPr>
                      <w:rFonts w:hint="eastAsia" w:cs="Times New Roman"/>
                      <w:color w:val="000000" w:themeColor="text1"/>
                      <w:sz w:val="21"/>
                      <w:szCs w:val="21"/>
                      <w:lang w:val="en-US" w:eastAsia="zh-CN"/>
                    </w:rPr>
                    <w:t>12</w:t>
                  </w:r>
                </w:p>
              </w:tc>
            </w:tr>
            <w:tr w14:paraId="7E53F6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25" w:hRule="atLeast"/>
                <w:jc w:val="center"/>
              </w:trPr>
              <w:tc>
                <w:tcPr>
                  <w:tcW w:w="712" w:type="pct"/>
                  <w:vMerge w:val="continue"/>
                  <w:noWrap w:val="0"/>
                  <w:vAlign w:val="center"/>
                </w:tcPr>
                <w:p w14:paraId="2D7E5624">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z w:val="21"/>
                      <w:szCs w:val="21"/>
                    </w:rPr>
                  </w:pPr>
                </w:p>
              </w:tc>
              <w:tc>
                <w:tcPr>
                  <w:tcW w:w="1155" w:type="pct"/>
                  <w:noWrap w:val="0"/>
                  <w:vAlign w:val="center"/>
                </w:tcPr>
                <w:p w14:paraId="507498D0">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z w:val="21"/>
                      <w:szCs w:val="21"/>
                      <w:lang w:val="en-US" w:eastAsia="zh-CN"/>
                    </w:rPr>
                  </w:pPr>
                  <w:r>
                    <w:rPr>
                      <w:rFonts w:hint="eastAsia" w:ascii="Times New Roman" w:hAnsi="Times New Roman" w:cs="Times New Roman"/>
                      <w:color w:val="000000" w:themeColor="text1"/>
                      <w:sz w:val="21"/>
                      <w:szCs w:val="21"/>
                      <w:lang w:val="en-US" w:eastAsia="zh-CN"/>
                    </w:rPr>
                    <w:t>浇筑、固化</w:t>
                  </w:r>
                </w:p>
              </w:tc>
              <w:tc>
                <w:tcPr>
                  <w:tcW w:w="913" w:type="pct"/>
                  <w:noWrap w:val="0"/>
                  <w:vAlign w:val="center"/>
                </w:tcPr>
                <w:p w14:paraId="7D9F1B2C">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z w:val="21"/>
                      <w:szCs w:val="21"/>
                      <w:lang w:val="en-US" w:eastAsia="zh-CN"/>
                    </w:rPr>
                  </w:pPr>
                  <w:r>
                    <w:rPr>
                      <w:rFonts w:hint="eastAsia" w:ascii="Times New Roman" w:hAnsi="Times New Roman" w:cs="Times New Roman"/>
                      <w:color w:val="000000" w:themeColor="text1"/>
                      <w:sz w:val="21"/>
                      <w:szCs w:val="21"/>
                      <w:lang w:val="en-US" w:eastAsia="zh-CN"/>
                    </w:rPr>
                    <w:t>非甲烷总烃</w:t>
                  </w:r>
                </w:p>
              </w:tc>
              <w:tc>
                <w:tcPr>
                  <w:tcW w:w="736" w:type="pct"/>
                  <w:noWrap w:val="0"/>
                  <w:vAlign w:val="center"/>
                </w:tcPr>
                <w:p w14:paraId="709A2234">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z w:val="21"/>
                      <w:szCs w:val="21"/>
                      <w:lang w:val="en-US" w:eastAsia="zh-CN"/>
                    </w:rPr>
                  </w:pPr>
                  <w:r>
                    <w:rPr>
                      <w:rFonts w:hint="eastAsia" w:ascii="Times New Roman" w:hAnsi="Times New Roman" w:cs="Times New Roman"/>
                      <w:color w:val="000000" w:themeColor="text1"/>
                      <w:sz w:val="21"/>
                      <w:szCs w:val="21"/>
                      <w:lang w:val="en-US" w:eastAsia="zh-CN"/>
                    </w:rPr>
                    <w:t>0.0</w:t>
                  </w:r>
                  <w:r>
                    <w:rPr>
                      <w:rFonts w:hint="eastAsia" w:cs="Times New Roman"/>
                      <w:color w:val="000000" w:themeColor="text1"/>
                      <w:sz w:val="21"/>
                      <w:szCs w:val="21"/>
                      <w:lang w:val="en-US" w:eastAsia="zh-CN"/>
                    </w:rPr>
                    <w:t>32</w:t>
                  </w:r>
                </w:p>
              </w:tc>
              <w:tc>
                <w:tcPr>
                  <w:tcW w:w="736" w:type="pct"/>
                  <w:noWrap w:val="0"/>
                  <w:vAlign w:val="center"/>
                </w:tcPr>
                <w:p w14:paraId="66384537">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z w:val="21"/>
                      <w:szCs w:val="21"/>
                      <w:lang w:val="en-US" w:eastAsia="zh-CN"/>
                    </w:rPr>
                  </w:pPr>
                  <w:r>
                    <w:rPr>
                      <w:rFonts w:hint="eastAsia" w:ascii="Times New Roman" w:hAnsi="Times New Roman" w:cs="Times New Roman"/>
                      <w:color w:val="000000" w:themeColor="text1"/>
                      <w:sz w:val="21"/>
                      <w:szCs w:val="21"/>
                      <w:lang w:val="en-US" w:eastAsia="zh-CN"/>
                    </w:rPr>
                    <w:t>0</w:t>
                  </w:r>
                </w:p>
              </w:tc>
              <w:tc>
                <w:tcPr>
                  <w:tcW w:w="745" w:type="pct"/>
                  <w:noWrap w:val="0"/>
                  <w:vAlign w:val="center"/>
                </w:tcPr>
                <w:p w14:paraId="6100C68E">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z w:val="21"/>
                      <w:szCs w:val="21"/>
                      <w:lang w:val="en-US" w:eastAsia="zh-CN"/>
                    </w:rPr>
                  </w:pPr>
                  <w:r>
                    <w:rPr>
                      <w:rFonts w:hint="eastAsia" w:ascii="Times New Roman" w:hAnsi="Times New Roman" w:cs="Times New Roman"/>
                      <w:color w:val="000000" w:themeColor="text1"/>
                      <w:sz w:val="21"/>
                      <w:szCs w:val="21"/>
                      <w:lang w:val="en-US" w:eastAsia="zh-CN"/>
                    </w:rPr>
                    <w:t>0.0</w:t>
                  </w:r>
                  <w:r>
                    <w:rPr>
                      <w:rFonts w:hint="eastAsia" w:cs="Times New Roman"/>
                      <w:color w:val="000000" w:themeColor="text1"/>
                      <w:sz w:val="21"/>
                      <w:szCs w:val="21"/>
                      <w:lang w:val="en-US" w:eastAsia="zh-CN"/>
                    </w:rPr>
                    <w:t>32</w:t>
                  </w:r>
                </w:p>
              </w:tc>
            </w:tr>
            <w:tr w14:paraId="31652E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25" w:hRule="atLeast"/>
                <w:jc w:val="center"/>
              </w:trPr>
              <w:tc>
                <w:tcPr>
                  <w:tcW w:w="712" w:type="pct"/>
                  <w:vMerge w:val="continue"/>
                  <w:noWrap w:val="0"/>
                  <w:vAlign w:val="center"/>
                </w:tcPr>
                <w:p w14:paraId="0070D8DF">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z w:val="21"/>
                      <w:szCs w:val="21"/>
                    </w:rPr>
                  </w:pPr>
                </w:p>
              </w:tc>
              <w:tc>
                <w:tcPr>
                  <w:tcW w:w="1155" w:type="pct"/>
                  <w:noWrap w:val="0"/>
                  <w:vAlign w:val="center"/>
                </w:tcPr>
                <w:p w14:paraId="30DC2D6A">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lang w:val="en-US" w:eastAsia="zh-CN"/>
                    </w:rPr>
                  </w:pPr>
                  <w:r>
                    <w:rPr>
                      <w:rFonts w:hint="eastAsia" w:ascii="Times New Roman" w:hAnsi="Times New Roman" w:cs="Times New Roman"/>
                      <w:color w:val="000000" w:themeColor="text1"/>
                      <w:sz w:val="21"/>
                      <w:szCs w:val="21"/>
                      <w:lang w:val="en-US" w:eastAsia="zh-CN"/>
                    </w:rPr>
                    <w:t>储罐呼吸</w:t>
                  </w:r>
                </w:p>
              </w:tc>
              <w:tc>
                <w:tcPr>
                  <w:tcW w:w="913" w:type="pct"/>
                  <w:noWrap w:val="0"/>
                  <w:vAlign w:val="center"/>
                </w:tcPr>
                <w:p w14:paraId="6090D3DD">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eastAsia" w:ascii="Times New Roman" w:hAnsi="Times New Roman" w:eastAsia="宋体" w:cs="Times New Roman"/>
                      <w:color w:val="000000" w:themeColor="text1"/>
                      <w:sz w:val="21"/>
                      <w:szCs w:val="21"/>
                      <w:lang w:eastAsia="zh-CN"/>
                    </w:rPr>
                  </w:pPr>
                  <w:r>
                    <w:rPr>
                      <w:rFonts w:hint="eastAsia" w:ascii="Times New Roman" w:hAnsi="Times New Roman" w:cs="Times New Roman"/>
                      <w:color w:val="000000" w:themeColor="text1"/>
                      <w:sz w:val="21"/>
                      <w:szCs w:val="21"/>
                      <w:lang w:val="en-US" w:eastAsia="zh-CN"/>
                    </w:rPr>
                    <w:t>非甲烷总烃</w:t>
                  </w:r>
                </w:p>
              </w:tc>
              <w:tc>
                <w:tcPr>
                  <w:tcW w:w="736" w:type="pct"/>
                  <w:noWrap w:val="0"/>
                  <w:vAlign w:val="center"/>
                </w:tcPr>
                <w:p w14:paraId="65BA0ABA">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0.006</w:t>
                  </w:r>
                </w:p>
              </w:tc>
              <w:tc>
                <w:tcPr>
                  <w:tcW w:w="736" w:type="pct"/>
                  <w:noWrap w:val="0"/>
                  <w:vAlign w:val="center"/>
                </w:tcPr>
                <w:p w14:paraId="7C69958A">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eastAsia" w:ascii="Times New Roman" w:hAnsi="Times New Roman" w:eastAsia="宋体" w:cs="Times New Roman"/>
                      <w:color w:val="000000" w:themeColor="text1"/>
                      <w:sz w:val="21"/>
                      <w:szCs w:val="21"/>
                      <w:lang w:eastAsia="zh-CN"/>
                    </w:rPr>
                  </w:pPr>
                  <w:r>
                    <w:rPr>
                      <w:rFonts w:hint="eastAsia" w:ascii="Times New Roman" w:hAnsi="Times New Roman" w:cs="Times New Roman"/>
                      <w:color w:val="000000" w:themeColor="text1"/>
                      <w:sz w:val="21"/>
                      <w:szCs w:val="21"/>
                      <w:lang w:val="en-US" w:eastAsia="zh-CN"/>
                    </w:rPr>
                    <w:t>0</w:t>
                  </w:r>
                </w:p>
              </w:tc>
              <w:tc>
                <w:tcPr>
                  <w:tcW w:w="745" w:type="pct"/>
                  <w:noWrap w:val="0"/>
                  <w:vAlign w:val="center"/>
                </w:tcPr>
                <w:p w14:paraId="2D4EFB8F">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lang w:val="en-US" w:eastAsia="zh-CN"/>
                    </w:rPr>
                  </w:pPr>
                  <w:r>
                    <w:rPr>
                      <w:rFonts w:hint="eastAsia" w:ascii="Times New Roman" w:hAnsi="Times New Roman" w:cs="Times New Roman"/>
                      <w:color w:val="000000" w:themeColor="text1"/>
                      <w:sz w:val="21"/>
                      <w:szCs w:val="21"/>
                      <w:lang w:val="en-US" w:eastAsia="zh-CN"/>
                    </w:rPr>
                    <w:t>0.0</w:t>
                  </w:r>
                  <w:r>
                    <w:rPr>
                      <w:rFonts w:hint="eastAsia" w:cs="Times New Roman"/>
                      <w:color w:val="000000" w:themeColor="text1"/>
                      <w:sz w:val="21"/>
                      <w:szCs w:val="21"/>
                      <w:lang w:val="en-US" w:eastAsia="zh-CN"/>
                    </w:rPr>
                    <w:t>06</w:t>
                  </w:r>
                </w:p>
              </w:tc>
            </w:tr>
            <w:tr w14:paraId="783E42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25" w:hRule="atLeast"/>
                <w:jc w:val="center"/>
              </w:trPr>
              <w:tc>
                <w:tcPr>
                  <w:tcW w:w="1868" w:type="pct"/>
                  <w:gridSpan w:val="2"/>
                  <w:vMerge w:val="restart"/>
                  <w:noWrap w:val="0"/>
                  <w:vAlign w:val="center"/>
                </w:tcPr>
                <w:p w14:paraId="0FCEB056">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z w:val="21"/>
                      <w:szCs w:val="21"/>
                      <w:lang w:val="en-US" w:eastAsia="zh-CN"/>
                    </w:rPr>
                  </w:pPr>
                  <w:r>
                    <w:rPr>
                      <w:rFonts w:hint="eastAsia" w:ascii="Times New Roman" w:hAnsi="Times New Roman" w:cs="Times New Roman"/>
                      <w:color w:val="000000" w:themeColor="text1"/>
                      <w:sz w:val="21"/>
                      <w:szCs w:val="21"/>
                      <w:lang w:val="en-US" w:eastAsia="zh-CN"/>
                    </w:rPr>
                    <w:t>合计</w:t>
                  </w:r>
                </w:p>
              </w:tc>
              <w:tc>
                <w:tcPr>
                  <w:tcW w:w="913" w:type="pct"/>
                  <w:noWrap w:val="0"/>
                  <w:vAlign w:val="center"/>
                </w:tcPr>
                <w:p w14:paraId="70C6A79B">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eastAsia" w:ascii="Times New Roman" w:hAnsi="Times New Roman" w:cs="Times New Roman"/>
                      <w:color w:val="000000" w:themeColor="text1"/>
                      <w:sz w:val="21"/>
                      <w:szCs w:val="21"/>
                      <w:lang w:val="en-US" w:eastAsia="zh-CN"/>
                    </w:rPr>
                  </w:pPr>
                  <w:r>
                    <w:rPr>
                      <w:rFonts w:hint="eastAsia" w:ascii="Times New Roman" w:hAnsi="Times New Roman" w:cs="Times New Roman"/>
                      <w:color w:val="000000" w:themeColor="text1"/>
                      <w:sz w:val="21"/>
                      <w:szCs w:val="21"/>
                      <w:lang w:val="en-US" w:eastAsia="zh-CN"/>
                    </w:rPr>
                    <w:t>颗粒物</w:t>
                  </w:r>
                </w:p>
              </w:tc>
              <w:tc>
                <w:tcPr>
                  <w:tcW w:w="1251" w:type="dxa"/>
                  <w:noWrap w:val="0"/>
                  <w:vAlign w:val="center"/>
                </w:tcPr>
                <w:p w14:paraId="506F114A">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eastAsia" w:ascii="Times New Roman" w:hAnsi="Times New Roman" w:cs="Times New Roman"/>
                      <w:color w:val="000000" w:themeColor="text1"/>
                      <w:sz w:val="21"/>
                      <w:szCs w:val="21"/>
                      <w:lang w:val="en-US" w:eastAsia="zh-CN"/>
                    </w:rPr>
                  </w:pPr>
                  <w:r>
                    <w:rPr>
                      <w:rFonts w:hint="eastAsia" w:ascii="Times New Roman" w:hAnsi="Times New Roman" w:cs="Times New Roman"/>
                      <w:color w:val="000000" w:themeColor="text1"/>
                      <w:sz w:val="21"/>
                      <w:szCs w:val="21"/>
                      <w:lang w:val="en-US" w:eastAsia="zh-CN"/>
                    </w:rPr>
                    <w:t>0.000</w:t>
                  </w:r>
                  <w:r>
                    <w:rPr>
                      <w:rFonts w:hint="eastAsia" w:cs="Times New Roman"/>
                      <w:color w:val="000000" w:themeColor="text1"/>
                      <w:sz w:val="21"/>
                      <w:szCs w:val="21"/>
                      <w:lang w:val="en-US" w:eastAsia="zh-CN"/>
                    </w:rPr>
                    <w:t>8</w:t>
                  </w:r>
                </w:p>
              </w:tc>
              <w:tc>
                <w:tcPr>
                  <w:tcW w:w="1251" w:type="dxa"/>
                  <w:noWrap w:val="0"/>
                  <w:vAlign w:val="center"/>
                </w:tcPr>
                <w:p w14:paraId="6A833F01">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eastAsia" w:ascii="Times New Roman" w:hAnsi="Times New Roman" w:cs="Times New Roman"/>
                      <w:color w:val="000000" w:themeColor="text1"/>
                      <w:sz w:val="21"/>
                      <w:szCs w:val="21"/>
                      <w:lang w:val="en-US" w:eastAsia="zh-CN"/>
                    </w:rPr>
                  </w:pPr>
                  <w:r>
                    <w:rPr>
                      <w:rFonts w:hint="eastAsia" w:cs="Times New Roman"/>
                      <w:color w:val="000000" w:themeColor="text1"/>
                      <w:sz w:val="21"/>
                      <w:szCs w:val="21"/>
                      <w:lang w:val="en-US" w:eastAsia="zh-CN"/>
                    </w:rPr>
                    <w:t>0.00068</w:t>
                  </w:r>
                </w:p>
              </w:tc>
              <w:tc>
                <w:tcPr>
                  <w:tcW w:w="1269" w:type="dxa"/>
                  <w:noWrap w:val="0"/>
                  <w:vAlign w:val="center"/>
                </w:tcPr>
                <w:p w14:paraId="6EBCCF08">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eastAsia" w:ascii="Times New Roman" w:hAnsi="Times New Roman" w:cs="Times New Roman"/>
                      <w:color w:val="000000" w:themeColor="text1"/>
                      <w:sz w:val="21"/>
                      <w:szCs w:val="21"/>
                      <w:lang w:val="en-US" w:eastAsia="zh-CN"/>
                    </w:rPr>
                  </w:pPr>
                  <w:r>
                    <w:rPr>
                      <w:rFonts w:hint="eastAsia" w:ascii="Times New Roman" w:hAnsi="Times New Roman" w:cs="Times New Roman"/>
                      <w:color w:val="000000" w:themeColor="text1"/>
                      <w:sz w:val="21"/>
                      <w:szCs w:val="21"/>
                      <w:lang w:val="en-US" w:eastAsia="zh-CN"/>
                    </w:rPr>
                    <w:t>0.000</w:t>
                  </w:r>
                  <w:r>
                    <w:rPr>
                      <w:rFonts w:hint="eastAsia" w:cs="Times New Roman"/>
                      <w:color w:val="000000" w:themeColor="text1"/>
                      <w:sz w:val="21"/>
                      <w:szCs w:val="21"/>
                      <w:lang w:val="en-US" w:eastAsia="zh-CN"/>
                    </w:rPr>
                    <w:t>12</w:t>
                  </w:r>
                </w:p>
              </w:tc>
            </w:tr>
            <w:tr w14:paraId="2DBED9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25" w:hRule="atLeast"/>
                <w:jc w:val="center"/>
              </w:trPr>
              <w:tc>
                <w:tcPr>
                  <w:tcW w:w="1868" w:type="pct"/>
                  <w:gridSpan w:val="2"/>
                  <w:vMerge w:val="continue"/>
                  <w:noWrap w:val="0"/>
                  <w:vAlign w:val="center"/>
                </w:tcPr>
                <w:p w14:paraId="53A02D8C">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eastAsia" w:ascii="Times New Roman" w:hAnsi="Times New Roman" w:cs="Times New Roman"/>
                      <w:color w:val="000000" w:themeColor="text1"/>
                      <w:sz w:val="21"/>
                      <w:szCs w:val="21"/>
                      <w:lang w:val="en-US" w:eastAsia="zh-CN"/>
                    </w:rPr>
                  </w:pPr>
                </w:p>
              </w:tc>
              <w:tc>
                <w:tcPr>
                  <w:tcW w:w="913" w:type="pct"/>
                  <w:noWrap w:val="0"/>
                  <w:vAlign w:val="center"/>
                </w:tcPr>
                <w:p w14:paraId="7F3FB65B">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eastAsia" w:ascii="Times New Roman" w:hAnsi="Times New Roman" w:cs="Times New Roman"/>
                      <w:color w:val="000000" w:themeColor="text1"/>
                      <w:sz w:val="21"/>
                      <w:szCs w:val="21"/>
                      <w:lang w:val="en-US" w:eastAsia="zh-CN"/>
                    </w:rPr>
                  </w:pPr>
                  <w:r>
                    <w:rPr>
                      <w:rFonts w:hint="eastAsia" w:ascii="Times New Roman" w:hAnsi="Times New Roman" w:cs="Times New Roman"/>
                      <w:color w:val="000000" w:themeColor="text1"/>
                      <w:sz w:val="21"/>
                      <w:szCs w:val="21"/>
                      <w:lang w:val="en-US" w:eastAsia="zh-CN"/>
                    </w:rPr>
                    <w:t>非甲烷总烃</w:t>
                  </w:r>
                </w:p>
              </w:tc>
              <w:tc>
                <w:tcPr>
                  <w:tcW w:w="736" w:type="pct"/>
                  <w:noWrap w:val="0"/>
                  <w:vAlign w:val="center"/>
                </w:tcPr>
                <w:p w14:paraId="0CEEBB80">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z w:val="21"/>
                      <w:szCs w:val="21"/>
                      <w:lang w:val="en-US" w:eastAsia="zh-CN"/>
                    </w:rPr>
                  </w:pPr>
                  <w:r>
                    <w:rPr>
                      <w:rFonts w:hint="eastAsia" w:ascii="Times New Roman" w:hAnsi="Times New Roman" w:cs="Times New Roman"/>
                      <w:color w:val="000000" w:themeColor="text1"/>
                      <w:sz w:val="21"/>
                      <w:szCs w:val="21"/>
                      <w:lang w:val="en-US" w:eastAsia="zh-CN"/>
                    </w:rPr>
                    <w:t>0.0</w:t>
                  </w:r>
                  <w:r>
                    <w:rPr>
                      <w:rFonts w:hint="eastAsia" w:cs="Times New Roman"/>
                      <w:color w:val="000000" w:themeColor="text1"/>
                      <w:sz w:val="21"/>
                      <w:szCs w:val="21"/>
                      <w:lang w:val="en-US" w:eastAsia="zh-CN"/>
                    </w:rPr>
                    <w:t>38</w:t>
                  </w:r>
                </w:p>
              </w:tc>
              <w:tc>
                <w:tcPr>
                  <w:tcW w:w="736" w:type="pct"/>
                  <w:noWrap w:val="0"/>
                  <w:vAlign w:val="center"/>
                </w:tcPr>
                <w:p w14:paraId="14938C0A">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z w:val="21"/>
                      <w:szCs w:val="21"/>
                      <w:lang w:val="en-US" w:eastAsia="zh-CN"/>
                    </w:rPr>
                  </w:pPr>
                  <w:r>
                    <w:rPr>
                      <w:rFonts w:hint="eastAsia" w:ascii="Times New Roman" w:hAnsi="Times New Roman" w:cs="Times New Roman"/>
                      <w:color w:val="000000" w:themeColor="text1"/>
                      <w:sz w:val="21"/>
                      <w:szCs w:val="21"/>
                      <w:lang w:val="en-US" w:eastAsia="zh-CN"/>
                    </w:rPr>
                    <w:t>0</w:t>
                  </w:r>
                </w:p>
              </w:tc>
              <w:tc>
                <w:tcPr>
                  <w:tcW w:w="745" w:type="pct"/>
                  <w:noWrap w:val="0"/>
                  <w:vAlign w:val="center"/>
                </w:tcPr>
                <w:p w14:paraId="01319A7E">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z w:val="21"/>
                      <w:szCs w:val="21"/>
                      <w:lang w:val="en-US" w:eastAsia="zh-CN"/>
                    </w:rPr>
                  </w:pPr>
                  <w:r>
                    <w:rPr>
                      <w:rFonts w:hint="eastAsia" w:ascii="Times New Roman" w:hAnsi="Times New Roman" w:cs="Times New Roman"/>
                      <w:color w:val="000000" w:themeColor="text1"/>
                      <w:sz w:val="21"/>
                      <w:szCs w:val="21"/>
                      <w:lang w:val="en-US" w:eastAsia="zh-CN"/>
                    </w:rPr>
                    <w:t>0.0</w:t>
                  </w:r>
                  <w:r>
                    <w:rPr>
                      <w:rFonts w:hint="eastAsia" w:cs="Times New Roman"/>
                      <w:color w:val="000000" w:themeColor="text1"/>
                      <w:sz w:val="21"/>
                      <w:szCs w:val="21"/>
                      <w:lang w:val="en-US" w:eastAsia="zh-CN"/>
                    </w:rPr>
                    <w:t>38</w:t>
                  </w:r>
                </w:p>
              </w:tc>
            </w:tr>
          </w:tbl>
          <w:p w14:paraId="48168900">
            <w:pPr>
              <w:adjustRightInd w:val="0"/>
              <w:spacing w:line="360" w:lineRule="auto"/>
              <w:ind w:firstLine="480" w:firstLineChars="200"/>
              <w:textAlignment w:val="baseline"/>
              <w:rPr>
                <w:rFonts w:hint="default" w:ascii="Times New Roman" w:hAnsi="Times New Roman" w:eastAsia="宋体" w:cs="Times New Roman"/>
                <w:color w:val="000000" w:themeColor="text1"/>
                <w:sz w:val="24"/>
                <w:szCs w:val="32"/>
              </w:rPr>
            </w:pPr>
            <w:r>
              <w:rPr>
                <w:rFonts w:hint="eastAsia" w:ascii="Times New Roman" w:hAnsi="Times New Roman" w:eastAsia="宋体" w:cs="Times New Roman"/>
                <w:color w:val="000000" w:themeColor="text1"/>
                <w:sz w:val="24"/>
                <w:szCs w:val="32"/>
                <w:lang w:val="en-US" w:eastAsia="zh-CN"/>
              </w:rPr>
              <w:t>2、</w:t>
            </w:r>
            <w:r>
              <w:rPr>
                <w:rFonts w:hint="default" w:ascii="Times New Roman" w:hAnsi="Times New Roman" w:eastAsia="宋体" w:cs="Times New Roman"/>
                <w:color w:val="000000" w:themeColor="text1"/>
                <w:sz w:val="24"/>
                <w:szCs w:val="32"/>
              </w:rPr>
              <w:t>废气治理可行性分析</w:t>
            </w:r>
          </w:p>
          <w:p w14:paraId="409EBC42">
            <w:pPr>
              <w:spacing w:line="360" w:lineRule="auto"/>
              <w:ind w:firstLine="480" w:firstLineChars="200"/>
              <w:rPr>
                <w:rFonts w:hint="default" w:ascii="Times New Roman" w:hAnsi="Times New Roman" w:eastAsia="宋体" w:cs="Times New Roman"/>
                <w:color w:val="000000" w:themeColor="text1"/>
                <w:sz w:val="24"/>
                <w:szCs w:val="32"/>
                <w:lang w:val="en-US" w:eastAsia="zh-CN"/>
              </w:rPr>
            </w:pPr>
            <w:r>
              <w:rPr>
                <w:rFonts w:hint="default" w:ascii="Times New Roman" w:hAnsi="Times New Roman" w:eastAsia="宋体" w:cs="Times New Roman"/>
                <w:color w:val="000000" w:themeColor="text1"/>
                <w:sz w:val="24"/>
                <w:szCs w:val="32"/>
                <w:lang w:val="en-US" w:eastAsia="zh-CN"/>
              </w:rPr>
              <w:t>①颗粒物处理措施：</w:t>
            </w:r>
            <w:r>
              <w:rPr>
                <w:rFonts w:hint="eastAsia" w:ascii="Times New Roman" w:hAnsi="Times New Roman" w:eastAsia="宋体" w:cs="Times New Roman"/>
                <w:color w:val="000000" w:themeColor="text1"/>
                <w:sz w:val="24"/>
                <w:szCs w:val="32"/>
                <w:lang w:val="en-US" w:eastAsia="zh-CN"/>
              </w:rPr>
              <w:t>项目绕线过程会产生少量焊接烟尘，经移动式焊烟净化器处理后无组织排放。焊烟净化器</w:t>
            </w:r>
            <w:r>
              <w:rPr>
                <w:rFonts w:hint="default" w:ascii="Times New Roman" w:hAnsi="Times New Roman" w:eastAsia="宋体" w:cs="Times New Roman"/>
                <w:color w:val="000000" w:themeColor="text1"/>
                <w:sz w:val="24"/>
                <w:szCs w:val="32"/>
                <w:lang w:val="en-US" w:eastAsia="zh-CN"/>
              </w:rPr>
              <w:t>装置内部高压风机在吸尘管吸风口处形成负压区域，焊接烟尘在负压的作用下由管道进入焊接烟尘净化器设备主体，进风口处阻火器阻留焊接火花，烟尘气体进入焊接烟尘净化器设备主体净化室，高效过滤芯将微小烟雾粉尘颗粒过滤在焊接烟尘净化器设备净化室内，清灰采用压缩空气脉冲自动清灰，使设备阻力稳定在有利于工作的水平，使设备成为长时间大量电焊作业时的高效除尘设备。焊接烟尘净化器广泛用于各种焊接、抛光、切割、打磨等工序中产生烟尘和粉尘的净化，适用于除尘比较集中、作业工位稳定、烟尘量也较大的工位</w:t>
            </w:r>
            <w:r>
              <w:rPr>
                <w:rFonts w:hint="eastAsia" w:ascii="Times New Roman" w:hAnsi="Times New Roman" w:eastAsia="宋体" w:cs="Times New Roman"/>
                <w:color w:val="000000" w:themeColor="text1"/>
                <w:sz w:val="24"/>
                <w:szCs w:val="32"/>
                <w:lang w:val="en-US" w:eastAsia="zh-CN"/>
              </w:rPr>
              <w:t>，该技术属于焊接烟尘处理可行技术</w:t>
            </w:r>
            <w:r>
              <w:rPr>
                <w:rFonts w:hint="default" w:ascii="Times New Roman" w:hAnsi="Times New Roman" w:eastAsia="宋体" w:cs="Times New Roman"/>
                <w:color w:val="000000" w:themeColor="text1"/>
                <w:sz w:val="24"/>
                <w:szCs w:val="32"/>
                <w:lang w:val="en-US" w:eastAsia="zh-CN"/>
              </w:rPr>
              <w:t>。</w:t>
            </w:r>
          </w:p>
          <w:p w14:paraId="1BBC8942">
            <w:pPr>
              <w:spacing w:line="360" w:lineRule="auto"/>
              <w:ind w:firstLine="480" w:firstLineChars="200"/>
              <w:rPr>
                <w:rFonts w:hint="eastAsia" w:ascii="Times New Roman" w:hAnsi="Times New Roman" w:eastAsia="宋体" w:cs="Times New Roman"/>
                <w:color w:val="000000" w:themeColor="text1"/>
                <w:sz w:val="24"/>
                <w:szCs w:val="32"/>
                <w:lang w:val="en-US" w:eastAsia="zh-CN"/>
              </w:rPr>
            </w:pPr>
            <w:r>
              <w:rPr>
                <w:rFonts w:hint="eastAsia" w:ascii="Times New Roman" w:hAnsi="Times New Roman" w:eastAsia="宋体" w:cs="Times New Roman"/>
                <w:color w:val="000000" w:themeColor="text1"/>
                <w:sz w:val="24"/>
                <w:szCs w:val="32"/>
                <w:lang w:val="en-US" w:eastAsia="zh-CN"/>
              </w:rPr>
              <w:t>②有机废气处理措施：本项目有机废气主要为浇筑</w:t>
            </w:r>
            <w:r>
              <w:rPr>
                <w:rFonts w:hint="eastAsia" w:cs="Times New Roman"/>
                <w:color w:val="000000" w:themeColor="text1"/>
                <w:sz w:val="24"/>
                <w:szCs w:val="32"/>
                <w:lang w:val="en-US" w:eastAsia="zh-CN"/>
              </w:rPr>
              <w:t>、</w:t>
            </w:r>
            <w:r>
              <w:rPr>
                <w:rFonts w:hint="eastAsia" w:ascii="Times New Roman" w:hAnsi="Times New Roman" w:eastAsia="宋体" w:cs="Times New Roman"/>
                <w:color w:val="000000" w:themeColor="text1"/>
                <w:sz w:val="24"/>
                <w:szCs w:val="32"/>
                <w:lang w:val="en-US" w:eastAsia="zh-CN"/>
              </w:rPr>
              <w:t>固化</w:t>
            </w:r>
            <w:r>
              <w:rPr>
                <w:rFonts w:hint="eastAsia" w:cs="Times New Roman"/>
                <w:color w:val="000000" w:themeColor="text1"/>
                <w:sz w:val="24"/>
                <w:szCs w:val="32"/>
                <w:lang w:val="en-US" w:eastAsia="zh-CN"/>
              </w:rPr>
              <w:t>和变压器油储罐呼吸等</w:t>
            </w:r>
            <w:r>
              <w:rPr>
                <w:rFonts w:hint="eastAsia" w:ascii="Times New Roman" w:hAnsi="Times New Roman" w:eastAsia="宋体" w:cs="Times New Roman"/>
                <w:color w:val="000000" w:themeColor="text1"/>
                <w:sz w:val="24"/>
                <w:szCs w:val="32"/>
                <w:lang w:val="en-US" w:eastAsia="zh-CN"/>
              </w:rPr>
              <w:t>工序产生的非甲烷总烃，</w:t>
            </w:r>
            <w:r>
              <w:rPr>
                <w:rFonts w:hint="eastAsia" w:cs="Times New Roman"/>
                <w:color w:val="000000" w:themeColor="text1"/>
                <w:sz w:val="24"/>
                <w:szCs w:val="32"/>
                <w:lang w:val="en-US" w:eastAsia="zh-CN"/>
              </w:rPr>
              <w:t>项目在浇筑设备和油罐上方设置集气罩，固化设备密闭，废气经密封管道收集</w:t>
            </w:r>
            <w:r>
              <w:rPr>
                <w:rFonts w:hint="eastAsia" w:ascii="Times New Roman" w:hAnsi="Times New Roman" w:eastAsia="宋体" w:cs="Times New Roman"/>
                <w:color w:val="000000" w:themeColor="text1"/>
                <w:sz w:val="24"/>
                <w:szCs w:val="32"/>
                <w:lang w:val="en-US" w:eastAsia="zh-CN"/>
              </w:rPr>
              <w:t>，收集后</w:t>
            </w:r>
            <w:r>
              <w:rPr>
                <w:rFonts w:hint="eastAsia" w:cs="Times New Roman"/>
                <w:color w:val="000000" w:themeColor="text1"/>
                <w:sz w:val="24"/>
                <w:szCs w:val="32"/>
                <w:lang w:val="en-US" w:eastAsia="zh-CN"/>
              </w:rPr>
              <w:t>的废气</w:t>
            </w:r>
            <w:r>
              <w:rPr>
                <w:rFonts w:hint="eastAsia" w:ascii="Times New Roman" w:hAnsi="Times New Roman" w:eastAsia="宋体" w:cs="Times New Roman"/>
                <w:color w:val="000000" w:themeColor="text1"/>
                <w:sz w:val="24"/>
                <w:szCs w:val="32"/>
                <w:lang w:val="en-US" w:eastAsia="zh-CN"/>
              </w:rPr>
              <w:t>经干式过滤棉+二级活性炭吸附处理。</w:t>
            </w:r>
          </w:p>
          <w:p w14:paraId="5FEF2FD6">
            <w:pPr>
              <w:spacing w:line="360" w:lineRule="auto"/>
              <w:ind w:firstLine="480" w:firstLineChars="200"/>
              <w:rPr>
                <w:rFonts w:hint="eastAsia" w:ascii="Times New Roman" w:hAnsi="Times New Roman" w:eastAsia="宋体" w:cs="Times New Roman"/>
                <w:color w:val="000000" w:themeColor="text1"/>
                <w:sz w:val="24"/>
                <w:szCs w:val="32"/>
                <w:lang w:val="en-US" w:eastAsia="zh-CN"/>
              </w:rPr>
            </w:pPr>
            <w:r>
              <w:rPr>
                <w:rFonts w:hint="eastAsia" w:ascii="Times New Roman" w:hAnsi="Times New Roman" w:eastAsia="宋体" w:cs="Times New Roman"/>
                <w:color w:val="000000" w:themeColor="text1"/>
                <w:sz w:val="24"/>
                <w:szCs w:val="32"/>
                <w:lang w:val="en-US" w:eastAsia="zh-CN"/>
              </w:rPr>
              <w:t>活性炭吸附工作原理：当废气由风机提供动力，负压进入吸附箱后进入活性炭吸附层，由于活性炭吸附剂表面上存在着未平衡和未饱和的分子引力或化学键力因此当活性炭吸附剂的表面与气体接触时，就能吸引气体分子，使其浓聚并保持在活性炭表面，此现象称为吸附。利用活性炭吸附剂表面的吸附能力，使废气与大表面的多孔性活性炭吸附剂相接触，废气中的污染物被吸附在活性炭表面上，使其与气体混合物分离，净化后的气体高空排放。参考《排污许可证申请与核发技术规范 橡胶和塑料制品工业》(HJ1022-2020)附录A，有机废气采用活性炭吸附为可行性技术，故本项目末端治理技术采用二级活性炭吸附可行。</w:t>
            </w:r>
          </w:p>
          <w:p w14:paraId="05F49784">
            <w:pPr>
              <w:spacing w:line="360" w:lineRule="auto"/>
              <w:ind w:firstLine="480" w:firstLineChars="200"/>
              <w:rPr>
                <w:rFonts w:hint="eastAsia" w:ascii="Times New Roman" w:hAnsi="Times New Roman" w:eastAsia="宋体" w:cs="Times New Roman"/>
                <w:color w:val="000000" w:themeColor="text1"/>
                <w:sz w:val="24"/>
                <w:szCs w:val="32"/>
                <w:lang w:val="en-US" w:eastAsia="zh-CN"/>
              </w:rPr>
            </w:pPr>
            <w:r>
              <w:rPr>
                <w:rFonts w:hint="eastAsia" w:ascii="Times New Roman" w:hAnsi="Times New Roman" w:eastAsia="宋体" w:cs="Times New Roman"/>
                <w:color w:val="000000" w:themeColor="text1"/>
                <w:sz w:val="24"/>
                <w:szCs w:val="32"/>
                <w:lang w:val="en-US" w:eastAsia="zh-CN"/>
              </w:rPr>
              <w:t>废气通过活性炭吸附层时，大部分的吸附质被吸附在吸附层内，随着吸附时间的延续，活性炭的吸附能力将下降，其有效部分将越来越薄，当活性炭全部达到饱和时，活性炭被穿透。为确保装置处理效率，需定期对活性炭进行更替。根据《吸附法工业有机废气治理工程技术规范》(HJ2026-2013)中“6.3.3.3固床吸附装置吸附层的气体流速应根据吸附剂的形态确定。采用颗粒状吸附剂时，气体流速宜低于0.60m/s；采用纤维状吸附剂(活性炭纤维毡)时，气体流速宜低于0.15m/s；采用蜂窝状吸附剂时，气体流速宜低于1.20m/s”。本项目活性炭吸附箱选用的填料为蜂窝状活性炭，尽可能增大活性炭表面积，增加有机废气的停留时间，从而增加活性炭与有机废气的接触面积，气体流速低于1.20m/s，活性炭吸附碘值不低于800mg/g，比表面积≥850m</w:t>
            </w:r>
            <w:r>
              <w:rPr>
                <w:rFonts w:hint="eastAsia" w:ascii="Times New Roman" w:hAnsi="Times New Roman" w:eastAsia="宋体" w:cs="Times New Roman"/>
                <w:color w:val="000000" w:themeColor="text1"/>
                <w:sz w:val="24"/>
                <w:szCs w:val="32"/>
                <w:vertAlign w:val="superscript"/>
                <w:lang w:val="en-US" w:eastAsia="zh-CN"/>
              </w:rPr>
              <w:t>2</w:t>
            </w:r>
            <w:r>
              <w:rPr>
                <w:rFonts w:hint="eastAsia" w:ascii="Times New Roman" w:hAnsi="Times New Roman" w:eastAsia="宋体" w:cs="Times New Roman"/>
                <w:color w:val="000000" w:themeColor="text1"/>
                <w:sz w:val="24"/>
                <w:szCs w:val="32"/>
                <w:lang w:val="en-US" w:eastAsia="zh-CN"/>
              </w:rPr>
              <w:t>/g，符合《吸附法工业有机废气治理工程技术规范》(HI2026-2013)中的相关规定。</w:t>
            </w:r>
          </w:p>
          <w:p w14:paraId="0520ACFB">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textAlignment w:val="auto"/>
              <w:rPr>
                <w:rFonts w:hint="eastAsia" w:ascii="Times New Roman" w:hAnsi="Times New Roman" w:eastAsia="宋体" w:cs="Times New Roman"/>
                <w:b/>
                <w:bCs/>
                <w:color w:val="000000" w:themeColor="text1"/>
                <w:sz w:val="24"/>
                <w:szCs w:val="24"/>
                <w:lang w:val="en-US" w:eastAsia="zh-CN"/>
              </w:rPr>
            </w:pPr>
            <w:r>
              <w:rPr>
                <w:rFonts w:hint="eastAsia" w:ascii="Times New Roman" w:hAnsi="Times New Roman" w:eastAsia="宋体" w:cs="Times New Roman"/>
                <w:b/>
                <w:bCs/>
                <w:color w:val="000000" w:themeColor="text1"/>
                <w:sz w:val="24"/>
                <w:szCs w:val="24"/>
                <w:lang w:val="en-US" w:eastAsia="zh-CN"/>
              </w:rPr>
              <w:t>表4-5  活性炭吸附装置设计参数</w:t>
            </w:r>
          </w:p>
          <w:tbl>
            <w:tblPr>
              <w:tblStyle w:val="3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31"/>
              <w:gridCol w:w="2834"/>
              <w:gridCol w:w="2834"/>
            </w:tblGrid>
            <w:tr w14:paraId="6E61F9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3" w:type="dxa"/>
                  <w:vAlign w:val="center"/>
                </w:tcPr>
                <w:p w14:paraId="4F26B60B">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cs="Times New Roman"/>
                      <w:b w:val="0"/>
                      <w:bCs w:val="0"/>
                      <w:color w:val="000000" w:themeColor="text1"/>
                      <w:sz w:val="21"/>
                      <w:szCs w:val="21"/>
                      <w:vertAlign w:val="baseline"/>
                      <w:lang w:val="en-US" w:eastAsia="zh-CN"/>
                    </w:rPr>
                    <w:t>对应排气筒编号</w:t>
                  </w:r>
                </w:p>
              </w:tc>
              <w:tc>
                <w:tcPr>
                  <w:tcW w:w="5670" w:type="dxa"/>
                  <w:gridSpan w:val="2"/>
                  <w:vAlign w:val="center"/>
                </w:tcPr>
                <w:p w14:paraId="2A70665E">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cs="Times New Roman"/>
                      <w:b w:val="0"/>
                      <w:bCs w:val="0"/>
                      <w:color w:val="000000" w:themeColor="text1"/>
                      <w:sz w:val="21"/>
                      <w:szCs w:val="21"/>
                      <w:vertAlign w:val="baseline"/>
                      <w:lang w:val="en-US" w:eastAsia="zh-CN"/>
                    </w:rPr>
                    <w:t>DA001</w:t>
                  </w:r>
                </w:p>
              </w:tc>
            </w:tr>
            <w:tr w14:paraId="72631F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3" w:type="dxa"/>
                  <w:vAlign w:val="center"/>
                </w:tcPr>
                <w:p w14:paraId="2EE4FBAA">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cs="Times New Roman"/>
                      <w:b w:val="0"/>
                      <w:bCs w:val="0"/>
                      <w:color w:val="000000" w:themeColor="text1"/>
                      <w:sz w:val="21"/>
                      <w:szCs w:val="21"/>
                      <w:vertAlign w:val="baseline"/>
                      <w:lang w:val="en-US" w:eastAsia="zh-CN"/>
                    </w:rPr>
                    <w:t>处理风量Q</w:t>
                  </w:r>
                </w:p>
              </w:tc>
              <w:tc>
                <w:tcPr>
                  <w:tcW w:w="5670" w:type="dxa"/>
                  <w:gridSpan w:val="2"/>
                  <w:vAlign w:val="center"/>
                </w:tcPr>
                <w:p w14:paraId="608F84BB">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cs="Times New Roman"/>
                      <w:b w:val="0"/>
                      <w:bCs w:val="0"/>
                      <w:color w:val="000000" w:themeColor="text1"/>
                      <w:sz w:val="21"/>
                      <w:szCs w:val="21"/>
                      <w:vertAlign w:val="baseline"/>
                      <w:lang w:val="en-US" w:eastAsia="zh-CN"/>
                    </w:rPr>
                    <w:t>20000m</w:t>
                  </w:r>
                  <w:r>
                    <w:rPr>
                      <w:rFonts w:hint="eastAsia" w:ascii="Times New Roman" w:hAnsi="Times New Roman" w:cs="Times New Roman"/>
                      <w:b w:val="0"/>
                      <w:bCs w:val="0"/>
                      <w:color w:val="000000" w:themeColor="text1"/>
                      <w:sz w:val="21"/>
                      <w:szCs w:val="21"/>
                      <w:vertAlign w:val="superscript"/>
                      <w:lang w:val="en-US" w:eastAsia="zh-CN"/>
                    </w:rPr>
                    <w:t>3</w:t>
                  </w:r>
                  <w:r>
                    <w:rPr>
                      <w:rFonts w:hint="eastAsia" w:ascii="Times New Roman" w:hAnsi="Times New Roman" w:cs="Times New Roman"/>
                      <w:b w:val="0"/>
                      <w:bCs w:val="0"/>
                      <w:color w:val="000000" w:themeColor="text1"/>
                      <w:sz w:val="21"/>
                      <w:szCs w:val="21"/>
                      <w:vertAlign w:val="baseline"/>
                      <w:lang w:val="en-US" w:eastAsia="zh-CN"/>
                    </w:rPr>
                    <w:t>/h</w:t>
                  </w:r>
                </w:p>
              </w:tc>
            </w:tr>
            <w:tr w14:paraId="4CEEFE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3" w:type="dxa"/>
                  <w:vAlign w:val="center"/>
                </w:tcPr>
                <w:p w14:paraId="4C7F673D">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cs="Times New Roman"/>
                      <w:b w:val="0"/>
                      <w:bCs w:val="0"/>
                      <w:color w:val="000000" w:themeColor="text1"/>
                      <w:sz w:val="21"/>
                      <w:szCs w:val="21"/>
                      <w:vertAlign w:val="baseline"/>
                      <w:lang w:val="en-US" w:eastAsia="zh-CN"/>
                    </w:rPr>
                    <w:t>数量</w:t>
                  </w:r>
                </w:p>
              </w:tc>
              <w:tc>
                <w:tcPr>
                  <w:tcW w:w="5670" w:type="dxa"/>
                  <w:gridSpan w:val="2"/>
                  <w:vAlign w:val="center"/>
                </w:tcPr>
                <w:p w14:paraId="4967D9CA">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cs="Times New Roman"/>
                      <w:b w:val="0"/>
                      <w:bCs w:val="0"/>
                      <w:color w:val="000000" w:themeColor="text1"/>
                      <w:sz w:val="21"/>
                      <w:szCs w:val="21"/>
                      <w:vertAlign w:val="baseline"/>
                      <w:lang w:val="en-US" w:eastAsia="zh-CN"/>
                    </w:rPr>
                    <w:t>1套</w:t>
                  </w:r>
                </w:p>
              </w:tc>
            </w:tr>
            <w:tr w14:paraId="5A9A5D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3" w:type="dxa"/>
                  <w:vAlign w:val="center"/>
                </w:tcPr>
                <w:p w14:paraId="5E796604">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cs="Times New Roman"/>
                      <w:b w:val="0"/>
                      <w:bCs w:val="0"/>
                      <w:color w:val="000000" w:themeColor="text1"/>
                      <w:sz w:val="21"/>
                      <w:szCs w:val="21"/>
                      <w:vertAlign w:val="baseline"/>
                      <w:lang w:val="en-US" w:eastAsia="zh-CN"/>
                    </w:rPr>
                    <w:t>塔体尺寸</w:t>
                  </w:r>
                </w:p>
              </w:tc>
              <w:tc>
                <w:tcPr>
                  <w:tcW w:w="2835" w:type="dxa"/>
                  <w:vAlign w:val="center"/>
                </w:tcPr>
                <w:p w14:paraId="12CB4CB0">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cs="Times New Roman"/>
                      <w:b w:val="0"/>
                      <w:bCs w:val="0"/>
                      <w:color w:val="000000" w:themeColor="text1"/>
                      <w:sz w:val="21"/>
                      <w:szCs w:val="21"/>
                      <w:vertAlign w:val="baseline"/>
                      <w:lang w:val="en-US" w:eastAsia="zh-CN"/>
                    </w:rPr>
                    <w:t>2*2*2m</w:t>
                  </w:r>
                </w:p>
              </w:tc>
              <w:tc>
                <w:tcPr>
                  <w:tcW w:w="2835" w:type="dxa"/>
                  <w:vAlign w:val="center"/>
                </w:tcPr>
                <w:p w14:paraId="78AE1D53">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eastAsia"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cs="Times New Roman"/>
                      <w:b w:val="0"/>
                      <w:bCs w:val="0"/>
                      <w:color w:val="000000" w:themeColor="text1"/>
                      <w:sz w:val="21"/>
                      <w:szCs w:val="21"/>
                      <w:vertAlign w:val="baseline"/>
                      <w:lang w:val="en-US" w:eastAsia="zh-CN"/>
                    </w:rPr>
                    <w:t>2*2*2m</w:t>
                  </w:r>
                </w:p>
              </w:tc>
            </w:tr>
            <w:tr w14:paraId="4958C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3" w:type="dxa"/>
                  <w:vAlign w:val="center"/>
                </w:tcPr>
                <w:p w14:paraId="5B25AEA6">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cs="Times New Roman"/>
                      <w:b w:val="0"/>
                      <w:bCs w:val="0"/>
                      <w:color w:val="000000" w:themeColor="text1"/>
                      <w:sz w:val="21"/>
                      <w:szCs w:val="21"/>
                      <w:vertAlign w:val="baseline"/>
                      <w:lang w:val="en-US" w:eastAsia="zh-CN"/>
                    </w:rPr>
                    <w:t>碳层规模</w:t>
                  </w:r>
                </w:p>
              </w:tc>
              <w:tc>
                <w:tcPr>
                  <w:tcW w:w="2835" w:type="dxa"/>
                  <w:vAlign w:val="center"/>
                </w:tcPr>
                <w:p w14:paraId="64024F4F">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cs="Times New Roman"/>
                      <w:b w:val="0"/>
                      <w:bCs w:val="0"/>
                      <w:color w:val="000000" w:themeColor="text1"/>
                      <w:sz w:val="21"/>
                      <w:szCs w:val="21"/>
                      <w:vertAlign w:val="baseline"/>
                      <w:lang w:val="en-US" w:eastAsia="zh-CN"/>
                    </w:rPr>
                    <w:t>1.8*1.8*1.8m</w:t>
                  </w:r>
                </w:p>
              </w:tc>
              <w:tc>
                <w:tcPr>
                  <w:tcW w:w="2835" w:type="dxa"/>
                  <w:vAlign w:val="center"/>
                </w:tcPr>
                <w:p w14:paraId="70A122CE">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eastAsia"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cs="Times New Roman"/>
                      <w:b w:val="0"/>
                      <w:bCs w:val="0"/>
                      <w:color w:val="000000" w:themeColor="text1"/>
                      <w:sz w:val="21"/>
                      <w:szCs w:val="21"/>
                      <w:vertAlign w:val="baseline"/>
                      <w:lang w:val="en-US" w:eastAsia="zh-CN"/>
                    </w:rPr>
                    <w:t>1.8*1.8*1.8m</w:t>
                  </w:r>
                </w:p>
              </w:tc>
            </w:tr>
            <w:tr w14:paraId="78589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3" w:type="dxa"/>
                  <w:vAlign w:val="center"/>
                </w:tcPr>
                <w:p w14:paraId="68D73FF5">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cs="Times New Roman"/>
                      <w:b w:val="0"/>
                      <w:bCs w:val="0"/>
                      <w:color w:val="000000" w:themeColor="text1"/>
                      <w:sz w:val="21"/>
                      <w:szCs w:val="21"/>
                      <w:vertAlign w:val="baseline"/>
                      <w:lang w:val="en-US" w:eastAsia="zh-CN"/>
                    </w:rPr>
                    <w:t>吸附剂</w:t>
                  </w:r>
                </w:p>
              </w:tc>
              <w:tc>
                <w:tcPr>
                  <w:tcW w:w="2835" w:type="dxa"/>
                  <w:vAlign w:val="center"/>
                </w:tcPr>
                <w:p w14:paraId="24DF96C5">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cs="Times New Roman"/>
                      <w:b w:val="0"/>
                      <w:bCs w:val="0"/>
                      <w:color w:val="000000" w:themeColor="text1"/>
                      <w:sz w:val="21"/>
                      <w:szCs w:val="21"/>
                      <w:vertAlign w:val="baseline"/>
                      <w:lang w:val="en-US" w:eastAsia="zh-CN"/>
                    </w:rPr>
                    <w:t>蜂窝式</w:t>
                  </w:r>
                </w:p>
              </w:tc>
              <w:tc>
                <w:tcPr>
                  <w:tcW w:w="2835" w:type="dxa"/>
                  <w:vAlign w:val="center"/>
                </w:tcPr>
                <w:p w14:paraId="09AF66ED">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eastAsia"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cs="Times New Roman"/>
                      <w:b w:val="0"/>
                      <w:bCs w:val="0"/>
                      <w:color w:val="000000" w:themeColor="text1"/>
                      <w:sz w:val="21"/>
                      <w:szCs w:val="21"/>
                      <w:vertAlign w:val="baseline"/>
                      <w:lang w:val="en-US" w:eastAsia="zh-CN"/>
                    </w:rPr>
                    <w:t>蜂窝式</w:t>
                  </w:r>
                </w:p>
              </w:tc>
            </w:tr>
            <w:tr w14:paraId="117C57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3" w:type="dxa"/>
                  <w:vAlign w:val="center"/>
                </w:tcPr>
                <w:p w14:paraId="3903983A">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cs="Times New Roman"/>
                      <w:b w:val="0"/>
                      <w:bCs w:val="0"/>
                      <w:color w:val="000000" w:themeColor="text1"/>
                      <w:sz w:val="21"/>
                      <w:szCs w:val="21"/>
                      <w:vertAlign w:val="baseline"/>
                      <w:lang w:val="en-US" w:eastAsia="zh-CN"/>
                    </w:rPr>
                    <w:t>孔隙率P</w:t>
                  </w:r>
                </w:p>
              </w:tc>
              <w:tc>
                <w:tcPr>
                  <w:tcW w:w="2835" w:type="dxa"/>
                  <w:vAlign w:val="center"/>
                </w:tcPr>
                <w:p w14:paraId="5BE06B5B">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cs="Times New Roman"/>
                      <w:b w:val="0"/>
                      <w:bCs w:val="0"/>
                      <w:color w:val="000000" w:themeColor="text1"/>
                      <w:sz w:val="21"/>
                      <w:szCs w:val="21"/>
                      <w:vertAlign w:val="baseline"/>
                      <w:lang w:val="en-US" w:eastAsia="zh-CN"/>
                    </w:rPr>
                    <w:t>75%</w:t>
                  </w:r>
                </w:p>
              </w:tc>
              <w:tc>
                <w:tcPr>
                  <w:tcW w:w="2835" w:type="dxa"/>
                  <w:vAlign w:val="center"/>
                </w:tcPr>
                <w:p w14:paraId="6A8B2B28">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eastAsia"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cs="Times New Roman"/>
                      <w:b w:val="0"/>
                      <w:bCs w:val="0"/>
                      <w:color w:val="000000" w:themeColor="text1"/>
                      <w:sz w:val="21"/>
                      <w:szCs w:val="21"/>
                      <w:vertAlign w:val="baseline"/>
                      <w:lang w:val="en-US" w:eastAsia="zh-CN"/>
                    </w:rPr>
                    <w:t>75%</w:t>
                  </w:r>
                </w:p>
              </w:tc>
            </w:tr>
            <w:tr w14:paraId="416249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3" w:type="dxa"/>
                  <w:vAlign w:val="center"/>
                </w:tcPr>
                <w:p w14:paraId="4F93DEB0">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cs="Times New Roman"/>
                      <w:b w:val="0"/>
                      <w:bCs w:val="0"/>
                      <w:color w:val="000000" w:themeColor="text1"/>
                      <w:sz w:val="21"/>
                      <w:szCs w:val="21"/>
                      <w:vertAlign w:val="baseline"/>
                      <w:lang w:val="en-US" w:eastAsia="zh-CN"/>
                    </w:rPr>
                    <w:t>吸附剂层数q</w:t>
                  </w:r>
                </w:p>
              </w:tc>
              <w:tc>
                <w:tcPr>
                  <w:tcW w:w="2835" w:type="dxa"/>
                  <w:vAlign w:val="center"/>
                </w:tcPr>
                <w:p w14:paraId="227AFDC5">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cs="Times New Roman"/>
                      <w:b w:val="0"/>
                      <w:bCs w:val="0"/>
                      <w:color w:val="000000" w:themeColor="text1"/>
                      <w:sz w:val="21"/>
                      <w:szCs w:val="21"/>
                      <w:vertAlign w:val="baseline"/>
                      <w:lang w:val="en-US" w:eastAsia="zh-CN"/>
                    </w:rPr>
                    <w:t>2层</w:t>
                  </w:r>
                </w:p>
              </w:tc>
              <w:tc>
                <w:tcPr>
                  <w:tcW w:w="2835" w:type="dxa"/>
                  <w:vAlign w:val="center"/>
                </w:tcPr>
                <w:p w14:paraId="757880B0">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eastAsia"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cs="Times New Roman"/>
                      <w:b w:val="0"/>
                      <w:bCs w:val="0"/>
                      <w:color w:val="000000" w:themeColor="text1"/>
                      <w:sz w:val="21"/>
                      <w:szCs w:val="21"/>
                      <w:vertAlign w:val="baseline"/>
                      <w:lang w:val="en-US" w:eastAsia="zh-CN"/>
                    </w:rPr>
                    <w:t>2层</w:t>
                  </w:r>
                </w:p>
              </w:tc>
            </w:tr>
            <w:tr w14:paraId="21F20C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3" w:type="dxa"/>
                  <w:vAlign w:val="center"/>
                </w:tcPr>
                <w:p w14:paraId="65BD52A3">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cs="Times New Roman"/>
                      <w:b w:val="0"/>
                      <w:bCs w:val="0"/>
                      <w:color w:val="000000" w:themeColor="text1"/>
                      <w:sz w:val="21"/>
                      <w:szCs w:val="21"/>
                      <w:vertAlign w:val="baseline"/>
                      <w:lang w:val="en-US" w:eastAsia="zh-CN"/>
                    </w:rPr>
                    <w:t>吸附剂每层厚度h</w:t>
                  </w:r>
                </w:p>
              </w:tc>
              <w:tc>
                <w:tcPr>
                  <w:tcW w:w="2835" w:type="dxa"/>
                  <w:vAlign w:val="center"/>
                </w:tcPr>
                <w:p w14:paraId="1793CD32">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cs="Times New Roman"/>
                      <w:b w:val="0"/>
                      <w:bCs w:val="0"/>
                      <w:color w:val="000000" w:themeColor="text1"/>
                      <w:sz w:val="21"/>
                      <w:szCs w:val="21"/>
                      <w:vertAlign w:val="baseline"/>
                      <w:lang w:val="en-US" w:eastAsia="zh-CN"/>
                    </w:rPr>
                    <w:t>900mm</w:t>
                  </w:r>
                </w:p>
              </w:tc>
              <w:tc>
                <w:tcPr>
                  <w:tcW w:w="2835" w:type="dxa"/>
                  <w:vAlign w:val="center"/>
                </w:tcPr>
                <w:p w14:paraId="66B28B8B">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eastAsia"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cs="Times New Roman"/>
                      <w:b w:val="0"/>
                      <w:bCs w:val="0"/>
                      <w:color w:val="000000" w:themeColor="text1"/>
                      <w:sz w:val="21"/>
                      <w:szCs w:val="21"/>
                      <w:vertAlign w:val="baseline"/>
                      <w:lang w:val="en-US" w:eastAsia="zh-CN"/>
                    </w:rPr>
                    <w:t>900mm</w:t>
                  </w:r>
                </w:p>
              </w:tc>
            </w:tr>
            <w:tr w14:paraId="026DE5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3" w:type="dxa"/>
                  <w:vAlign w:val="center"/>
                </w:tcPr>
                <w:p w14:paraId="2B2A25B2">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cs="Times New Roman"/>
                      <w:b w:val="0"/>
                      <w:bCs w:val="0"/>
                      <w:color w:val="000000" w:themeColor="text1"/>
                      <w:sz w:val="21"/>
                      <w:szCs w:val="21"/>
                      <w:vertAlign w:val="baseline"/>
                      <w:lang w:val="en-US" w:eastAsia="zh-CN"/>
                    </w:rPr>
                    <w:t>过滤风速V</w:t>
                  </w:r>
                </w:p>
              </w:tc>
              <w:tc>
                <w:tcPr>
                  <w:tcW w:w="2835" w:type="dxa"/>
                  <w:vAlign w:val="center"/>
                </w:tcPr>
                <w:p w14:paraId="3BCFFBF8">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cs="Times New Roman"/>
                      <w:b w:val="0"/>
                      <w:bCs w:val="0"/>
                      <w:color w:val="000000" w:themeColor="text1"/>
                      <w:sz w:val="21"/>
                      <w:szCs w:val="21"/>
                      <w:vertAlign w:val="baseline"/>
                      <w:lang w:val="en-US" w:eastAsia="zh-CN"/>
                    </w:rPr>
                    <w:t>1.14m/s</w:t>
                  </w:r>
                </w:p>
              </w:tc>
              <w:tc>
                <w:tcPr>
                  <w:tcW w:w="2835" w:type="dxa"/>
                  <w:vAlign w:val="center"/>
                </w:tcPr>
                <w:p w14:paraId="757B8516">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eastAsia"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cs="Times New Roman"/>
                      <w:b w:val="0"/>
                      <w:bCs w:val="0"/>
                      <w:color w:val="000000" w:themeColor="text1"/>
                      <w:sz w:val="21"/>
                      <w:szCs w:val="21"/>
                      <w:vertAlign w:val="baseline"/>
                      <w:lang w:val="en-US" w:eastAsia="zh-CN"/>
                    </w:rPr>
                    <w:t>1.14m/s</w:t>
                  </w:r>
                </w:p>
              </w:tc>
            </w:tr>
            <w:tr w14:paraId="44FD5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3" w:type="dxa"/>
                  <w:vAlign w:val="center"/>
                </w:tcPr>
                <w:p w14:paraId="05DE5E8A">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cs="Times New Roman"/>
                      <w:b w:val="0"/>
                      <w:bCs w:val="0"/>
                      <w:color w:val="000000" w:themeColor="text1"/>
                      <w:sz w:val="21"/>
                      <w:szCs w:val="21"/>
                      <w:vertAlign w:val="baseline"/>
                      <w:lang w:val="en-US" w:eastAsia="zh-CN"/>
                    </w:rPr>
                    <w:t>过滤停留时间T</w:t>
                  </w:r>
                </w:p>
              </w:tc>
              <w:tc>
                <w:tcPr>
                  <w:tcW w:w="2835" w:type="dxa"/>
                  <w:vAlign w:val="center"/>
                </w:tcPr>
                <w:p w14:paraId="1C0FF2CB">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cs="Times New Roman"/>
                      <w:b w:val="0"/>
                      <w:bCs w:val="0"/>
                      <w:color w:val="000000" w:themeColor="text1"/>
                      <w:sz w:val="21"/>
                      <w:szCs w:val="21"/>
                      <w:vertAlign w:val="baseline"/>
                      <w:lang w:val="en-US" w:eastAsia="zh-CN"/>
                    </w:rPr>
                    <w:t>1.58s</w:t>
                  </w:r>
                </w:p>
              </w:tc>
              <w:tc>
                <w:tcPr>
                  <w:tcW w:w="2835" w:type="dxa"/>
                  <w:vAlign w:val="center"/>
                </w:tcPr>
                <w:p w14:paraId="7FD8F577">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eastAsia"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cs="Times New Roman"/>
                      <w:b w:val="0"/>
                      <w:bCs w:val="0"/>
                      <w:color w:val="000000" w:themeColor="text1"/>
                      <w:sz w:val="21"/>
                      <w:szCs w:val="21"/>
                      <w:vertAlign w:val="baseline"/>
                      <w:lang w:val="en-US" w:eastAsia="zh-CN"/>
                    </w:rPr>
                    <w:t>1.58s</w:t>
                  </w:r>
                </w:p>
              </w:tc>
            </w:tr>
            <w:tr w14:paraId="0C9890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3" w:type="dxa"/>
                  <w:vAlign w:val="center"/>
                </w:tcPr>
                <w:p w14:paraId="1778F14D">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cs="Times New Roman"/>
                      <w:b w:val="0"/>
                      <w:bCs w:val="0"/>
                      <w:color w:val="000000" w:themeColor="text1"/>
                      <w:sz w:val="21"/>
                      <w:szCs w:val="21"/>
                      <w:vertAlign w:val="baseline"/>
                      <w:lang w:val="en-US" w:eastAsia="zh-CN"/>
                    </w:rPr>
                    <w:t>吸附剂密度</w:t>
                  </w:r>
                  <w:r>
                    <w:rPr>
                      <w:rFonts w:hint="default" w:ascii="Times New Roman" w:hAnsi="Times New Roman" w:cs="Times New Roman"/>
                      <w:b w:val="0"/>
                      <w:bCs w:val="0"/>
                      <w:color w:val="000000" w:themeColor="text1"/>
                      <w:sz w:val="21"/>
                      <w:szCs w:val="21"/>
                      <w:vertAlign w:val="baseline"/>
                      <w:lang w:val="en-US" w:eastAsia="zh-CN"/>
                    </w:rPr>
                    <w:t>ρ</w:t>
                  </w:r>
                </w:p>
              </w:tc>
              <w:tc>
                <w:tcPr>
                  <w:tcW w:w="2835" w:type="dxa"/>
                  <w:vAlign w:val="center"/>
                </w:tcPr>
                <w:p w14:paraId="0620E5F4">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cs="Times New Roman"/>
                      <w:b w:val="0"/>
                      <w:bCs w:val="0"/>
                      <w:color w:val="000000" w:themeColor="text1"/>
                      <w:sz w:val="21"/>
                      <w:szCs w:val="21"/>
                      <w:vertAlign w:val="baseline"/>
                      <w:lang w:val="en-US" w:eastAsia="zh-CN"/>
                    </w:rPr>
                    <w:t>350kg/m</w:t>
                  </w:r>
                  <w:r>
                    <w:rPr>
                      <w:rFonts w:hint="eastAsia" w:ascii="Times New Roman" w:hAnsi="Times New Roman" w:cs="Times New Roman"/>
                      <w:b w:val="0"/>
                      <w:bCs w:val="0"/>
                      <w:color w:val="000000" w:themeColor="text1"/>
                      <w:sz w:val="21"/>
                      <w:szCs w:val="21"/>
                      <w:vertAlign w:val="superscript"/>
                      <w:lang w:val="en-US" w:eastAsia="zh-CN"/>
                    </w:rPr>
                    <w:t>3</w:t>
                  </w:r>
                </w:p>
              </w:tc>
              <w:tc>
                <w:tcPr>
                  <w:tcW w:w="2835" w:type="dxa"/>
                  <w:vAlign w:val="center"/>
                </w:tcPr>
                <w:p w14:paraId="336A3DD5">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eastAsia"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cs="Times New Roman"/>
                      <w:b w:val="0"/>
                      <w:bCs w:val="0"/>
                      <w:color w:val="000000" w:themeColor="text1"/>
                      <w:sz w:val="21"/>
                      <w:szCs w:val="21"/>
                      <w:vertAlign w:val="baseline"/>
                      <w:lang w:val="en-US" w:eastAsia="zh-CN"/>
                    </w:rPr>
                    <w:t>350kg/m</w:t>
                  </w:r>
                  <w:r>
                    <w:rPr>
                      <w:rFonts w:hint="eastAsia" w:ascii="Times New Roman" w:hAnsi="Times New Roman" w:cs="Times New Roman"/>
                      <w:b w:val="0"/>
                      <w:bCs w:val="0"/>
                      <w:color w:val="000000" w:themeColor="text1"/>
                      <w:sz w:val="21"/>
                      <w:szCs w:val="21"/>
                      <w:vertAlign w:val="superscript"/>
                      <w:lang w:val="en-US" w:eastAsia="zh-CN"/>
                    </w:rPr>
                    <w:t>3</w:t>
                  </w:r>
                </w:p>
              </w:tc>
            </w:tr>
            <w:tr w14:paraId="032A94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3" w:type="dxa"/>
                  <w:vAlign w:val="center"/>
                </w:tcPr>
                <w:p w14:paraId="5B37844B">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cs="Times New Roman"/>
                      <w:b w:val="0"/>
                      <w:bCs w:val="0"/>
                      <w:color w:val="000000" w:themeColor="text1"/>
                      <w:sz w:val="21"/>
                      <w:szCs w:val="21"/>
                      <w:vertAlign w:val="baseline"/>
                      <w:lang w:val="en-US" w:eastAsia="zh-CN"/>
                    </w:rPr>
                    <w:t>吸附剂填充量</w:t>
                  </w:r>
                </w:p>
              </w:tc>
              <w:tc>
                <w:tcPr>
                  <w:tcW w:w="2835" w:type="dxa"/>
                  <w:vAlign w:val="center"/>
                </w:tcPr>
                <w:p w14:paraId="45F78ABA">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cs="Times New Roman"/>
                      <w:b w:val="0"/>
                      <w:bCs w:val="0"/>
                      <w:color w:val="000000" w:themeColor="text1"/>
                      <w:sz w:val="21"/>
                      <w:szCs w:val="21"/>
                      <w:vertAlign w:val="baseline"/>
                      <w:lang w:val="en-US" w:eastAsia="zh-CN"/>
                    </w:rPr>
                    <w:t>2041.2kg</w:t>
                  </w:r>
                </w:p>
              </w:tc>
              <w:tc>
                <w:tcPr>
                  <w:tcW w:w="2835" w:type="dxa"/>
                  <w:vAlign w:val="center"/>
                </w:tcPr>
                <w:p w14:paraId="75D6B326">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rightChars="0" w:firstLine="0" w:firstLineChars="0"/>
                    <w:jc w:val="center"/>
                    <w:textAlignment w:val="auto"/>
                    <w:rPr>
                      <w:rFonts w:hint="eastAsia"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cs="Times New Roman"/>
                      <w:b w:val="0"/>
                      <w:bCs w:val="0"/>
                      <w:color w:val="000000" w:themeColor="text1"/>
                      <w:sz w:val="21"/>
                      <w:szCs w:val="21"/>
                      <w:vertAlign w:val="baseline"/>
                      <w:lang w:val="en-US" w:eastAsia="zh-CN"/>
                    </w:rPr>
                    <w:t>2041.2kg</w:t>
                  </w:r>
                </w:p>
              </w:tc>
            </w:tr>
            <w:tr w14:paraId="1F24A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3" w:type="dxa"/>
                  <w:vAlign w:val="center"/>
                </w:tcPr>
                <w:p w14:paraId="2A9321F6">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eastAsia"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eastAsia="宋体" w:cs="Times New Roman"/>
                      <w:b w:val="0"/>
                      <w:bCs w:val="0"/>
                      <w:color w:val="000000" w:themeColor="text1"/>
                      <w:sz w:val="21"/>
                      <w:szCs w:val="21"/>
                      <w:vertAlign w:val="baseline"/>
                      <w:lang w:val="en-US" w:eastAsia="zh-CN"/>
                    </w:rPr>
                    <w:t>二级活性炭装置填充量</w:t>
                  </w:r>
                </w:p>
              </w:tc>
              <w:tc>
                <w:tcPr>
                  <w:tcW w:w="5670" w:type="dxa"/>
                  <w:gridSpan w:val="2"/>
                  <w:vAlign w:val="center"/>
                </w:tcPr>
                <w:p w14:paraId="3EE7DF7A">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cs="Times New Roman"/>
                      <w:b w:val="0"/>
                      <w:bCs w:val="0"/>
                      <w:color w:val="000000" w:themeColor="text1"/>
                      <w:sz w:val="21"/>
                      <w:szCs w:val="21"/>
                      <w:vertAlign w:val="baseline"/>
                      <w:lang w:val="en-US" w:eastAsia="zh-CN"/>
                    </w:rPr>
                    <w:t>4.08t</w:t>
                  </w:r>
                </w:p>
              </w:tc>
            </w:tr>
            <w:tr w14:paraId="6604FC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3" w:type="dxa"/>
                  <w:gridSpan w:val="3"/>
                  <w:vAlign w:val="center"/>
                </w:tcPr>
                <w:p w14:paraId="36344E20">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left"/>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default" w:ascii="Times New Roman" w:hAnsi="Times New Roman" w:eastAsia="宋体" w:cs="Times New Roman"/>
                      <w:b w:val="0"/>
                      <w:bCs w:val="0"/>
                      <w:color w:val="000000" w:themeColor="text1"/>
                      <w:sz w:val="21"/>
                      <w:szCs w:val="21"/>
                      <w:vertAlign w:val="baseline"/>
                      <w:lang w:val="en-US" w:eastAsia="zh-CN"/>
                    </w:rPr>
                    <w:t>注：①蜂窝活性炭密度约0.3~0.5g/cm</w:t>
                  </w:r>
                  <w:r>
                    <w:rPr>
                      <w:rFonts w:hint="default" w:ascii="Times New Roman" w:hAnsi="Times New Roman" w:eastAsia="宋体" w:cs="Times New Roman"/>
                      <w:b w:val="0"/>
                      <w:bCs w:val="0"/>
                      <w:color w:val="000000" w:themeColor="text1"/>
                      <w:sz w:val="21"/>
                      <w:szCs w:val="21"/>
                      <w:vertAlign w:val="superscript"/>
                      <w:lang w:val="en-US" w:eastAsia="zh-CN"/>
                    </w:rPr>
                    <w:t>3</w:t>
                  </w:r>
                  <w:r>
                    <w:rPr>
                      <w:rFonts w:hint="default" w:ascii="Times New Roman" w:hAnsi="Times New Roman" w:eastAsia="宋体" w:cs="Times New Roman"/>
                      <w:b w:val="0"/>
                      <w:bCs w:val="0"/>
                      <w:color w:val="000000" w:themeColor="text1"/>
                      <w:sz w:val="21"/>
                      <w:szCs w:val="21"/>
                      <w:vertAlign w:val="baseline"/>
                      <w:lang w:val="en-US" w:eastAsia="zh-CN"/>
                    </w:rPr>
                    <w:t>；</w:t>
                  </w:r>
                </w:p>
                <w:p w14:paraId="38968ACA">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left"/>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default" w:ascii="Times New Roman" w:hAnsi="Times New Roman" w:eastAsia="宋体" w:cs="Times New Roman"/>
                      <w:b w:val="0"/>
                      <w:bCs w:val="0"/>
                      <w:color w:val="000000" w:themeColor="text1"/>
                      <w:sz w:val="21"/>
                      <w:szCs w:val="21"/>
                      <w:vertAlign w:val="baseline"/>
                      <w:lang w:val="en-US" w:eastAsia="zh-CN"/>
                    </w:rPr>
                    <w:t>②活性炭孔隙率0.5~0.75，本次取0.75；</w:t>
                  </w:r>
                </w:p>
                <w:p w14:paraId="4D34FFD3">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left"/>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default" w:ascii="Times New Roman" w:hAnsi="Times New Roman" w:eastAsia="宋体" w:cs="Times New Roman"/>
                      <w:b w:val="0"/>
                      <w:bCs w:val="0"/>
                      <w:color w:val="000000" w:themeColor="text1"/>
                      <w:sz w:val="21"/>
                      <w:szCs w:val="21"/>
                      <w:vertAlign w:val="baseline"/>
                      <w:lang w:val="en-US" w:eastAsia="zh-CN"/>
                    </w:rPr>
                    <w:t>③停留时间T=h×q/V；</w:t>
                  </w:r>
                </w:p>
                <w:p w14:paraId="33F93688">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left"/>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default" w:ascii="Times New Roman" w:hAnsi="Times New Roman" w:eastAsia="宋体" w:cs="Times New Roman"/>
                      <w:b w:val="0"/>
                      <w:bCs w:val="0"/>
                      <w:color w:val="000000" w:themeColor="text1"/>
                      <w:sz w:val="21"/>
                      <w:szCs w:val="21"/>
                      <w:vertAlign w:val="baseline"/>
                      <w:lang w:val="en-US" w:eastAsia="zh-CN"/>
                    </w:rPr>
                    <w:t>④过滤风速=风量/（碳层长度×碳层宽度×碳层层数×孔隙率×3600s）；</w:t>
                  </w:r>
                </w:p>
                <w:p w14:paraId="01236424">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left"/>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default" w:ascii="Times New Roman" w:hAnsi="Times New Roman" w:eastAsia="宋体" w:cs="Times New Roman"/>
                      <w:b w:val="0"/>
                      <w:bCs w:val="0"/>
                      <w:color w:val="000000" w:themeColor="text1"/>
                      <w:sz w:val="21"/>
                      <w:szCs w:val="21"/>
                      <w:vertAlign w:val="baseline"/>
                      <w:lang w:val="en-US" w:eastAsia="zh-CN"/>
                    </w:rPr>
                    <w:t>⑤根据《吸附法工业有机废气治理工程技术规范》（HJ 2026-2013）要求：“采用蜂窝状吸</w:t>
                  </w:r>
                </w:p>
                <w:p w14:paraId="445A8335">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left"/>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default" w:ascii="Times New Roman" w:hAnsi="Times New Roman" w:eastAsia="宋体" w:cs="Times New Roman"/>
                      <w:b w:val="0"/>
                      <w:bCs w:val="0"/>
                      <w:color w:val="000000" w:themeColor="text1"/>
                      <w:sz w:val="21"/>
                      <w:szCs w:val="21"/>
                      <w:vertAlign w:val="baseline"/>
                      <w:lang w:val="en-US" w:eastAsia="zh-CN"/>
                    </w:rPr>
                    <w:t>附剂时，气体流速宜低于1.2m/s”，项目使用蜂窝活性炭，过滤风速为</w:t>
                  </w:r>
                  <w:r>
                    <w:rPr>
                      <w:rFonts w:hint="eastAsia" w:ascii="Times New Roman" w:hAnsi="Times New Roman" w:cs="Times New Roman"/>
                      <w:b w:val="0"/>
                      <w:bCs w:val="0"/>
                      <w:color w:val="000000" w:themeColor="text1"/>
                      <w:sz w:val="21"/>
                      <w:szCs w:val="21"/>
                      <w:vertAlign w:val="baseline"/>
                      <w:lang w:val="en-US" w:eastAsia="zh-CN"/>
                    </w:rPr>
                    <w:t>0.93</w:t>
                  </w:r>
                  <w:r>
                    <w:rPr>
                      <w:rFonts w:hint="default" w:ascii="Times New Roman" w:hAnsi="Times New Roman" w:eastAsia="宋体" w:cs="Times New Roman"/>
                      <w:b w:val="0"/>
                      <w:bCs w:val="0"/>
                      <w:color w:val="000000" w:themeColor="text1"/>
                      <w:sz w:val="21"/>
                      <w:szCs w:val="21"/>
                      <w:vertAlign w:val="baseline"/>
                      <w:lang w:val="en-US" w:eastAsia="zh-CN"/>
                    </w:rPr>
                    <w:t>m/s，符合（HJ2026-2013）要求；</w:t>
                  </w:r>
                </w:p>
                <w:p w14:paraId="03CE828A">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left"/>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default" w:ascii="Times New Roman" w:hAnsi="Times New Roman" w:eastAsia="宋体" w:cs="Times New Roman"/>
                      <w:b w:val="0"/>
                      <w:bCs w:val="0"/>
                      <w:color w:val="000000" w:themeColor="text1"/>
                      <w:sz w:val="21"/>
                      <w:szCs w:val="21"/>
                      <w:vertAlign w:val="baseline"/>
                      <w:lang w:val="en-US" w:eastAsia="zh-CN"/>
                    </w:rPr>
                    <w:t>⑥每级活性炭最大装填量=碳层长度×碳层宽度×碳层总厚度×蜂窝活性炭密度；</w:t>
                  </w:r>
                </w:p>
                <w:p w14:paraId="71D14EA0">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left"/>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default" w:ascii="Times New Roman" w:hAnsi="Times New Roman" w:eastAsia="宋体" w:cs="Times New Roman"/>
                      <w:b w:val="0"/>
                      <w:bCs w:val="0"/>
                      <w:color w:val="000000" w:themeColor="text1"/>
                      <w:sz w:val="21"/>
                      <w:szCs w:val="21"/>
                      <w:vertAlign w:val="baseline"/>
                      <w:lang w:val="en-US" w:eastAsia="zh-CN"/>
                    </w:rPr>
                    <w:t>⑦活性炭碘值要求：采用蜂窝活性炭作为吸附剂时，其碘值不宜低于</w:t>
                  </w:r>
                  <w:r>
                    <w:rPr>
                      <w:rFonts w:hint="eastAsia" w:ascii="Times New Roman" w:hAnsi="Times New Roman" w:cs="Times New Roman"/>
                      <w:b w:val="0"/>
                      <w:bCs w:val="0"/>
                      <w:color w:val="000000" w:themeColor="text1"/>
                      <w:sz w:val="21"/>
                      <w:szCs w:val="21"/>
                      <w:vertAlign w:val="baseline"/>
                      <w:lang w:val="en-US" w:eastAsia="zh-CN"/>
                    </w:rPr>
                    <w:t>800</w:t>
                  </w:r>
                  <w:r>
                    <w:rPr>
                      <w:rFonts w:hint="default" w:ascii="Times New Roman" w:hAnsi="Times New Roman" w:eastAsia="宋体" w:cs="Times New Roman"/>
                      <w:b w:val="0"/>
                      <w:bCs w:val="0"/>
                      <w:color w:val="000000" w:themeColor="text1"/>
                      <w:sz w:val="21"/>
                      <w:szCs w:val="21"/>
                      <w:vertAlign w:val="baseline"/>
                      <w:lang w:val="en-US" w:eastAsia="zh-CN"/>
                    </w:rPr>
                    <w:t>mg/g，本评价要</w:t>
                  </w:r>
                </w:p>
                <w:p w14:paraId="095027C8">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left"/>
                    <w:textAlignment w:val="auto"/>
                    <w:rPr>
                      <w:rFonts w:hint="eastAsia" w:ascii="Times New Roman" w:hAnsi="Times New Roman" w:eastAsia="宋体" w:cs="Times New Roman"/>
                      <w:b w:val="0"/>
                      <w:bCs w:val="0"/>
                      <w:color w:val="000000" w:themeColor="text1"/>
                      <w:sz w:val="21"/>
                      <w:szCs w:val="21"/>
                      <w:vertAlign w:val="baseline"/>
                      <w:lang w:val="en-US" w:eastAsia="zh-CN"/>
                    </w:rPr>
                  </w:pPr>
                  <w:r>
                    <w:rPr>
                      <w:rFonts w:hint="default" w:ascii="Times New Roman" w:hAnsi="Times New Roman" w:eastAsia="宋体" w:cs="Times New Roman"/>
                      <w:b w:val="0"/>
                      <w:bCs w:val="0"/>
                      <w:color w:val="000000" w:themeColor="text1"/>
                      <w:sz w:val="21"/>
                      <w:szCs w:val="21"/>
                      <w:vertAlign w:val="baseline"/>
                      <w:lang w:val="en-US" w:eastAsia="zh-CN"/>
                    </w:rPr>
                    <w:t>求建设方采用蜂窝活性炭碘值在</w:t>
                  </w:r>
                  <w:r>
                    <w:rPr>
                      <w:rFonts w:hint="eastAsia" w:ascii="Times New Roman" w:hAnsi="Times New Roman" w:cs="Times New Roman"/>
                      <w:b w:val="0"/>
                      <w:bCs w:val="0"/>
                      <w:color w:val="000000" w:themeColor="text1"/>
                      <w:sz w:val="21"/>
                      <w:szCs w:val="21"/>
                      <w:vertAlign w:val="baseline"/>
                      <w:lang w:val="en-US" w:eastAsia="zh-CN"/>
                    </w:rPr>
                    <w:t>80</w:t>
                  </w:r>
                  <w:r>
                    <w:rPr>
                      <w:rFonts w:hint="default" w:ascii="Times New Roman" w:hAnsi="Times New Roman" w:eastAsia="宋体" w:cs="Times New Roman"/>
                      <w:b w:val="0"/>
                      <w:bCs w:val="0"/>
                      <w:color w:val="000000" w:themeColor="text1"/>
                      <w:sz w:val="21"/>
                      <w:szCs w:val="21"/>
                      <w:vertAlign w:val="baseline"/>
                      <w:lang w:val="en-US" w:eastAsia="zh-CN"/>
                    </w:rPr>
                    <w:t>0mg/g 以上。</w:t>
                  </w:r>
                </w:p>
              </w:tc>
            </w:tr>
          </w:tbl>
          <w:p w14:paraId="63BEE7D2">
            <w:pPr>
              <w:spacing w:line="360" w:lineRule="auto"/>
              <w:ind w:firstLine="480" w:firstLineChars="200"/>
              <w:rPr>
                <w:rFonts w:hint="default" w:ascii="Times New Roman" w:hAnsi="Times New Roman" w:eastAsia="宋体" w:cs="Times New Roman"/>
                <w:color w:val="000000" w:themeColor="text1"/>
                <w:sz w:val="24"/>
                <w:szCs w:val="32"/>
                <w:lang w:val="en-US" w:eastAsia="zh-CN"/>
              </w:rPr>
            </w:pPr>
            <w:r>
              <w:rPr>
                <w:rFonts w:hint="eastAsia" w:cs="Times New Roman"/>
                <w:color w:val="000000" w:themeColor="text1"/>
                <w:sz w:val="24"/>
                <w:szCs w:val="32"/>
                <w:lang w:val="en-US" w:eastAsia="zh-CN"/>
              </w:rPr>
              <w:t>浇筑和固化</w:t>
            </w:r>
            <w:r>
              <w:rPr>
                <w:rFonts w:hint="eastAsia" w:ascii="Times New Roman" w:hAnsi="Times New Roman" w:eastAsia="宋体" w:cs="Times New Roman"/>
                <w:color w:val="000000" w:themeColor="text1"/>
                <w:sz w:val="24"/>
                <w:szCs w:val="32"/>
                <w:lang w:val="en-US" w:eastAsia="zh-CN"/>
              </w:rPr>
              <w:t>工序排放的非甲烷总烃较少，经干式过滤棉+二级活性炭吸附处理后排放浓度、排放速率均满足《固定源挥发性有机物综合排放标准　第6部分：其他行业》（DB34/4812.6-2024）表1中相关排放限值标准。</w:t>
            </w:r>
          </w:p>
          <w:p w14:paraId="4874C911">
            <w:pPr>
              <w:adjustRightInd w:val="0"/>
              <w:spacing w:line="360" w:lineRule="auto"/>
              <w:ind w:firstLine="480" w:firstLineChars="200"/>
              <w:textAlignment w:val="baseline"/>
              <w:rPr>
                <w:rFonts w:hint="default" w:ascii="Times New Roman" w:hAnsi="Times New Roman" w:eastAsia="宋体" w:cs="Times New Roman"/>
                <w:color w:val="000000" w:themeColor="text1"/>
                <w:sz w:val="24"/>
                <w:szCs w:val="32"/>
              </w:rPr>
            </w:pPr>
            <w:r>
              <w:rPr>
                <w:rFonts w:hint="eastAsia" w:ascii="Times New Roman" w:hAnsi="Times New Roman" w:eastAsia="宋体" w:cs="Times New Roman"/>
                <w:color w:val="000000" w:themeColor="text1"/>
                <w:sz w:val="24"/>
                <w:szCs w:val="32"/>
                <w:lang w:val="en-US" w:eastAsia="zh-CN"/>
              </w:rPr>
              <w:t>3、</w:t>
            </w:r>
            <w:r>
              <w:rPr>
                <w:rFonts w:hint="default" w:ascii="Times New Roman" w:hAnsi="Times New Roman" w:eastAsia="宋体" w:cs="Times New Roman"/>
                <w:color w:val="000000" w:themeColor="text1"/>
                <w:sz w:val="24"/>
                <w:szCs w:val="32"/>
              </w:rPr>
              <w:t>废气环境监测计划</w:t>
            </w:r>
          </w:p>
          <w:p w14:paraId="65EEC84B">
            <w:pPr>
              <w:spacing w:line="360" w:lineRule="auto"/>
              <w:ind w:firstLine="480" w:firstLineChars="200"/>
              <w:rPr>
                <w:rFonts w:hint="default" w:ascii="Times New Roman" w:hAnsi="Times New Roman" w:eastAsia="宋体" w:cs="Times New Roman"/>
                <w:color w:val="000000" w:themeColor="text1"/>
                <w:sz w:val="24"/>
                <w:szCs w:val="32"/>
              </w:rPr>
            </w:pPr>
            <w:r>
              <w:rPr>
                <w:rFonts w:hint="default" w:ascii="Times New Roman" w:hAnsi="Times New Roman" w:eastAsia="宋体" w:cs="Times New Roman"/>
                <w:color w:val="000000" w:themeColor="text1"/>
                <w:sz w:val="24"/>
                <w:szCs w:val="32"/>
              </w:rPr>
              <w:t>根据《排污单位自行监测技术指南 总则》《排污许可证(HJ819-2017)、申请与核发技术规范 总则》(HJ942-2018)，排污单位为掌握本单位的污染物排放状况及其对周边环境质量的影响，应按照相关法律法规和技术规范，组织开展环境监测。本项目确定主要污染源及主要监测指标，制定监测方案。本项目污染物监测计划见下表。</w:t>
            </w:r>
          </w:p>
          <w:p w14:paraId="785D355C">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textAlignment w:val="auto"/>
              <w:rPr>
                <w:rFonts w:hint="default" w:ascii="Times New Roman" w:hAnsi="Times New Roman" w:eastAsia="宋体" w:cs="Times New Roman"/>
                <w:b/>
                <w:bCs/>
                <w:color w:val="000000" w:themeColor="text1"/>
                <w:sz w:val="24"/>
                <w:szCs w:val="40"/>
              </w:rPr>
            </w:pPr>
            <w:r>
              <w:rPr>
                <w:rFonts w:hint="default" w:ascii="Times New Roman" w:hAnsi="Times New Roman" w:eastAsia="宋体" w:cs="Times New Roman"/>
                <w:b/>
                <w:bCs/>
                <w:color w:val="000000" w:themeColor="text1"/>
                <w:sz w:val="24"/>
                <w:szCs w:val="40"/>
              </w:rPr>
              <w:t>表4-</w:t>
            </w:r>
            <w:r>
              <w:rPr>
                <w:rFonts w:hint="eastAsia" w:ascii="Times New Roman" w:hAnsi="Times New Roman" w:eastAsia="宋体" w:cs="Times New Roman"/>
                <w:b/>
                <w:bCs/>
                <w:color w:val="000000" w:themeColor="text1"/>
                <w:sz w:val="24"/>
                <w:szCs w:val="40"/>
                <w:lang w:val="en-US" w:eastAsia="zh-CN"/>
              </w:rPr>
              <w:t>6</w:t>
            </w:r>
            <w:r>
              <w:rPr>
                <w:rFonts w:hint="default" w:ascii="Times New Roman" w:hAnsi="Times New Roman" w:eastAsia="宋体" w:cs="Times New Roman"/>
                <w:b/>
                <w:bCs/>
                <w:color w:val="000000" w:themeColor="text1"/>
                <w:sz w:val="24"/>
                <w:szCs w:val="40"/>
              </w:rPr>
              <w:t xml:space="preserve">   本项目废气环境监测计划一览表</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1"/>
              <w:gridCol w:w="1802"/>
              <w:gridCol w:w="2809"/>
              <w:gridCol w:w="1767"/>
            </w:tblGrid>
            <w:tr w14:paraId="4E0993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2" w:type="dxa"/>
                  <w:noWrap w:val="0"/>
                  <w:vAlign w:val="center"/>
                </w:tcPr>
                <w:p w14:paraId="0B76B154">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bCs/>
                      <w:color w:val="000000" w:themeColor="text1"/>
                      <w:sz w:val="21"/>
                      <w:szCs w:val="21"/>
                      <w:vertAlign w:val="baseline"/>
                      <w:lang w:val="en-US" w:eastAsia="zh-CN"/>
                    </w:rPr>
                  </w:pPr>
                  <w:r>
                    <w:rPr>
                      <w:rFonts w:hint="default" w:ascii="Times New Roman" w:hAnsi="Times New Roman" w:eastAsia="宋体" w:cs="Times New Roman"/>
                      <w:b/>
                      <w:bCs/>
                      <w:color w:val="000000" w:themeColor="text1"/>
                      <w:sz w:val="21"/>
                      <w:szCs w:val="21"/>
                      <w:vertAlign w:val="baseline"/>
                      <w:lang w:val="en-US" w:eastAsia="zh-CN"/>
                    </w:rPr>
                    <w:t>类别</w:t>
                  </w:r>
                </w:p>
              </w:tc>
              <w:tc>
                <w:tcPr>
                  <w:tcW w:w="1803" w:type="dxa"/>
                  <w:noWrap w:val="0"/>
                  <w:vAlign w:val="center"/>
                </w:tcPr>
                <w:p w14:paraId="1F98BF7A">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bCs/>
                      <w:color w:val="000000" w:themeColor="text1"/>
                      <w:sz w:val="21"/>
                      <w:szCs w:val="21"/>
                      <w:vertAlign w:val="baseline"/>
                      <w:lang w:val="en-US" w:eastAsia="zh-CN"/>
                    </w:rPr>
                  </w:pPr>
                  <w:r>
                    <w:rPr>
                      <w:rFonts w:hint="default" w:ascii="Times New Roman" w:hAnsi="Times New Roman" w:eastAsia="宋体" w:cs="Times New Roman"/>
                      <w:b/>
                      <w:bCs/>
                      <w:color w:val="000000" w:themeColor="text1"/>
                      <w:sz w:val="21"/>
                      <w:szCs w:val="21"/>
                      <w:vertAlign w:val="baseline"/>
                      <w:lang w:val="en-US" w:eastAsia="zh-CN"/>
                    </w:rPr>
                    <w:t>监测点位</w:t>
                  </w:r>
                </w:p>
              </w:tc>
              <w:tc>
                <w:tcPr>
                  <w:tcW w:w="2810" w:type="dxa"/>
                  <w:noWrap w:val="0"/>
                  <w:vAlign w:val="center"/>
                </w:tcPr>
                <w:p w14:paraId="7D01FE94">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bCs/>
                      <w:color w:val="000000" w:themeColor="text1"/>
                      <w:sz w:val="21"/>
                      <w:szCs w:val="21"/>
                      <w:vertAlign w:val="baseline"/>
                      <w:lang w:val="en-US" w:eastAsia="zh-CN"/>
                    </w:rPr>
                  </w:pPr>
                  <w:r>
                    <w:rPr>
                      <w:rFonts w:hint="default" w:ascii="Times New Roman" w:hAnsi="Times New Roman" w:eastAsia="宋体" w:cs="Times New Roman"/>
                      <w:b/>
                      <w:bCs/>
                      <w:color w:val="000000" w:themeColor="text1"/>
                      <w:sz w:val="21"/>
                      <w:szCs w:val="21"/>
                      <w:vertAlign w:val="baseline"/>
                      <w:lang w:val="en-US" w:eastAsia="zh-CN"/>
                    </w:rPr>
                    <w:t>监测因子</w:t>
                  </w:r>
                </w:p>
              </w:tc>
              <w:tc>
                <w:tcPr>
                  <w:tcW w:w="1768" w:type="dxa"/>
                  <w:noWrap w:val="0"/>
                  <w:vAlign w:val="center"/>
                </w:tcPr>
                <w:p w14:paraId="5473554D">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bCs/>
                      <w:color w:val="000000" w:themeColor="text1"/>
                      <w:sz w:val="21"/>
                      <w:szCs w:val="21"/>
                      <w:vertAlign w:val="baseline"/>
                      <w:lang w:val="en-US" w:eastAsia="zh-CN"/>
                    </w:rPr>
                  </w:pPr>
                  <w:r>
                    <w:rPr>
                      <w:rFonts w:hint="default" w:ascii="Times New Roman" w:hAnsi="Times New Roman" w:eastAsia="宋体" w:cs="Times New Roman"/>
                      <w:b/>
                      <w:bCs/>
                      <w:color w:val="000000" w:themeColor="text1"/>
                      <w:sz w:val="21"/>
                      <w:szCs w:val="21"/>
                      <w:vertAlign w:val="baseline"/>
                      <w:lang w:val="en-US" w:eastAsia="zh-CN"/>
                    </w:rPr>
                    <w:t>监测频次</w:t>
                  </w:r>
                </w:p>
              </w:tc>
            </w:tr>
            <w:tr w14:paraId="68364A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22" w:type="dxa"/>
                  <w:noWrap w:val="0"/>
                  <w:vAlign w:val="center"/>
                </w:tcPr>
                <w:p w14:paraId="5349555F">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default" w:ascii="Times New Roman" w:hAnsi="Times New Roman" w:eastAsia="宋体" w:cs="Times New Roman"/>
                      <w:b w:val="0"/>
                      <w:bCs w:val="0"/>
                      <w:color w:val="000000" w:themeColor="text1"/>
                      <w:sz w:val="21"/>
                      <w:szCs w:val="21"/>
                      <w:vertAlign w:val="baseline"/>
                      <w:lang w:val="en-US" w:eastAsia="zh-CN"/>
                    </w:rPr>
                    <w:t>废气</w:t>
                  </w:r>
                </w:p>
                <w:p w14:paraId="75B1E750">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default" w:ascii="Times New Roman" w:hAnsi="Times New Roman" w:eastAsia="宋体" w:cs="Times New Roman"/>
                      <w:b w:val="0"/>
                      <w:bCs w:val="0"/>
                      <w:color w:val="000000" w:themeColor="text1"/>
                      <w:sz w:val="21"/>
                      <w:szCs w:val="21"/>
                      <w:vertAlign w:val="baseline"/>
                      <w:lang w:val="en-US" w:eastAsia="zh-CN"/>
                    </w:rPr>
                    <w:t>（有组织）</w:t>
                  </w:r>
                </w:p>
              </w:tc>
              <w:tc>
                <w:tcPr>
                  <w:tcW w:w="1803" w:type="dxa"/>
                  <w:noWrap w:val="0"/>
                  <w:vAlign w:val="center"/>
                </w:tcPr>
                <w:p w14:paraId="7BEE42BC">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default" w:ascii="Times New Roman" w:hAnsi="Times New Roman" w:eastAsia="宋体" w:cs="Times New Roman"/>
                      <w:b w:val="0"/>
                      <w:bCs w:val="0"/>
                      <w:color w:val="000000" w:themeColor="text1"/>
                      <w:sz w:val="21"/>
                      <w:szCs w:val="21"/>
                      <w:vertAlign w:val="baseline"/>
                      <w:lang w:val="en-US" w:eastAsia="zh-CN"/>
                    </w:rPr>
                    <w:t>DA001</w:t>
                  </w:r>
                </w:p>
              </w:tc>
              <w:tc>
                <w:tcPr>
                  <w:tcW w:w="2810" w:type="dxa"/>
                  <w:noWrap w:val="0"/>
                  <w:vAlign w:val="center"/>
                </w:tcPr>
                <w:p w14:paraId="48F81CB3">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default" w:ascii="Times New Roman" w:hAnsi="Times New Roman" w:eastAsia="宋体" w:cs="Times New Roman"/>
                      <w:b w:val="0"/>
                      <w:bCs w:val="0"/>
                      <w:color w:val="000000" w:themeColor="text1"/>
                      <w:sz w:val="21"/>
                      <w:szCs w:val="21"/>
                      <w:vertAlign w:val="baseline"/>
                      <w:lang w:val="en-US" w:eastAsia="zh-CN"/>
                    </w:rPr>
                    <w:t>非甲烷总烃</w:t>
                  </w:r>
                </w:p>
              </w:tc>
              <w:tc>
                <w:tcPr>
                  <w:tcW w:w="1768" w:type="dxa"/>
                  <w:noWrap w:val="0"/>
                  <w:vAlign w:val="center"/>
                </w:tcPr>
                <w:p w14:paraId="3699E3B3">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default" w:ascii="Times New Roman" w:hAnsi="Times New Roman" w:eastAsia="宋体" w:cs="Times New Roman"/>
                      <w:b w:val="0"/>
                      <w:bCs w:val="0"/>
                      <w:color w:val="000000" w:themeColor="text1"/>
                      <w:sz w:val="21"/>
                      <w:szCs w:val="21"/>
                      <w:vertAlign w:val="baseline"/>
                      <w:lang w:val="en-US" w:eastAsia="zh-CN"/>
                    </w:rPr>
                    <w:t>1次/年</w:t>
                  </w:r>
                </w:p>
              </w:tc>
            </w:tr>
            <w:tr w14:paraId="2D8BBF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2" w:type="dxa"/>
                  <w:vMerge w:val="restart"/>
                  <w:noWrap w:val="0"/>
                  <w:vAlign w:val="center"/>
                </w:tcPr>
                <w:p w14:paraId="247EBE9F">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default" w:ascii="Times New Roman" w:hAnsi="Times New Roman" w:eastAsia="宋体" w:cs="Times New Roman"/>
                      <w:b w:val="0"/>
                      <w:bCs w:val="0"/>
                      <w:color w:val="000000" w:themeColor="text1"/>
                      <w:sz w:val="21"/>
                      <w:szCs w:val="21"/>
                      <w:vertAlign w:val="baseline"/>
                      <w:lang w:val="en-US" w:eastAsia="zh-CN"/>
                    </w:rPr>
                    <w:t>废气</w:t>
                  </w:r>
                </w:p>
                <w:p w14:paraId="12FAD2E8">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default" w:ascii="Times New Roman" w:hAnsi="Times New Roman" w:eastAsia="宋体" w:cs="Times New Roman"/>
                      <w:b w:val="0"/>
                      <w:bCs w:val="0"/>
                      <w:color w:val="000000" w:themeColor="text1"/>
                      <w:sz w:val="21"/>
                      <w:szCs w:val="21"/>
                      <w:vertAlign w:val="baseline"/>
                      <w:lang w:val="en-US" w:eastAsia="zh-CN"/>
                    </w:rPr>
                    <w:t>（无组织）</w:t>
                  </w:r>
                </w:p>
              </w:tc>
              <w:tc>
                <w:tcPr>
                  <w:tcW w:w="1803" w:type="dxa"/>
                  <w:noWrap w:val="0"/>
                  <w:vAlign w:val="center"/>
                </w:tcPr>
                <w:p w14:paraId="6EE7695F">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default" w:ascii="Times New Roman" w:hAnsi="Times New Roman" w:eastAsia="宋体" w:cs="Times New Roman"/>
                      <w:b w:val="0"/>
                      <w:bCs w:val="0"/>
                      <w:color w:val="000000" w:themeColor="text1"/>
                      <w:sz w:val="21"/>
                      <w:szCs w:val="21"/>
                      <w:vertAlign w:val="baseline"/>
                      <w:lang w:val="en-US" w:eastAsia="zh-CN"/>
                    </w:rPr>
                    <w:t>厂界</w:t>
                  </w:r>
                </w:p>
              </w:tc>
              <w:tc>
                <w:tcPr>
                  <w:tcW w:w="2810" w:type="dxa"/>
                  <w:noWrap w:val="0"/>
                  <w:vAlign w:val="center"/>
                </w:tcPr>
                <w:p w14:paraId="01C4E3E4">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eastAsia="宋体" w:cs="Times New Roman"/>
                      <w:b w:val="0"/>
                      <w:bCs w:val="0"/>
                      <w:color w:val="000000" w:themeColor="text1"/>
                      <w:sz w:val="21"/>
                      <w:szCs w:val="21"/>
                      <w:vertAlign w:val="baseline"/>
                      <w:lang w:val="en-US" w:eastAsia="zh-CN"/>
                    </w:rPr>
                    <w:t>非甲烷总烃</w:t>
                  </w:r>
                  <w:r>
                    <w:rPr>
                      <w:rFonts w:hint="default" w:ascii="Times New Roman" w:hAnsi="Times New Roman" w:eastAsia="宋体" w:cs="Times New Roman"/>
                      <w:b w:val="0"/>
                      <w:bCs w:val="0"/>
                      <w:color w:val="000000" w:themeColor="text1"/>
                      <w:sz w:val="21"/>
                      <w:szCs w:val="21"/>
                      <w:vertAlign w:val="baseline"/>
                      <w:lang w:val="en-US" w:eastAsia="zh-CN"/>
                    </w:rPr>
                    <w:t>、颗粒物</w:t>
                  </w:r>
                </w:p>
              </w:tc>
              <w:tc>
                <w:tcPr>
                  <w:tcW w:w="1768" w:type="dxa"/>
                  <w:noWrap w:val="0"/>
                  <w:vAlign w:val="center"/>
                </w:tcPr>
                <w:p w14:paraId="2F5237A4">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default" w:ascii="Times New Roman" w:hAnsi="Times New Roman" w:eastAsia="宋体" w:cs="Times New Roman"/>
                      <w:b w:val="0"/>
                      <w:bCs w:val="0"/>
                      <w:color w:val="000000" w:themeColor="text1"/>
                      <w:sz w:val="21"/>
                      <w:szCs w:val="21"/>
                      <w:vertAlign w:val="baseline"/>
                      <w:lang w:val="en-US" w:eastAsia="zh-CN"/>
                    </w:rPr>
                    <w:t>1次/年</w:t>
                  </w:r>
                </w:p>
              </w:tc>
            </w:tr>
            <w:tr w14:paraId="068C31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2" w:type="dxa"/>
                  <w:vMerge w:val="continue"/>
                  <w:noWrap w:val="0"/>
                  <w:vAlign w:val="center"/>
                </w:tcPr>
                <w:p w14:paraId="573093F6">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p>
              </w:tc>
              <w:tc>
                <w:tcPr>
                  <w:tcW w:w="1803" w:type="dxa"/>
                  <w:noWrap w:val="0"/>
                  <w:vAlign w:val="center"/>
                </w:tcPr>
                <w:p w14:paraId="20C20437">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eastAsia="宋体" w:cs="Times New Roman"/>
                      <w:b w:val="0"/>
                      <w:bCs w:val="0"/>
                      <w:color w:val="000000" w:themeColor="text1"/>
                      <w:sz w:val="21"/>
                      <w:szCs w:val="21"/>
                      <w:vertAlign w:val="baseline"/>
                      <w:lang w:val="en-US" w:eastAsia="zh-CN"/>
                    </w:rPr>
                    <w:t>车间外</w:t>
                  </w:r>
                </w:p>
              </w:tc>
              <w:tc>
                <w:tcPr>
                  <w:tcW w:w="2810" w:type="dxa"/>
                  <w:noWrap w:val="0"/>
                  <w:vAlign w:val="center"/>
                </w:tcPr>
                <w:p w14:paraId="192BC85B">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eastAsia="宋体" w:cs="Times New Roman"/>
                      <w:b w:val="0"/>
                      <w:bCs w:val="0"/>
                      <w:color w:val="000000" w:themeColor="text1"/>
                      <w:sz w:val="21"/>
                      <w:szCs w:val="21"/>
                      <w:vertAlign w:val="baseline"/>
                      <w:lang w:val="en-US" w:eastAsia="zh-CN"/>
                    </w:rPr>
                    <w:t>非甲烷总烃</w:t>
                  </w:r>
                </w:p>
              </w:tc>
              <w:tc>
                <w:tcPr>
                  <w:tcW w:w="1768" w:type="dxa"/>
                  <w:noWrap w:val="0"/>
                  <w:vAlign w:val="center"/>
                </w:tcPr>
                <w:p w14:paraId="6714117B">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default" w:ascii="Times New Roman" w:hAnsi="Times New Roman" w:eastAsia="宋体" w:cs="Times New Roman"/>
                      <w:b w:val="0"/>
                      <w:bCs w:val="0"/>
                      <w:color w:val="000000" w:themeColor="text1"/>
                      <w:sz w:val="21"/>
                      <w:szCs w:val="21"/>
                      <w:vertAlign w:val="baseline"/>
                      <w:lang w:val="en-US" w:eastAsia="zh-CN"/>
                    </w:rPr>
                    <w:t>1次/年</w:t>
                  </w:r>
                </w:p>
              </w:tc>
            </w:tr>
          </w:tbl>
          <w:p w14:paraId="3C323A5E">
            <w:pPr>
              <w:spacing w:line="360" w:lineRule="auto"/>
              <w:ind w:firstLine="480" w:firstLineChars="200"/>
              <w:rPr>
                <w:rFonts w:hint="default" w:ascii="Times New Roman" w:hAnsi="Times New Roman" w:eastAsia="宋体" w:cs="Times New Roman"/>
                <w:color w:val="000000" w:themeColor="text1"/>
                <w:sz w:val="24"/>
                <w:szCs w:val="24"/>
              </w:rPr>
            </w:pPr>
            <w:r>
              <w:rPr>
                <w:rFonts w:hint="default" w:ascii="Times New Roman" w:hAnsi="Times New Roman" w:eastAsia="宋体" w:cs="Times New Roman"/>
                <w:color w:val="000000" w:themeColor="text1"/>
                <w:sz w:val="24"/>
                <w:szCs w:val="24"/>
              </w:rPr>
              <w:t>4</w:t>
            </w:r>
            <w:r>
              <w:rPr>
                <w:rFonts w:hint="eastAsia" w:ascii="Times New Roman" w:hAnsi="Times New Roman" w:eastAsia="宋体" w:cs="Times New Roman"/>
                <w:color w:val="000000" w:themeColor="text1"/>
                <w:sz w:val="24"/>
                <w:szCs w:val="24"/>
                <w:lang w:eastAsia="zh-CN"/>
              </w:rPr>
              <w:t>、</w:t>
            </w:r>
            <w:r>
              <w:rPr>
                <w:rFonts w:hint="default" w:ascii="Times New Roman" w:hAnsi="Times New Roman" w:eastAsia="宋体" w:cs="Times New Roman"/>
                <w:color w:val="000000" w:themeColor="text1"/>
                <w:sz w:val="24"/>
                <w:szCs w:val="24"/>
              </w:rPr>
              <w:t>非正常工况废气排放情况</w:t>
            </w:r>
          </w:p>
          <w:p w14:paraId="45A192EA">
            <w:pPr>
              <w:spacing w:line="360" w:lineRule="auto"/>
              <w:ind w:firstLine="480" w:firstLineChars="200"/>
              <w:rPr>
                <w:rFonts w:hint="default" w:ascii="Times New Roman" w:hAnsi="Times New Roman" w:eastAsia="宋体" w:cs="Times New Roman"/>
                <w:color w:val="000000" w:themeColor="text1"/>
                <w:sz w:val="24"/>
                <w:szCs w:val="24"/>
              </w:rPr>
            </w:pPr>
            <w:r>
              <w:rPr>
                <w:rFonts w:hint="default" w:ascii="Times New Roman" w:hAnsi="Times New Roman" w:eastAsia="宋体" w:cs="Times New Roman"/>
                <w:color w:val="000000" w:themeColor="text1"/>
                <w:sz w:val="24"/>
                <w:szCs w:val="24"/>
              </w:rPr>
              <w:t>本项目拟定废气处理装置为</w:t>
            </w:r>
            <w:r>
              <w:rPr>
                <w:rFonts w:hint="eastAsia" w:ascii="Times New Roman" w:hAnsi="Times New Roman" w:eastAsia="宋体" w:cs="Times New Roman"/>
                <w:color w:val="000000" w:themeColor="text1"/>
                <w:sz w:val="24"/>
                <w:szCs w:val="24"/>
                <w:lang w:val="en-US" w:eastAsia="zh-CN"/>
              </w:rPr>
              <w:t>干式过滤棉+</w:t>
            </w:r>
            <w:r>
              <w:rPr>
                <w:rFonts w:hint="default" w:ascii="Times New Roman" w:hAnsi="Times New Roman" w:eastAsia="宋体" w:cs="Times New Roman"/>
                <w:color w:val="000000" w:themeColor="text1"/>
                <w:sz w:val="24"/>
                <w:szCs w:val="24"/>
              </w:rPr>
              <w:t>二级活性炭吸附</w:t>
            </w:r>
            <w:r>
              <w:rPr>
                <w:rFonts w:hint="default" w:ascii="Times New Roman" w:hAnsi="Times New Roman" w:eastAsia="宋体" w:cs="Times New Roman"/>
                <w:color w:val="000000" w:themeColor="text1"/>
                <w:sz w:val="24"/>
                <w:szCs w:val="24"/>
                <w:lang w:val="en-US" w:eastAsia="zh-CN"/>
              </w:rPr>
              <w:t>装置</w:t>
            </w:r>
            <w:r>
              <w:rPr>
                <w:rFonts w:hint="default" w:ascii="Times New Roman" w:hAnsi="Times New Roman" w:eastAsia="宋体" w:cs="Times New Roman"/>
                <w:color w:val="000000" w:themeColor="text1"/>
                <w:sz w:val="24"/>
                <w:szCs w:val="24"/>
              </w:rPr>
              <w:t>，废气治理措施发生故障时，会导致废气非正常排放。本项目非正常工况分析选择有废气净化措施且通过排气筒排放的废气污染源，按去除效率为正常工况一半考虑，详见下表所示。</w:t>
            </w:r>
          </w:p>
          <w:p w14:paraId="364D668A">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textAlignment w:val="auto"/>
              <w:rPr>
                <w:rFonts w:hint="default" w:ascii="Times New Roman" w:hAnsi="Times New Roman" w:eastAsia="宋体" w:cs="Times New Roman"/>
                <w:color w:val="000000" w:themeColor="text1"/>
                <w:sz w:val="24"/>
                <w:szCs w:val="24"/>
              </w:rPr>
            </w:pPr>
            <w:r>
              <w:rPr>
                <w:rFonts w:hint="default" w:ascii="Times New Roman" w:hAnsi="Times New Roman" w:eastAsia="宋体" w:cs="Times New Roman"/>
                <w:b/>
                <w:bCs/>
                <w:color w:val="000000" w:themeColor="text1"/>
                <w:sz w:val="24"/>
                <w:szCs w:val="24"/>
              </w:rPr>
              <w:t>表4-</w:t>
            </w:r>
            <w:r>
              <w:rPr>
                <w:rFonts w:hint="eastAsia" w:ascii="Times New Roman" w:hAnsi="Times New Roman" w:eastAsia="宋体" w:cs="Times New Roman"/>
                <w:b/>
                <w:bCs/>
                <w:color w:val="000000" w:themeColor="text1"/>
                <w:sz w:val="24"/>
                <w:szCs w:val="24"/>
                <w:lang w:val="en-US" w:eastAsia="zh-CN"/>
              </w:rPr>
              <w:t>7</w:t>
            </w:r>
            <w:r>
              <w:rPr>
                <w:rFonts w:hint="default" w:ascii="Times New Roman" w:hAnsi="Times New Roman" w:eastAsia="宋体" w:cs="Times New Roman"/>
                <w:b/>
                <w:bCs/>
                <w:color w:val="000000" w:themeColor="text1"/>
                <w:sz w:val="24"/>
                <w:szCs w:val="24"/>
              </w:rPr>
              <w:t xml:space="preserve">  非正常工况下废气排放一览表</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3"/>
              <w:gridCol w:w="1161"/>
              <w:gridCol w:w="873"/>
              <w:gridCol w:w="1426"/>
              <w:gridCol w:w="1318"/>
              <w:gridCol w:w="1611"/>
              <w:gridCol w:w="927"/>
            </w:tblGrid>
            <w:tr w14:paraId="08DB33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3" w:type="dxa"/>
                  <w:noWrap w:val="0"/>
                  <w:vAlign w:val="center"/>
                </w:tcPr>
                <w:p w14:paraId="192E41D4">
                  <w:pPr>
                    <w:pStyle w:val="89"/>
                    <w:adjustRightInd w:val="0"/>
                    <w:snapToGrid/>
                    <w:spacing w:line="240" w:lineRule="auto"/>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非正常排放源</w:t>
                  </w:r>
                </w:p>
              </w:tc>
              <w:tc>
                <w:tcPr>
                  <w:tcW w:w="1162" w:type="dxa"/>
                  <w:noWrap w:val="0"/>
                  <w:vAlign w:val="center"/>
                </w:tcPr>
                <w:p w14:paraId="02541E7A">
                  <w:pPr>
                    <w:pStyle w:val="89"/>
                    <w:adjustRightInd w:val="0"/>
                    <w:snapToGrid/>
                    <w:spacing w:line="240" w:lineRule="auto"/>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非正常排放原因</w:t>
                  </w:r>
                </w:p>
              </w:tc>
              <w:tc>
                <w:tcPr>
                  <w:tcW w:w="873" w:type="dxa"/>
                  <w:noWrap w:val="0"/>
                  <w:vAlign w:val="center"/>
                </w:tcPr>
                <w:p w14:paraId="436770D7">
                  <w:pPr>
                    <w:pStyle w:val="89"/>
                    <w:adjustRightInd w:val="0"/>
                    <w:snapToGrid/>
                    <w:spacing w:line="240" w:lineRule="auto"/>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污染物</w:t>
                  </w:r>
                </w:p>
              </w:tc>
              <w:tc>
                <w:tcPr>
                  <w:tcW w:w="1427" w:type="dxa"/>
                  <w:noWrap w:val="0"/>
                  <w:vAlign w:val="center"/>
                </w:tcPr>
                <w:p w14:paraId="795CE734">
                  <w:pPr>
                    <w:pStyle w:val="89"/>
                    <w:adjustRightInd w:val="0"/>
                    <w:snapToGrid/>
                    <w:spacing w:line="240" w:lineRule="auto"/>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非正常排放速率kg/h</w:t>
                  </w:r>
                </w:p>
              </w:tc>
              <w:tc>
                <w:tcPr>
                  <w:tcW w:w="1319" w:type="dxa"/>
                  <w:noWrap w:val="0"/>
                  <w:vAlign w:val="center"/>
                </w:tcPr>
                <w:p w14:paraId="4B8893E2">
                  <w:pPr>
                    <w:pStyle w:val="89"/>
                    <w:adjustRightInd w:val="0"/>
                    <w:snapToGrid/>
                    <w:spacing w:line="240" w:lineRule="auto"/>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非正常排放量kg/a</w:t>
                  </w:r>
                </w:p>
              </w:tc>
              <w:tc>
                <w:tcPr>
                  <w:tcW w:w="1612" w:type="dxa"/>
                  <w:noWrap w:val="0"/>
                  <w:vAlign w:val="center"/>
                </w:tcPr>
                <w:p w14:paraId="68BFEBA6">
                  <w:pPr>
                    <w:pStyle w:val="89"/>
                    <w:adjustRightInd w:val="0"/>
                    <w:snapToGrid/>
                    <w:spacing w:line="240" w:lineRule="auto"/>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非正常排放浓度mg/m</w:t>
                  </w:r>
                  <w:r>
                    <w:rPr>
                      <w:rFonts w:hint="default" w:ascii="Times New Roman" w:hAnsi="Times New Roman" w:eastAsia="宋体" w:cs="Times New Roman"/>
                      <w:color w:val="000000" w:themeColor="text1"/>
                      <w:sz w:val="21"/>
                      <w:szCs w:val="21"/>
                      <w:vertAlign w:val="superscript"/>
                    </w:rPr>
                    <w:t>3</w:t>
                  </w:r>
                </w:p>
              </w:tc>
              <w:tc>
                <w:tcPr>
                  <w:tcW w:w="927" w:type="dxa"/>
                  <w:noWrap w:val="0"/>
                  <w:vAlign w:val="center"/>
                </w:tcPr>
                <w:p w14:paraId="75AA31D2">
                  <w:pPr>
                    <w:pStyle w:val="89"/>
                    <w:adjustRightInd w:val="0"/>
                    <w:snapToGrid/>
                    <w:spacing w:line="240" w:lineRule="auto"/>
                    <w:rPr>
                      <w:rFonts w:hint="default" w:ascii="Times New Roman" w:hAnsi="Times New Roman" w:eastAsia="宋体" w:cs="Times New Roman"/>
                      <w:color w:val="000000" w:themeColor="text1"/>
                      <w:sz w:val="21"/>
                      <w:szCs w:val="21"/>
                      <w:lang w:eastAsia="zh-CN"/>
                    </w:rPr>
                  </w:pPr>
                  <w:r>
                    <w:rPr>
                      <w:rFonts w:hint="default" w:ascii="Times New Roman" w:hAnsi="Times New Roman" w:eastAsia="宋体" w:cs="Times New Roman"/>
                      <w:color w:val="000000" w:themeColor="text1"/>
                      <w:sz w:val="21"/>
                      <w:szCs w:val="21"/>
                    </w:rPr>
                    <w:t>年发生</w:t>
                  </w:r>
                  <w:r>
                    <w:rPr>
                      <w:rFonts w:hint="default" w:ascii="Times New Roman" w:hAnsi="Times New Roman" w:eastAsia="宋体" w:cs="Times New Roman"/>
                      <w:color w:val="000000" w:themeColor="text1"/>
                      <w:sz w:val="21"/>
                      <w:szCs w:val="21"/>
                      <w:lang w:val="en-US" w:eastAsia="zh-CN"/>
                    </w:rPr>
                    <w:t>时间</w:t>
                  </w:r>
                </w:p>
              </w:tc>
            </w:tr>
            <w:tr w14:paraId="01D6D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7" w:hRule="atLeast"/>
                <w:jc w:val="center"/>
              </w:trPr>
              <w:tc>
                <w:tcPr>
                  <w:tcW w:w="1183" w:type="dxa"/>
                  <w:noWrap w:val="0"/>
                  <w:vAlign w:val="center"/>
                </w:tcPr>
                <w:p w14:paraId="69B85B87">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default" w:ascii="Times New Roman" w:hAnsi="Times New Roman" w:eastAsia="宋体" w:cs="Times New Roman"/>
                      <w:b w:val="0"/>
                      <w:bCs w:val="0"/>
                      <w:color w:val="000000" w:themeColor="text1"/>
                      <w:sz w:val="21"/>
                      <w:szCs w:val="21"/>
                      <w:vertAlign w:val="baseline"/>
                      <w:lang w:val="en-US" w:eastAsia="zh-CN"/>
                    </w:rPr>
                    <w:t>DA001</w:t>
                  </w:r>
                </w:p>
              </w:tc>
              <w:tc>
                <w:tcPr>
                  <w:tcW w:w="1162" w:type="dxa"/>
                  <w:noWrap w:val="0"/>
                  <w:vAlign w:val="center"/>
                </w:tcPr>
                <w:p w14:paraId="2B487DB2">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default" w:ascii="Times New Roman" w:hAnsi="Times New Roman" w:eastAsia="宋体" w:cs="Times New Roman"/>
                      <w:b w:val="0"/>
                      <w:bCs w:val="0"/>
                      <w:color w:val="000000" w:themeColor="text1"/>
                      <w:sz w:val="21"/>
                      <w:szCs w:val="21"/>
                      <w:vertAlign w:val="baseline"/>
                      <w:lang w:val="en-US" w:eastAsia="zh-CN"/>
                    </w:rPr>
                    <w:t>活性炭未定期更换</w:t>
                  </w:r>
                </w:p>
              </w:tc>
              <w:tc>
                <w:tcPr>
                  <w:tcW w:w="873" w:type="dxa"/>
                  <w:noWrap w:val="0"/>
                  <w:vAlign w:val="center"/>
                </w:tcPr>
                <w:p w14:paraId="4DF87B4A">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default" w:ascii="Times New Roman" w:hAnsi="Times New Roman" w:eastAsia="宋体" w:cs="Times New Roman"/>
                      <w:b w:val="0"/>
                      <w:bCs w:val="0"/>
                      <w:color w:val="000000" w:themeColor="text1"/>
                      <w:sz w:val="21"/>
                      <w:szCs w:val="21"/>
                      <w:vertAlign w:val="baseline"/>
                      <w:lang w:val="en-US" w:eastAsia="zh-CN"/>
                    </w:rPr>
                    <w:t>非甲烷总烃</w:t>
                  </w:r>
                </w:p>
              </w:tc>
              <w:tc>
                <w:tcPr>
                  <w:tcW w:w="1427" w:type="dxa"/>
                  <w:noWrap w:val="0"/>
                  <w:vAlign w:val="center"/>
                </w:tcPr>
                <w:p w14:paraId="3202580B">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default" w:ascii="Times New Roman" w:hAnsi="Times New Roman" w:eastAsia="宋体" w:cs="Times New Roman"/>
                      <w:b w:val="0"/>
                      <w:bCs w:val="0"/>
                      <w:color w:val="000000" w:themeColor="text1"/>
                      <w:sz w:val="21"/>
                      <w:szCs w:val="21"/>
                      <w:vertAlign w:val="baseline"/>
                      <w:lang w:val="en-US" w:eastAsia="zh-CN"/>
                    </w:rPr>
                    <w:t>0</w:t>
                  </w:r>
                  <w:r>
                    <w:rPr>
                      <w:rFonts w:hint="eastAsia" w:ascii="Times New Roman" w:hAnsi="Times New Roman" w:eastAsia="宋体" w:cs="Times New Roman"/>
                      <w:b w:val="0"/>
                      <w:bCs w:val="0"/>
                      <w:color w:val="000000" w:themeColor="text1"/>
                      <w:sz w:val="21"/>
                      <w:szCs w:val="21"/>
                      <w:vertAlign w:val="baseline"/>
                      <w:lang w:val="en-US" w:eastAsia="zh-CN"/>
                    </w:rPr>
                    <w:t>.0</w:t>
                  </w:r>
                  <w:r>
                    <w:rPr>
                      <w:rFonts w:hint="eastAsia" w:ascii="Times New Roman" w:hAnsi="Times New Roman" w:cs="Times New Roman"/>
                      <w:b w:val="0"/>
                      <w:bCs w:val="0"/>
                      <w:color w:val="000000" w:themeColor="text1"/>
                      <w:sz w:val="21"/>
                      <w:szCs w:val="21"/>
                      <w:vertAlign w:val="baseline"/>
                      <w:lang w:val="en-US" w:eastAsia="zh-CN"/>
                    </w:rPr>
                    <w:t>9</w:t>
                  </w:r>
                </w:p>
              </w:tc>
              <w:tc>
                <w:tcPr>
                  <w:tcW w:w="1319" w:type="dxa"/>
                  <w:noWrap w:val="0"/>
                  <w:vAlign w:val="center"/>
                </w:tcPr>
                <w:p w14:paraId="14BEA46A">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default" w:ascii="Times New Roman" w:hAnsi="Times New Roman" w:eastAsia="宋体" w:cs="Times New Roman"/>
                      <w:b w:val="0"/>
                      <w:bCs w:val="0"/>
                      <w:color w:val="000000" w:themeColor="text1"/>
                      <w:sz w:val="21"/>
                      <w:szCs w:val="21"/>
                      <w:vertAlign w:val="baseline"/>
                      <w:lang w:val="en-US" w:eastAsia="zh-CN"/>
                    </w:rPr>
                    <w:t>0</w:t>
                  </w:r>
                  <w:r>
                    <w:rPr>
                      <w:rFonts w:hint="eastAsia" w:ascii="Times New Roman" w:hAnsi="Times New Roman" w:eastAsia="宋体" w:cs="Times New Roman"/>
                      <w:b w:val="0"/>
                      <w:bCs w:val="0"/>
                      <w:color w:val="000000" w:themeColor="text1"/>
                      <w:sz w:val="21"/>
                      <w:szCs w:val="21"/>
                      <w:vertAlign w:val="baseline"/>
                      <w:lang w:val="en-US" w:eastAsia="zh-CN"/>
                    </w:rPr>
                    <w:t>.0</w:t>
                  </w:r>
                  <w:r>
                    <w:rPr>
                      <w:rFonts w:hint="eastAsia" w:ascii="Times New Roman" w:hAnsi="Times New Roman" w:cs="Times New Roman"/>
                      <w:b w:val="0"/>
                      <w:bCs w:val="0"/>
                      <w:color w:val="000000" w:themeColor="text1"/>
                      <w:sz w:val="21"/>
                      <w:szCs w:val="21"/>
                      <w:vertAlign w:val="baseline"/>
                      <w:lang w:val="en-US" w:eastAsia="zh-CN"/>
                    </w:rPr>
                    <w:t>9</w:t>
                  </w:r>
                </w:p>
              </w:tc>
              <w:tc>
                <w:tcPr>
                  <w:tcW w:w="1612" w:type="dxa"/>
                  <w:noWrap w:val="0"/>
                  <w:vAlign w:val="center"/>
                </w:tcPr>
                <w:p w14:paraId="7DE1FBEA">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cs="Times New Roman"/>
                      <w:b w:val="0"/>
                      <w:bCs w:val="0"/>
                      <w:color w:val="000000" w:themeColor="text1"/>
                      <w:sz w:val="21"/>
                      <w:szCs w:val="21"/>
                      <w:vertAlign w:val="baseline"/>
                      <w:lang w:val="en-US" w:eastAsia="zh-CN"/>
                    </w:rPr>
                    <w:t>4.48</w:t>
                  </w:r>
                </w:p>
              </w:tc>
              <w:tc>
                <w:tcPr>
                  <w:tcW w:w="927" w:type="dxa"/>
                  <w:noWrap w:val="0"/>
                  <w:vAlign w:val="center"/>
                </w:tcPr>
                <w:p w14:paraId="6E73EAF4">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default" w:ascii="Times New Roman" w:hAnsi="Times New Roman" w:eastAsia="宋体" w:cs="Times New Roman"/>
                      <w:b w:val="0"/>
                      <w:bCs w:val="0"/>
                      <w:color w:val="000000" w:themeColor="text1"/>
                      <w:sz w:val="21"/>
                      <w:szCs w:val="21"/>
                      <w:vertAlign w:val="baseline"/>
                      <w:lang w:val="en-US" w:eastAsia="zh-CN"/>
                    </w:rPr>
                    <w:t>1h</w:t>
                  </w:r>
                </w:p>
              </w:tc>
            </w:tr>
          </w:tbl>
          <w:p w14:paraId="3D19CABC">
            <w:pPr>
              <w:spacing w:line="360" w:lineRule="auto"/>
              <w:ind w:firstLine="480" w:firstLineChars="200"/>
              <w:rPr>
                <w:rFonts w:hint="default" w:ascii="Times New Roman" w:hAnsi="Times New Roman" w:eastAsia="宋体" w:cs="Times New Roman"/>
                <w:color w:val="000000" w:themeColor="text1"/>
                <w:sz w:val="24"/>
                <w:szCs w:val="32"/>
              </w:rPr>
            </w:pPr>
            <w:r>
              <w:rPr>
                <w:rFonts w:hint="default" w:ascii="Times New Roman" w:hAnsi="Times New Roman" w:eastAsia="宋体" w:cs="Times New Roman"/>
                <w:color w:val="000000" w:themeColor="text1"/>
                <w:sz w:val="24"/>
                <w:szCs w:val="32"/>
              </w:rPr>
              <w:t>为防止废气非正常排放，应采取以下措施确保废气达标排放：①安排专人负责环保设备的日常维护和管理，定期检查、汇报情况，及时发现废气处理设备的隐患，确保废气处理系统正常运行；②建立健全的环保管理机构，对环保管理人员和技术人员进行岗位培训，委托具有专业资质的环境检测单位对项目排放的各类污染物进行定期检测；③应定期维护、检修废气净化装置，以保持废气处理装置的净化能力和净化容量。</w:t>
            </w:r>
          </w:p>
          <w:p w14:paraId="0A6366E7">
            <w:pPr>
              <w:spacing w:line="360" w:lineRule="auto"/>
              <w:ind w:firstLine="480" w:firstLineChars="200"/>
              <w:rPr>
                <w:rFonts w:hint="default" w:ascii="Times New Roman" w:hAnsi="Times New Roman" w:eastAsia="宋体" w:cs="Times New Roman"/>
                <w:color w:val="000000" w:themeColor="text1"/>
                <w:sz w:val="24"/>
                <w:szCs w:val="32"/>
              </w:rPr>
            </w:pPr>
            <w:r>
              <w:rPr>
                <w:rFonts w:hint="default" w:ascii="Times New Roman" w:hAnsi="Times New Roman" w:eastAsia="宋体" w:cs="Times New Roman"/>
                <w:color w:val="000000" w:themeColor="text1"/>
                <w:sz w:val="24"/>
                <w:szCs w:val="32"/>
              </w:rPr>
              <w:t>5</w:t>
            </w:r>
            <w:r>
              <w:rPr>
                <w:rFonts w:hint="eastAsia" w:ascii="Times New Roman" w:hAnsi="Times New Roman" w:eastAsia="宋体" w:cs="Times New Roman"/>
                <w:color w:val="000000" w:themeColor="text1"/>
                <w:sz w:val="24"/>
                <w:szCs w:val="32"/>
                <w:lang w:eastAsia="zh-CN"/>
              </w:rPr>
              <w:t>、</w:t>
            </w:r>
            <w:r>
              <w:rPr>
                <w:rFonts w:hint="default" w:ascii="Times New Roman" w:hAnsi="Times New Roman" w:eastAsia="宋体" w:cs="Times New Roman"/>
                <w:color w:val="000000" w:themeColor="text1"/>
                <w:sz w:val="24"/>
                <w:szCs w:val="32"/>
              </w:rPr>
              <w:t>本项目废气排放环境影响</w:t>
            </w:r>
          </w:p>
          <w:p w14:paraId="1D0EAD0F">
            <w:pPr>
              <w:adjustRightInd w:val="0"/>
              <w:snapToGrid w:val="0"/>
              <w:spacing w:line="360" w:lineRule="auto"/>
              <w:ind w:firstLine="480" w:firstLineChars="200"/>
              <w:rPr>
                <w:rFonts w:hint="default" w:ascii="Times New Roman" w:hAnsi="Times New Roman" w:eastAsia="宋体" w:cs="Times New Roman"/>
                <w:color w:val="000000" w:themeColor="text1"/>
                <w:sz w:val="24"/>
                <w:szCs w:val="32"/>
              </w:rPr>
            </w:pPr>
            <w:r>
              <w:rPr>
                <w:rFonts w:hint="default" w:ascii="Times New Roman" w:hAnsi="Times New Roman" w:eastAsia="宋体" w:cs="Times New Roman"/>
                <w:color w:val="000000" w:themeColor="text1"/>
                <w:sz w:val="24"/>
                <w:szCs w:val="32"/>
              </w:rPr>
              <w:t>根据《202</w:t>
            </w:r>
            <w:r>
              <w:rPr>
                <w:rFonts w:hint="eastAsia" w:cs="Times New Roman"/>
                <w:color w:val="000000" w:themeColor="text1"/>
                <w:sz w:val="24"/>
                <w:szCs w:val="32"/>
                <w:lang w:val="en-US" w:eastAsia="zh-CN"/>
              </w:rPr>
              <w:t>4</w:t>
            </w:r>
            <w:r>
              <w:rPr>
                <w:rFonts w:hint="default" w:ascii="Times New Roman" w:hAnsi="Times New Roman" w:eastAsia="宋体" w:cs="Times New Roman"/>
                <w:color w:val="000000" w:themeColor="text1"/>
                <w:sz w:val="24"/>
                <w:szCs w:val="32"/>
              </w:rPr>
              <w:t>年度淮北市生态环境状况公报》中数据，淮北市属于不达标区，主要超标因子为PM</w:t>
            </w:r>
            <w:r>
              <w:rPr>
                <w:rFonts w:hint="default" w:ascii="Times New Roman" w:hAnsi="Times New Roman" w:eastAsia="宋体" w:cs="Times New Roman"/>
                <w:color w:val="000000" w:themeColor="text1"/>
                <w:sz w:val="24"/>
                <w:szCs w:val="32"/>
                <w:vertAlign w:val="subscript"/>
              </w:rPr>
              <w:t>2.5</w:t>
            </w:r>
            <w:r>
              <w:rPr>
                <w:rFonts w:hint="default" w:ascii="Times New Roman" w:hAnsi="Times New Roman" w:eastAsia="宋体" w:cs="Times New Roman"/>
                <w:color w:val="000000" w:themeColor="text1"/>
                <w:sz w:val="24"/>
                <w:szCs w:val="32"/>
              </w:rPr>
              <w:t>和O</w:t>
            </w:r>
            <w:r>
              <w:rPr>
                <w:rFonts w:hint="default" w:ascii="Times New Roman" w:hAnsi="Times New Roman" w:eastAsia="宋体" w:cs="Times New Roman"/>
                <w:color w:val="000000" w:themeColor="text1"/>
                <w:sz w:val="24"/>
                <w:szCs w:val="32"/>
                <w:vertAlign w:val="subscript"/>
              </w:rPr>
              <w:t>3</w:t>
            </w:r>
            <w:r>
              <w:rPr>
                <w:rFonts w:hint="default" w:ascii="Times New Roman" w:hAnsi="Times New Roman" w:eastAsia="宋体" w:cs="Times New Roman"/>
                <w:color w:val="000000" w:themeColor="text1"/>
                <w:sz w:val="24"/>
                <w:szCs w:val="32"/>
              </w:rPr>
              <w:t>。根据大气污染物源强分析，本项目产生的颗粒物、非甲烷总烃经收集处理后排放的污染物排放浓度均符合排放标准要求。各废气污染物排放源尽可能配置废气收集与治理装置，各废气污染物均可达到相应排放标准要求。废气经处理后对周边环境影响较小。</w:t>
            </w:r>
          </w:p>
          <w:p w14:paraId="58C738EE">
            <w:pPr>
              <w:spacing w:line="360" w:lineRule="auto"/>
              <w:ind w:firstLine="480" w:firstLineChars="200"/>
              <w:rPr>
                <w:rFonts w:hint="eastAsia" w:ascii="Times New Roman" w:hAnsi="Times New Roman" w:eastAsia="宋体" w:cs="Times New Roman"/>
                <w:color w:val="000000" w:themeColor="text1"/>
                <w:sz w:val="24"/>
                <w:szCs w:val="32"/>
                <w:lang w:val="en-US" w:eastAsia="zh-CN"/>
              </w:rPr>
            </w:pPr>
            <w:r>
              <w:rPr>
                <w:rFonts w:hint="eastAsia" w:ascii="Times New Roman" w:hAnsi="Times New Roman" w:eastAsia="宋体" w:cs="Times New Roman"/>
                <w:color w:val="000000" w:themeColor="text1"/>
                <w:sz w:val="24"/>
                <w:szCs w:val="32"/>
                <w:lang w:val="en-US" w:eastAsia="zh-CN"/>
              </w:rPr>
              <w:t>6、环境防护距离</w:t>
            </w:r>
          </w:p>
          <w:p w14:paraId="3ED6907C">
            <w:pPr>
              <w:spacing w:line="360" w:lineRule="auto"/>
              <w:ind w:firstLine="480" w:firstLineChars="200"/>
              <w:rPr>
                <w:rFonts w:hint="default" w:ascii="Times New Roman" w:hAnsi="Times New Roman" w:eastAsia="宋体" w:cs="Times New Roman"/>
                <w:color w:val="000000" w:themeColor="text1"/>
                <w:sz w:val="24"/>
                <w:szCs w:val="32"/>
                <w:lang w:val="en-US" w:eastAsia="zh-CN"/>
              </w:rPr>
            </w:pPr>
            <w:r>
              <w:rPr>
                <w:rFonts w:hint="default" w:ascii="Times New Roman" w:hAnsi="Times New Roman" w:eastAsia="宋体" w:cs="Times New Roman"/>
                <w:color w:val="000000" w:themeColor="text1"/>
                <w:sz w:val="24"/>
                <w:szCs w:val="32"/>
                <w:lang w:val="en-US" w:eastAsia="zh-CN"/>
              </w:rPr>
              <w:t>根据《环境影响评价技术导则 大气环境》（HJ2.2-2018），大气环境防护距离是为了保护人群健康，减少正常排放条件下大气污染物对居住区的环境影响，在污染源与居住区之间设置的环境防护区域。在大气环境防护距离内不应有长期居住的人群。</w:t>
            </w:r>
          </w:p>
          <w:p w14:paraId="22D9212D">
            <w:pPr>
              <w:spacing w:line="360" w:lineRule="auto"/>
              <w:ind w:firstLine="480" w:firstLineChars="200"/>
              <w:rPr>
                <w:rFonts w:hint="default" w:ascii="Times New Roman" w:hAnsi="Times New Roman" w:eastAsia="宋体" w:cs="Times New Roman"/>
                <w:color w:val="000000" w:themeColor="text1"/>
                <w:sz w:val="24"/>
                <w:szCs w:val="32"/>
                <w:lang w:val="en-US" w:eastAsia="zh-CN"/>
              </w:rPr>
            </w:pPr>
            <w:r>
              <w:rPr>
                <w:rFonts w:hint="default" w:ascii="Times New Roman" w:hAnsi="Times New Roman" w:eastAsia="宋体" w:cs="Times New Roman"/>
                <w:color w:val="000000" w:themeColor="text1"/>
                <w:sz w:val="24"/>
                <w:szCs w:val="32"/>
                <w:lang w:val="en-US" w:eastAsia="zh-CN"/>
              </w:rPr>
              <w:t>环境防护距离取值方法为：以污染源中心为起点，达到环境质量标准的最小距离。并结合厂区平面布置图，确定控制距离范围，超出厂界以外的范围，即为项目大气环境防护区域。</w:t>
            </w:r>
          </w:p>
          <w:p w14:paraId="64708552">
            <w:pPr>
              <w:spacing w:line="360" w:lineRule="auto"/>
              <w:ind w:firstLine="480" w:firstLineChars="200"/>
              <w:rPr>
                <w:rFonts w:hint="default" w:ascii="Times New Roman" w:hAnsi="Times New Roman" w:eastAsia="宋体" w:cs="Times New Roman"/>
                <w:color w:val="000000" w:themeColor="text1"/>
                <w:sz w:val="24"/>
                <w:szCs w:val="32"/>
                <w:lang w:val="en-US" w:eastAsia="zh-CN"/>
              </w:rPr>
            </w:pPr>
            <w:r>
              <w:rPr>
                <w:rFonts w:hint="default" w:ascii="Times New Roman" w:hAnsi="Times New Roman" w:eastAsia="宋体" w:cs="Times New Roman"/>
                <w:color w:val="000000" w:themeColor="text1"/>
                <w:sz w:val="24"/>
                <w:szCs w:val="32"/>
                <w:lang w:val="en-US" w:eastAsia="zh-CN"/>
              </w:rPr>
              <w:t>经计算，本项目无超标点，不需要设置大气环境防护距离。</w:t>
            </w:r>
          </w:p>
          <w:p w14:paraId="0E15F1AA">
            <w:pPr>
              <w:pStyle w:val="4"/>
              <w:adjustRightInd w:val="0"/>
              <w:spacing w:before="120" w:beforeLines="50" w:after="120" w:afterLines="50" w:line="360" w:lineRule="auto"/>
              <w:textAlignment w:val="baseline"/>
              <w:rPr>
                <w:rFonts w:hint="default" w:ascii="Times New Roman" w:hAnsi="Times New Roman" w:cs="Times New Roman"/>
                <w:color w:val="000000" w:themeColor="text1"/>
                <w:sz w:val="24"/>
                <w:szCs w:val="24"/>
              </w:rPr>
            </w:pPr>
            <w:r>
              <w:rPr>
                <w:rFonts w:hint="eastAsia" w:cs="Times New Roman"/>
                <w:color w:val="000000" w:themeColor="text1"/>
                <w:sz w:val="24"/>
                <w:szCs w:val="24"/>
                <w:lang w:val="en-US" w:eastAsia="zh-CN"/>
              </w:rPr>
              <w:t>二、</w:t>
            </w:r>
            <w:r>
              <w:rPr>
                <w:rFonts w:hint="default" w:ascii="Times New Roman" w:hAnsi="Times New Roman" w:cs="Times New Roman"/>
                <w:color w:val="000000" w:themeColor="text1"/>
                <w:sz w:val="24"/>
                <w:szCs w:val="24"/>
              </w:rPr>
              <w:t>运营期废</w:t>
            </w:r>
            <w:r>
              <w:rPr>
                <w:rFonts w:hint="default" w:ascii="Times New Roman" w:hAnsi="Times New Roman" w:cs="Times New Roman"/>
                <w:color w:val="000000" w:themeColor="text1"/>
                <w:sz w:val="24"/>
                <w:szCs w:val="24"/>
                <w:lang w:val="en-US" w:eastAsia="zh-CN"/>
              </w:rPr>
              <w:t>水</w:t>
            </w:r>
            <w:r>
              <w:rPr>
                <w:rFonts w:hint="default" w:ascii="Times New Roman" w:hAnsi="Times New Roman" w:cs="Times New Roman"/>
                <w:color w:val="000000" w:themeColor="text1"/>
                <w:sz w:val="24"/>
                <w:szCs w:val="24"/>
              </w:rPr>
              <w:t>环境影响和保护措施</w:t>
            </w:r>
          </w:p>
          <w:p w14:paraId="285D7959">
            <w:pPr>
              <w:spacing w:line="360" w:lineRule="auto"/>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1</w:t>
            </w:r>
            <w:r>
              <w:rPr>
                <w:rFonts w:hint="eastAsia" w:ascii="Times New Roman" w:hAnsi="Times New Roman" w:cs="Times New Roman"/>
                <w:color w:val="000000" w:themeColor="text1"/>
                <w:sz w:val="24"/>
                <w:szCs w:val="24"/>
                <w:lang w:eastAsia="zh-CN"/>
              </w:rPr>
              <w:t>、</w:t>
            </w:r>
            <w:r>
              <w:rPr>
                <w:rFonts w:hint="default" w:ascii="Times New Roman" w:hAnsi="Times New Roman" w:cs="Times New Roman"/>
                <w:color w:val="000000" w:themeColor="text1"/>
                <w:sz w:val="24"/>
                <w:szCs w:val="24"/>
              </w:rPr>
              <w:t>废水污染源源强核算</w:t>
            </w:r>
          </w:p>
          <w:p w14:paraId="06F6D21B">
            <w:pPr>
              <w:adjustRightInd w:val="0"/>
              <w:snapToGrid w:val="0"/>
              <w:spacing w:line="360" w:lineRule="auto"/>
              <w:ind w:firstLine="480" w:firstLineChars="200"/>
              <w:rPr>
                <w:rFonts w:hint="default" w:ascii="Times New Roman" w:hAnsi="Times New Roman" w:eastAsia="宋体" w:cs="Times New Roman"/>
                <w:color w:val="000000" w:themeColor="text1"/>
                <w:kern w:val="0"/>
                <w:sz w:val="24"/>
                <w:szCs w:val="24"/>
                <w:lang w:val="en-US" w:eastAsia="zh-CN" w:bidi="ar"/>
              </w:rPr>
            </w:pPr>
            <w:r>
              <w:rPr>
                <w:rFonts w:hint="default" w:ascii="Times New Roman" w:hAnsi="Times New Roman" w:cs="Times New Roman"/>
                <w:color w:val="000000" w:themeColor="text1"/>
                <w:sz w:val="24"/>
                <w:szCs w:val="24"/>
              </w:rPr>
              <w:t>根据建设项目特点，本项目无生产废水排放，废水排放主要为员工生活污水。</w:t>
            </w:r>
            <w:r>
              <w:rPr>
                <w:rFonts w:hint="default" w:ascii="Times New Roman" w:hAnsi="Times New Roman" w:cs="Times New Roman"/>
                <w:color w:val="000000" w:themeColor="text1"/>
                <w:kern w:val="1"/>
                <w:sz w:val="24"/>
                <w:szCs w:val="24"/>
              </w:rPr>
              <w:t>项</w:t>
            </w:r>
            <w:r>
              <w:rPr>
                <w:rFonts w:hint="default" w:ascii="Times New Roman" w:hAnsi="Times New Roman" w:cs="Times New Roman"/>
                <w:color w:val="000000" w:themeColor="text1"/>
                <w:sz w:val="24"/>
                <w:szCs w:val="24"/>
              </w:rPr>
              <w:t>目劳动定员</w:t>
            </w:r>
            <w:r>
              <w:rPr>
                <w:rFonts w:hint="eastAsia" w:ascii="Times New Roman" w:hAnsi="Times New Roman" w:cs="Times New Roman"/>
                <w:color w:val="000000" w:themeColor="text1"/>
                <w:sz w:val="24"/>
                <w:szCs w:val="24"/>
                <w:lang w:val="en-US" w:eastAsia="zh-CN"/>
              </w:rPr>
              <w:t>2</w:t>
            </w:r>
            <w:r>
              <w:rPr>
                <w:rFonts w:hint="default" w:ascii="Times New Roman" w:hAnsi="Times New Roman" w:cs="Times New Roman"/>
                <w:color w:val="000000" w:themeColor="text1"/>
                <w:sz w:val="24"/>
                <w:szCs w:val="24"/>
                <w:lang w:val="en-US" w:eastAsia="zh-CN"/>
              </w:rPr>
              <w:t>0</w:t>
            </w:r>
            <w:r>
              <w:rPr>
                <w:rFonts w:hint="default" w:ascii="Times New Roman" w:hAnsi="Times New Roman" w:cs="Times New Roman"/>
                <w:color w:val="000000" w:themeColor="text1"/>
                <w:sz w:val="24"/>
                <w:szCs w:val="24"/>
              </w:rPr>
              <w:t>人，</w:t>
            </w:r>
            <w:r>
              <w:rPr>
                <w:rFonts w:hint="default" w:ascii="Times New Roman" w:hAnsi="Times New Roman" w:eastAsia="宋体" w:cs="Times New Roman"/>
                <w:color w:val="000000"/>
                <w:sz w:val="24"/>
                <w:szCs w:val="24"/>
                <w:highlight w:val="none"/>
              </w:rPr>
              <w:t>根据《淮北市行业用水定额》</w:t>
            </w:r>
            <w:r>
              <w:rPr>
                <w:rFonts w:hint="default" w:ascii="Times New Roman" w:hAnsi="Times New Roman" w:eastAsia="宋体" w:cs="Times New Roman"/>
                <w:color w:val="000000"/>
                <w:sz w:val="24"/>
                <w:szCs w:val="24"/>
                <w:highlight w:val="none"/>
                <w:lang w:eastAsia="zh-CN"/>
              </w:rPr>
              <w:t>（</w:t>
            </w:r>
            <w:r>
              <w:rPr>
                <w:rFonts w:hint="default" w:ascii="Times New Roman" w:hAnsi="Times New Roman" w:eastAsia="宋体" w:cs="Times New Roman"/>
                <w:color w:val="000000"/>
                <w:sz w:val="24"/>
                <w:szCs w:val="24"/>
                <w:highlight w:val="none"/>
              </w:rPr>
              <w:t>DB3406/T</w:t>
            </w:r>
            <w:r>
              <w:rPr>
                <w:rFonts w:hint="eastAsia" w:ascii="Times New Roman" w:hAnsi="Times New Roman" w:eastAsia="宋体" w:cs="Times New Roman"/>
                <w:color w:val="000000"/>
                <w:sz w:val="24"/>
                <w:szCs w:val="24"/>
                <w:highlight w:val="none"/>
                <w:lang w:val="en-US" w:eastAsia="zh-CN"/>
              </w:rPr>
              <w:t>0</w:t>
            </w:r>
            <w:r>
              <w:rPr>
                <w:rFonts w:hint="default" w:ascii="Times New Roman" w:hAnsi="Times New Roman" w:eastAsia="宋体" w:cs="Times New Roman"/>
                <w:color w:val="000000"/>
                <w:sz w:val="24"/>
                <w:szCs w:val="24"/>
                <w:highlight w:val="none"/>
              </w:rPr>
              <w:t>13</w:t>
            </w:r>
            <w:r>
              <w:rPr>
                <w:rFonts w:hint="eastAsia" w:ascii="Times New Roman" w:hAnsi="Times New Roman" w:eastAsia="宋体" w:cs="Times New Roman"/>
                <w:color w:val="000000"/>
                <w:sz w:val="24"/>
                <w:szCs w:val="24"/>
                <w:highlight w:val="none"/>
                <w:lang w:val="en-US" w:eastAsia="zh-CN"/>
              </w:rPr>
              <w:t>-2023）</w:t>
            </w:r>
            <w:r>
              <w:rPr>
                <w:rFonts w:hint="default" w:ascii="Times New Roman" w:hAnsi="Times New Roman" w:eastAsia="宋体" w:cs="Times New Roman"/>
                <w:color w:val="000000"/>
                <w:sz w:val="24"/>
                <w:szCs w:val="24"/>
                <w:highlight w:val="none"/>
                <w:lang w:eastAsia="zh-CN"/>
              </w:rPr>
              <w:t>，</w:t>
            </w:r>
            <w:r>
              <w:rPr>
                <w:rFonts w:hint="default" w:ascii="Times New Roman" w:hAnsi="Times New Roman" w:eastAsia="宋体" w:cs="Times New Roman"/>
                <w:color w:val="000000"/>
                <w:kern w:val="0"/>
                <w:sz w:val="24"/>
                <w:szCs w:val="24"/>
                <w:highlight w:val="none"/>
                <w:lang w:val="en-US" w:eastAsia="zh-CN" w:bidi="ar"/>
              </w:rPr>
              <w:t>职工</w:t>
            </w:r>
            <w:r>
              <w:rPr>
                <w:rFonts w:hint="default" w:ascii="Times New Roman" w:hAnsi="Times New Roman" w:cs="Times New Roman"/>
                <w:color w:val="000000"/>
                <w:sz w:val="24"/>
                <w:szCs w:val="24"/>
                <w:highlight w:val="none"/>
              </w:rPr>
              <w:t>生活用水</w:t>
            </w:r>
            <w:r>
              <w:rPr>
                <w:rFonts w:hint="default" w:ascii="Times New Roman" w:hAnsi="Times New Roman" w:cs="Times New Roman"/>
                <w:color w:val="000000"/>
                <w:sz w:val="24"/>
                <w:szCs w:val="24"/>
                <w:highlight w:val="none"/>
                <w:lang w:val="en-US" w:eastAsia="zh-CN"/>
              </w:rPr>
              <w:t>参照</w:t>
            </w:r>
            <w:r>
              <w:rPr>
                <w:rFonts w:hint="eastAsia" w:ascii="Times New Roman" w:hAnsi="Times New Roman" w:cs="Times New Roman"/>
                <w:color w:val="000000"/>
                <w:sz w:val="24"/>
                <w:szCs w:val="24"/>
                <w:highlight w:val="none"/>
                <w:lang w:val="en-US" w:eastAsia="zh-CN"/>
              </w:rPr>
              <w:t>办公楼</w:t>
            </w:r>
            <w:r>
              <w:rPr>
                <w:rFonts w:hint="default" w:ascii="Times New Roman" w:hAnsi="Times New Roman" w:cs="Times New Roman"/>
                <w:color w:val="000000"/>
                <w:sz w:val="24"/>
                <w:szCs w:val="24"/>
                <w:highlight w:val="none"/>
                <w:lang w:val="en-US" w:eastAsia="zh-CN"/>
              </w:rPr>
              <w:t>用水定额</w:t>
            </w:r>
            <w:r>
              <w:rPr>
                <w:rFonts w:hint="eastAsia" w:ascii="Times New Roman" w:hAnsi="Times New Roman" w:cs="Times New Roman"/>
                <w:color w:val="000000"/>
                <w:sz w:val="24"/>
                <w:szCs w:val="24"/>
                <w:highlight w:val="none"/>
                <w:lang w:val="en-US" w:eastAsia="zh-CN"/>
              </w:rPr>
              <w:t>22</w:t>
            </w:r>
            <w:r>
              <w:rPr>
                <w:rFonts w:hint="default" w:ascii="Times New Roman" w:hAnsi="Times New Roman" w:cs="Times New Roman"/>
                <w:color w:val="000000"/>
                <w:sz w:val="24"/>
                <w:szCs w:val="24"/>
                <w:highlight w:val="none"/>
                <w:lang w:val="en-US" w:eastAsia="zh-CN"/>
              </w:rPr>
              <w:t>m</w:t>
            </w:r>
            <w:r>
              <w:rPr>
                <w:rFonts w:hint="default" w:ascii="Times New Roman" w:hAnsi="Times New Roman" w:cs="Times New Roman"/>
                <w:color w:val="000000"/>
                <w:sz w:val="24"/>
                <w:szCs w:val="24"/>
                <w:highlight w:val="none"/>
                <w:vertAlign w:val="superscript"/>
                <w:lang w:val="en-US" w:eastAsia="zh-CN"/>
              </w:rPr>
              <w:t>3</w:t>
            </w:r>
            <w:r>
              <w:rPr>
                <w:rFonts w:hint="default" w:ascii="Times New Roman" w:hAnsi="Times New Roman" w:cs="Times New Roman"/>
                <w:color w:val="000000"/>
                <w:sz w:val="24"/>
                <w:szCs w:val="24"/>
                <w:highlight w:val="none"/>
                <w:lang w:val="en-US" w:eastAsia="zh-CN"/>
              </w:rPr>
              <w:t>/人</w:t>
            </w:r>
            <w:r>
              <w:rPr>
                <w:rFonts w:hint="default" w:ascii="Times New Roman" w:hAnsi="Times New Roman" w:cs="Times New Roman"/>
                <w:color w:val="000000"/>
                <w:sz w:val="24"/>
                <w:szCs w:val="24"/>
                <w:highlight w:val="none"/>
              </w:rPr>
              <w:t>•</w:t>
            </w:r>
            <w:r>
              <w:rPr>
                <w:rFonts w:hint="default" w:ascii="Times New Roman" w:hAnsi="Times New Roman" w:cs="Times New Roman"/>
                <w:color w:val="000000"/>
                <w:sz w:val="24"/>
                <w:szCs w:val="24"/>
                <w:highlight w:val="none"/>
                <w:lang w:val="en-US" w:eastAsia="zh-CN"/>
              </w:rPr>
              <w:t>a计</w:t>
            </w:r>
            <w:r>
              <w:rPr>
                <w:rFonts w:hint="eastAsia" w:ascii="Times New Roman" w:hAnsi="Times New Roman" w:cs="Times New Roman"/>
                <w:color w:val="000000"/>
                <w:sz w:val="24"/>
                <w:szCs w:val="24"/>
                <w:highlight w:val="none"/>
                <w:lang w:val="en-US" w:eastAsia="zh-CN"/>
              </w:rPr>
              <w:t>（无食堂）</w:t>
            </w:r>
            <w:r>
              <w:rPr>
                <w:rFonts w:hint="default" w:ascii="Times New Roman" w:hAnsi="Times New Roman" w:cs="Times New Roman"/>
                <w:color w:val="000000"/>
                <w:sz w:val="24"/>
                <w:szCs w:val="24"/>
                <w:highlight w:val="none"/>
                <w:lang w:val="en-US" w:eastAsia="zh-CN"/>
              </w:rPr>
              <w:t>，则用水量为</w:t>
            </w:r>
            <w:r>
              <w:rPr>
                <w:rFonts w:hint="eastAsia" w:ascii="Times New Roman" w:hAnsi="Times New Roman" w:cs="Times New Roman"/>
                <w:color w:val="000000"/>
                <w:sz w:val="24"/>
                <w:szCs w:val="24"/>
                <w:highlight w:val="none"/>
                <w:lang w:val="en-US" w:eastAsia="zh-CN"/>
              </w:rPr>
              <w:t>44</w:t>
            </w:r>
            <w:r>
              <w:rPr>
                <w:rFonts w:hint="default" w:ascii="Times New Roman" w:hAnsi="Times New Roman" w:cs="Times New Roman"/>
                <w:color w:val="000000"/>
                <w:sz w:val="24"/>
                <w:szCs w:val="24"/>
                <w:highlight w:val="none"/>
                <w:lang w:val="en-US" w:eastAsia="zh-CN"/>
              </w:rPr>
              <w:t>0</w:t>
            </w:r>
            <w:r>
              <w:rPr>
                <w:rFonts w:hint="default" w:ascii="Times New Roman" w:hAnsi="Times New Roman" w:cs="Times New Roman"/>
                <w:color w:val="000000"/>
                <w:sz w:val="24"/>
                <w:szCs w:val="24"/>
                <w:highlight w:val="none"/>
                <w:lang w:bidi="ar"/>
              </w:rPr>
              <w:t>m</w:t>
            </w:r>
            <w:r>
              <w:rPr>
                <w:rFonts w:hint="default" w:ascii="Times New Roman" w:hAnsi="Times New Roman" w:cs="Times New Roman"/>
                <w:color w:val="000000"/>
                <w:sz w:val="24"/>
                <w:szCs w:val="24"/>
                <w:highlight w:val="none"/>
                <w:vertAlign w:val="superscript"/>
                <w:lang w:bidi="ar"/>
              </w:rPr>
              <w:t>3</w:t>
            </w:r>
            <w:r>
              <w:rPr>
                <w:rFonts w:hint="default" w:ascii="Times New Roman" w:hAnsi="Times New Roman" w:cs="Times New Roman"/>
                <w:color w:val="000000"/>
                <w:sz w:val="24"/>
                <w:szCs w:val="24"/>
                <w:highlight w:val="none"/>
                <w:lang w:bidi="ar"/>
              </w:rPr>
              <w:t>/a</w:t>
            </w:r>
            <w:r>
              <w:rPr>
                <w:rFonts w:hint="eastAsia" w:ascii="Times New Roman" w:hAnsi="Times New Roman" w:cs="Times New Roman"/>
                <w:color w:val="000000"/>
                <w:sz w:val="24"/>
                <w:szCs w:val="24"/>
                <w:highlight w:val="none"/>
                <w:lang w:eastAsia="zh-CN" w:bidi="ar"/>
              </w:rPr>
              <w:t>（</w:t>
            </w:r>
            <w:r>
              <w:rPr>
                <w:rFonts w:hint="eastAsia" w:cs="Times New Roman"/>
                <w:bCs/>
                <w:color w:val="000000" w:themeColor="text1"/>
                <w:sz w:val="24"/>
                <w:lang w:val="en-US" w:eastAsia="zh-CN"/>
              </w:rPr>
              <w:t>1.47</w:t>
            </w:r>
            <w:r>
              <w:rPr>
                <w:rFonts w:hint="default" w:ascii="Times New Roman" w:hAnsi="Times New Roman" w:eastAsia="宋体" w:cs="Times New Roman"/>
                <w:color w:val="000000" w:themeColor="text1"/>
                <w:kern w:val="0"/>
                <w:sz w:val="24"/>
                <w:szCs w:val="24"/>
                <w:lang w:val="en-US" w:eastAsia="zh-CN" w:bidi="ar"/>
              </w:rPr>
              <w:t>m</w:t>
            </w:r>
            <w:r>
              <w:rPr>
                <w:rFonts w:hint="default" w:ascii="Times New Roman" w:hAnsi="Times New Roman" w:eastAsia="宋体" w:cs="Times New Roman"/>
                <w:color w:val="000000" w:themeColor="text1"/>
                <w:kern w:val="0"/>
                <w:sz w:val="24"/>
                <w:szCs w:val="24"/>
                <w:vertAlign w:val="superscript"/>
                <w:lang w:val="en-US" w:eastAsia="zh-CN" w:bidi="ar"/>
              </w:rPr>
              <w:t>3</w:t>
            </w:r>
            <w:r>
              <w:rPr>
                <w:rFonts w:hint="default" w:ascii="Times New Roman" w:hAnsi="Times New Roman" w:eastAsia="宋体" w:cs="Times New Roman"/>
                <w:bCs/>
                <w:color w:val="000000" w:themeColor="text1"/>
                <w:sz w:val="24"/>
                <w:lang w:val="en-US" w:eastAsia="zh-CN"/>
              </w:rPr>
              <w:t>/d</w:t>
            </w:r>
            <w:r>
              <w:rPr>
                <w:rFonts w:hint="eastAsia" w:ascii="Times New Roman" w:hAnsi="Times New Roman" w:cs="Times New Roman"/>
                <w:color w:val="000000"/>
                <w:sz w:val="24"/>
                <w:szCs w:val="24"/>
                <w:highlight w:val="none"/>
                <w:lang w:eastAsia="zh-CN" w:bidi="ar"/>
              </w:rPr>
              <w:t>）</w:t>
            </w:r>
            <w:r>
              <w:rPr>
                <w:rFonts w:hint="default" w:ascii="Times New Roman" w:hAnsi="Times New Roman" w:cs="Times New Roman"/>
                <w:color w:val="000000" w:themeColor="text1"/>
                <w:sz w:val="24"/>
                <w:szCs w:val="24"/>
              </w:rPr>
              <w:t>，折污系数取0.8，则生活污水的产</w:t>
            </w:r>
            <w:r>
              <w:rPr>
                <w:rFonts w:hint="default" w:ascii="Times New Roman" w:hAnsi="Times New Roman" w:eastAsia="宋体" w:cs="Times New Roman"/>
                <w:bCs/>
                <w:color w:val="000000" w:themeColor="text1"/>
                <w:sz w:val="24"/>
                <w:lang w:val="en-US" w:eastAsia="zh-CN"/>
              </w:rPr>
              <w:t>生量为</w:t>
            </w:r>
            <w:r>
              <w:rPr>
                <w:rFonts w:hint="eastAsia" w:cs="Times New Roman"/>
                <w:bCs/>
                <w:color w:val="000000" w:themeColor="text1"/>
                <w:sz w:val="24"/>
                <w:lang w:val="en-US" w:eastAsia="zh-CN"/>
              </w:rPr>
              <w:t>1.17</w:t>
            </w:r>
            <w:r>
              <w:rPr>
                <w:rFonts w:hint="default" w:ascii="Times New Roman" w:hAnsi="Times New Roman" w:eastAsia="宋体" w:cs="Times New Roman"/>
                <w:color w:val="000000" w:themeColor="text1"/>
                <w:kern w:val="0"/>
                <w:sz w:val="24"/>
                <w:szCs w:val="24"/>
                <w:lang w:val="en-US" w:eastAsia="zh-CN" w:bidi="ar"/>
              </w:rPr>
              <w:t>m</w:t>
            </w:r>
            <w:r>
              <w:rPr>
                <w:rFonts w:hint="default" w:ascii="Times New Roman" w:hAnsi="Times New Roman" w:eastAsia="宋体" w:cs="Times New Roman"/>
                <w:color w:val="000000" w:themeColor="text1"/>
                <w:kern w:val="0"/>
                <w:sz w:val="24"/>
                <w:szCs w:val="24"/>
                <w:vertAlign w:val="superscript"/>
                <w:lang w:val="en-US" w:eastAsia="zh-CN" w:bidi="ar"/>
              </w:rPr>
              <w:t>3</w:t>
            </w:r>
            <w:r>
              <w:rPr>
                <w:rFonts w:hint="default" w:ascii="Times New Roman" w:hAnsi="Times New Roman" w:eastAsia="宋体" w:cs="Times New Roman"/>
                <w:bCs/>
                <w:color w:val="000000" w:themeColor="text1"/>
                <w:sz w:val="24"/>
                <w:lang w:val="en-US" w:eastAsia="zh-CN"/>
              </w:rPr>
              <w:t>/d（</w:t>
            </w:r>
            <w:r>
              <w:rPr>
                <w:rFonts w:hint="eastAsia" w:cs="Times New Roman"/>
                <w:bCs/>
                <w:color w:val="000000" w:themeColor="text1"/>
                <w:sz w:val="24"/>
                <w:lang w:val="en-US" w:eastAsia="zh-CN"/>
              </w:rPr>
              <w:t>352</w:t>
            </w:r>
            <w:r>
              <w:rPr>
                <w:rFonts w:hint="default" w:ascii="Times New Roman" w:hAnsi="Times New Roman" w:eastAsia="宋体" w:cs="Times New Roman"/>
                <w:color w:val="000000" w:themeColor="text1"/>
                <w:kern w:val="0"/>
                <w:sz w:val="24"/>
                <w:szCs w:val="24"/>
                <w:lang w:val="en-US" w:eastAsia="zh-CN" w:bidi="ar"/>
              </w:rPr>
              <w:t>m</w:t>
            </w:r>
            <w:r>
              <w:rPr>
                <w:rFonts w:hint="default" w:ascii="Times New Roman" w:hAnsi="Times New Roman" w:eastAsia="宋体" w:cs="Times New Roman"/>
                <w:color w:val="000000" w:themeColor="text1"/>
                <w:kern w:val="0"/>
                <w:sz w:val="24"/>
                <w:szCs w:val="24"/>
                <w:vertAlign w:val="superscript"/>
                <w:lang w:val="en-US" w:eastAsia="zh-CN" w:bidi="ar"/>
              </w:rPr>
              <w:t>3</w:t>
            </w:r>
            <w:r>
              <w:rPr>
                <w:rFonts w:hint="default" w:ascii="Times New Roman" w:hAnsi="Times New Roman" w:eastAsia="宋体" w:cs="Times New Roman"/>
                <w:bCs/>
                <w:color w:val="000000" w:themeColor="text1"/>
                <w:sz w:val="24"/>
                <w:lang w:val="en-US" w:eastAsia="zh-CN"/>
              </w:rPr>
              <w:t>/a），生活污水水质较简单，主要为COD和NH</w:t>
            </w:r>
            <w:r>
              <w:rPr>
                <w:rFonts w:hint="default" w:ascii="Times New Roman" w:hAnsi="Times New Roman" w:eastAsia="宋体" w:cs="Times New Roman"/>
                <w:bCs/>
                <w:color w:val="000000" w:themeColor="text1"/>
                <w:sz w:val="24"/>
                <w:vertAlign w:val="subscript"/>
                <w:lang w:val="en-US" w:eastAsia="zh-CN"/>
              </w:rPr>
              <w:t>3</w:t>
            </w:r>
            <w:r>
              <w:rPr>
                <w:rFonts w:hint="default" w:ascii="Times New Roman" w:hAnsi="Times New Roman" w:eastAsia="宋体" w:cs="Times New Roman"/>
                <w:bCs/>
                <w:color w:val="000000" w:themeColor="text1"/>
                <w:sz w:val="24"/>
                <w:lang w:val="en-US" w:eastAsia="zh-CN"/>
              </w:rPr>
              <w:t>-N</w:t>
            </w:r>
            <w:r>
              <w:rPr>
                <w:rFonts w:hint="default" w:ascii="Times New Roman" w:hAnsi="Times New Roman" w:eastAsia="宋体" w:cs="Times New Roman"/>
                <w:color w:val="000000" w:themeColor="text1"/>
                <w:kern w:val="0"/>
                <w:sz w:val="24"/>
                <w:szCs w:val="24"/>
                <w:lang w:val="en-US" w:eastAsia="zh-CN" w:bidi="ar"/>
              </w:rPr>
              <w:t>等，排入</w:t>
            </w:r>
            <w:r>
              <w:rPr>
                <w:rFonts w:hint="eastAsia" w:ascii="Times New Roman" w:hAnsi="Times New Roman" w:eastAsia="宋体" w:cs="Times New Roman"/>
                <w:color w:val="000000" w:themeColor="text1"/>
                <w:kern w:val="0"/>
                <w:sz w:val="24"/>
                <w:szCs w:val="24"/>
                <w:lang w:val="en-US" w:eastAsia="zh-CN" w:bidi="ar"/>
              </w:rPr>
              <w:t>租赁厂区的</w:t>
            </w:r>
            <w:r>
              <w:rPr>
                <w:rFonts w:hint="default" w:ascii="Times New Roman" w:hAnsi="Times New Roman" w:eastAsia="宋体" w:cs="Times New Roman"/>
                <w:color w:val="000000" w:themeColor="text1"/>
                <w:kern w:val="0"/>
                <w:sz w:val="24"/>
                <w:szCs w:val="24"/>
                <w:lang w:val="en-US" w:eastAsia="zh-CN" w:bidi="ar"/>
              </w:rPr>
              <w:t>化粪池，经化粪池预处理后通过市政污水管网排入龙湖污水处理厂，处理达标后的尾水排入龙河。</w:t>
            </w:r>
          </w:p>
          <w:p w14:paraId="7EAC825D">
            <w:pPr>
              <w:spacing w:line="360" w:lineRule="auto"/>
              <w:ind w:firstLine="480" w:firstLineChars="20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经类比同类项目生活污水水质，生活污水COD产生浓度取320mg/L，BOD</w:t>
            </w:r>
            <w:r>
              <w:rPr>
                <w:rFonts w:hint="default" w:ascii="Times New Roman" w:hAnsi="Times New Roman" w:cs="Times New Roman"/>
                <w:color w:val="000000" w:themeColor="text1"/>
                <w:sz w:val="24"/>
                <w:szCs w:val="24"/>
                <w:vertAlign w:val="subscript"/>
              </w:rPr>
              <w:t>5</w:t>
            </w:r>
            <w:r>
              <w:rPr>
                <w:rFonts w:hint="default" w:ascii="Times New Roman" w:hAnsi="Times New Roman" w:cs="Times New Roman"/>
                <w:color w:val="000000" w:themeColor="text1"/>
                <w:sz w:val="24"/>
                <w:szCs w:val="24"/>
              </w:rPr>
              <w:t>产生浓度取180mg/L、SS产生浓度取200mg/L、NH</w:t>
            </w:r>
            <w:r>
              <w:rPr>
                <w:rFonts w:hint="default" w:ascii="Times New Roman" w:hAnsi="Times New Roman" w:cs="Times New Roman"/>
                <w:color w:val="000000" w:themeColor="text1"/>
                <w:sz w:val="24"/>
                <w:szCs w:val="24"/>
                <w:vertAlign w:val="subscript"/>
              </w:rPr>
              <w:t>3</w:t>
            </w:r>
            <w:r>
              <w:rPr>
                <w:rFonts w:hint="default" w:ascii="Times New Roman" w:hAnsi="Times New Roman" w:cs="Times New Roman"/>
                <w:color w:val="000000" w:themeColor="text1"/>
                <w:sz w:val="24"/>
                <w:szCs w:val="24"/>
              </w:rPr>
              <w:t>-N产生浓度取3</w:t>
            </w:r>
            <w:r>
              <w:rPr>
                <w:rFonts w:hint="eastAsia" w:ascii="Times New Roman" w:hAnsi="Times New Roman" w:cs="Times New Roman"/>
                <w:color w:val="000000" w:themeColor="text1"/>
                <w:sz w:val="24"/>
                <w:szCs w:val="24"/>
                <w:lang w:val="en-US" w:eastAsia="zh-CN"/>
              </w:rPr>
              <w:t>0</w:t>
            </w:r>
            <w:r>
              <w:rPr>
                <w:rFonts w:hint="default" w:ascii="Times New Roman" w:hAnsi="Times New Roman" w:cs="Times New Roman"/>
                <w:color w:val="000000" w:themeColor="text1"/>
                <w:sz w:val="24"/>
                <w:szCs w:val="24"/>
              </w:rPr>
              <w:t>mgL，则本项目生活污水中污染物产生量分别为COD 0.</w:t>
            </w:r>
            <w:r>
              <w:rPr>
                <w:rFonts w:hint="eastAsia" w:cs="Times New Roman"/>
                <w:color w:val="000000" w:themeColor="text1"/>
                <w:sz w:val="24"/>
                <w:szCs w:val="24"/>
                <w:lang w:val="en-US" w:eastAsia="zh-CN"/>
              </w:rPr>
              <w:t>113</w:t>
            </w:r>
            <w:r>
              <w:rPr>
                <w:rFonts w:hint="default" w:ascii="Times New Roman" w:hAnsi="Times New Roman" w:cs="Times New Roman"/>
                <w:color w:val="000000" w:themeColor="text1"/>
                <w:sz w:val="24"/>
                <w:szCs w:val="24"/>
              </w:rPr>
              <w:t>t/a、BOD</w:t>
            </w:r>
            <w:r>
              <w:rPr>
                <w:rFonts w:hint="default" w:ascii="Times New Roman" w:hAnsi="Times New Roman" w:cs="Times New Roman"/>
                <w:color w:val="000000" w:themeColor="text1"/>
                <w:sz w:val="24"/>
                <w:szCs w:val="24"/>
                <w:vertAlign w:val="subscript"/>
              </w:rPr>
              <w:t>5</w:t>
            </w:r>
            <w:r>
              <w:rPr>
                <w:rFonts w:hint="default" w:ascii="Times New Roman" w:hAnsi="Times New Roman" w:cs="Times New Roman"/>
                <w:color w:val="000000" w:themeColor="text1"/>
                <w:sz w:val="24"/>
                <w:szCs w:val="24"/>
              </w:rPr>
              <w:t xml:space="preserve"> 0.</w:t>
            </w:r>
            <w:r>
              <w:rPr>
                <w:rFonts w:hint="eastAsia" w:cs="Times New Roman"/>
                <w:color w:val="000000" w:themeColor="text1"/>
                <w:sz w:val="24"/>
                <w:szCs w:val="24"/>
                <w:lang w:val="en-US" w:eastAsia="zh-CN"/>
              </w:rPr>
              <w:t>063</w:t>
            </w:r>
            <w:r>
              <w:rPr>
                <w:rFonts w:hint="default" w:ascii="Times New Roman" w:hAnsi="Times New Roman" w:cs="Times New Roman"/>
                <w:color w:val="000000" w:themeColor="text1"/>
                <w:sz w:val="24"/>
                <w:szCs w:val="24"/>
              </w:rPr>
              <w:t>t/a、SS 0.</w:t>
            </w:r>
            <w:r>
              <w:rPr>
                <w:rFonts w:hint="eastAsia" w:cs="Times New Roman"/>
                <w:color w:val="000000" w:themeColor="text1"/>
                <w:sz w:val="24"/>
                <w:szCs w:val="24"/>
                <w:lang w:val="en-US" w:eastAsia="zh-CN"/>
              </w:rPr>
              <w:t>07</w:t>
            </w:r>
            <w:r>
              <w:rPr>
                <w:rFonts w:hint="default" w:ascii="Times New Roman" w:hAnsi="Times New Roman" w:cs="Times New Roman"/>
                <w:color w:val="000000" w:themeColor="text1"/>
                <w:sz w:val="24"/>
                <w:szCs w:val="24"/>
              </w:rPr>
              <w:t>t/a、NH</w:t>
            </w:r>
            <w:r>
              <w:rPr>
                <w:rFonts w:hint="default" w:ascii="Times New Roman" w:hAnsi="Times New Roman" w:cs="Times New Roman"/>
                <w:color w:val="000000" w:themeColor="text1"/>
                <w:sz w:val="24"/>
                <w:szCs w:val="24"/>
                <w:vertAlign w:val="subscript"/>
              </w:rPr>
              <w:t>3</w:t>
            </w:r>
            <w:r>
              <w:rPr>
                <w:rFonts w:hint="default" w:ascii="Times New Roman" w:hAnsi="Times New Roman" w:cs="Times New Roman"/>
                <w:color w:val="000000" w:themeColor="text1"/>
                <w:sz w:val="24"/>
                <w:szCs w:val="24"/>
              </w:rPr>
              <w:t>-N 0.0</w:t>
            </w:r>
            <w:r>
              <w:rPr>
                <w:rFonts w:hint="eastAsia" w:cs="Times New Roman"/>
                <w:color w:val="000000" w:themeColor="text1"/>
                <w:sz w:val="24"/>
                <w:szCs w:val="24"/>
                <w:lang w:val="en-US" w:eastAsia="zh-CN"/>
              </w:rPr>
              <w:t>1</w:t>
            </w:r>
            <w:r>
              <w:rPr>
                <w:rFonts w:hint="default" w:ascii="Times New Roman" w:hAnsi="Times New Roman" w:cs="Times New Roman"/>
                <w:color w:val="000000" w:themeColor="text1"/>
                <w:sz w:val="24"/>
                <w:szCs w:val="24"/>
              </w:rPr>
              <w:t>t/a。</w:t>
            </w:r>
          </w:p>
          <w:p w14:paraId="1CFC8B8C">
            <w:pPr>
              <w:spacing w:line="360" w:lineRule="auto"/>
              <w:ind w:firstLine="480" w:firstLineChars="20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本项目污染物产生及排放情况见下表所示。</w:t>
            </w:r>
          </w:p>
          <w:p w14:paraId="00AF5BBE">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textAlignment w:val="auto"/>
              <w:rPr>
                <w:rFonts w:hint="default" w:ascii="Times New Roman" w:hAnsi="Times New Roman" w:eastAsia="宋体" w:cs="Times New Roman"/>
                <w:b/>
                <w:bCs/>
                <w:color w:val="000000" w:themeColor="text1"/>
                <w:sz w:val="24"/>
                <w:szCs w:val="24"/>
              </w:rPr>
            </w:pPr>
            <w:r>
              <w:rPr>
                <w:rFonts w:hint="default" w:ascii="Times New Roman" w:hAnsi="Times New Roman" w:eastAsia="宋体" w:cs="Times New Roman"/>
                <w:b/>
                <w:bCs/>
                <w:color w:val="000000" w:themeColor="text1"/>
                <w:sz w:val="24"/>
                <w:szCs w:val="24"/>
              </w:rPr>
              <w:t>表4</w:t>
            </w:r>
            <w:r>
              <w:rPr>
                <w:rFonts w:hint="eastAsia" w:ascii="Times New Roman" w:hAnsi="Times New Roman" w:eastAsia="宋体" w:cs="Times New Roman"/>
                <w:b/>
                <w:bCs/>
                <w:color w:val="000000" w:themeColor="text1"/>
                <w:sz w:val="24"/>
                <w:szCs w:val="24"/>
                <w:lang w:val="en-US" w:eastAsia="zh-CN"/>
              </w:rPr>
              <w:t>-8</w:t>
            </w:r>
            <w:r>
              <w:rPr>
                <w:rFonts w:hint="default" w:ascii="Times New Roman" w:hAnsi="Times New Roman" w:eastAsia="宋体" w:cs="Times New Roman"/>
                <w:b/>
                <w:bCs/>
                <w:color w:val="000000" w:themeColor="text1"/>
                <w:sz w:val="24"/>
                <w:szCs w:val="24"/>
              </w:rPr>
              <w:t xml:space="preserve">  本项目废水污染物产生及排放情况一览表</w:t>
            </w:r>
          </w:p>
          <w:tbl>
            <w:tblPr>
              <w:tblStyle w:val="34"/>
              <w:tblW w:w="8513" w:type="dxa"/>
              <w:jc w:val="center"/>
              <w:tblLayout w:type="autofit"/>
              <w:tblCellMar>
                <w:top w:w="0" w:type="dxa"/>
                <w:left w:w="108" w:type="dxa"/>
                <w:bottom w:w="0" w:type="dxa"/>
                <w:right w:w="108" w:type="dxa"/>
              </w:tblCellMar>
            </w:tblPr>
            <w:tblGrid>
              <w:gridCol w:w="2550"/>
              <w:gridCol w:w="1106"/>
              <w:gridCol w:w="1252"/>
              <w:gridCol w:w="1162"/>
              <w:gridCol w:w="1129"/>
              <w:gridCol w:w="1314"/>
            </w:tblGrid>
            <w:tr w14:paraId="4BC0B7F7">
              <w:tblPrEx>
                <w:tblCellMar>
                  <w:top w:w="0" w:type="dxa"/>
                  <w:left w:w="108" w:type="dxa"/>
                  <w:bottom w:w="0" w:type="dxa"/>
                  <w:right w:w="108" w:type="dxa"/>
                </w:tblCellMar>
              </w:tblPrEx>
              <w:trPr>
                <w:trHeight w:val="360" w:hRule="atLeast"/>
                <w:jc w:val="center"/>
              </w:trPr>
              <w:tc>
                <w:tcPr>
                  <w:tcW w:w="2550" w:type="dxa"/>
                  <w:vMerge w:val="restart"/>
                  <w:tcBorders>
                    <w:top w:val="single" w:color="000000" w:sz="4" w:space="0"/>
                    <w:left w:val="single" w:color="000000" w:sz="4" w:space="0"/>
                    <w:right w:val="single" w:color="000000" w:sz="4" w:space="0"/>
                  </w:tcBorders>
                  <w:noWrap w:val="0"/>
                  <w:vAlign w:val="center"/>
                </w:tcPr>
                <w:p w14:paraId="4DF70C7C">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废水种类</w:t>
                  </w:r>
                </w:p>
              </w:tc>
              <w:tc>
                <w:tcPr>
                  <w:tcW w:w="1106" w:type="dxa"/>
                  <w:vMerge w:val="restart"/>
                  <w:tcBorders>
                    <w:top w:val="single" w:color="000000" w:sz="4" w:space="0"/>
                    <w:left w:val="nil"/>
                    <w:right w:val="single" w:color="auto" w:sz="4" w:space="0"/>
                  </w:tcBorders>
                  <w:noWrap w:val="0"/>
                  <w:vAlign w:val="center"/>
                </w:tcPr>
                <w:p w14:paraId="14DB6139">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废水量</w:t>
                  </w:r>
                </w:p>
                <w:p w14:paraId="4FEA43D3">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（t/a）</w:t>
                  </w:r>
                </w:p>
              </w:tc>
              <w:tc>
                <w:tcPr>
                  <w:tcW w:w="4857" w:type="dxa"/>
                  <w:gridSpan w:val="4"/>
                  <w:tcBorders>
                    <w:top w:val="single" w:color="000000" w:sz="4" w:space="0"/>
                    <w:left w:val="single" w:color="auto" w:sz="4" w:space="0"/>
                    <w:bottom w:val="single" w:color="auto" w:sz="4" w:space="0"/>
                    <w:right w:val="single" w:color="auto" w:sz="4" w:space="0"/>
                  </w:tcBorders>
                  <w:noWrap w:val="0"/>
                  <w:vAlign w:val="center"/>
                </w:tcPr>
                <w:p w14:paraId="168C2F52">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污染物浓度（mg/L）</w:t>
                  </w:r>
                </w:p>
              </w:tc>
            </w:tr>
            <w:tr w14:paraId="522C6847">
              <w:tblPrEx>
                <w:tblCellMar>
                  <w:top w:w="0" w:type="dxa"/>
                  <w:left w:w="108" w:type="dxa"/>
                  <w:bottom w:w="0" w:type="dxa"/>
                  <w:right w:w="108" w:type="dxa"/>
                </w:tblCellMar>
              </w:tblPrEx>
              <w:trPr>
                <w:trHeight w:val="360" w:hRule="atLeast"/>
                <w:jc w:val="center"/>
              </w:trPr>
              <w:tc>
                <w:tcPr>
                  <w:tcW w:w="2550" w:type="dxa"/>
                  <w:vMerge w:val="continue"/>
                  <w:tcBorders>
                    <w:left w:val="single" w:color="000000" w:sz="4" w:space="0"/>
                    <w:bottom w:val="single" w:color="000000" w:sz="4" w:space="0"/>
                    <w:right w:val="single" w:color="000000" w:sz="4" w:space="0"/>
                  </w:tcBorders>
                  <w:noWrap w:val="0"/>
                  <w:vAlign w:val="center"/>
                </w:tcPr>
                <w:p w14:paraId="01BA134E">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1106" w:type="dxa"/>
                  <w:vMerge w:val="continue"/>
                  <w:tcBorders>
                    <w:left w:val="nil"/>
                    <w:bottom w:val="single" w:color="000000" w:sz="4" w:space="0"/>
                    <w:right w:val="single" w:color="auto" w:sz="4" w:space="0"/>
                  </w:tcBorders>
                  <w:noWrap w:val="0"/>
                  <w:vAlign w:val="center"/>
                </w:tcPr>
                <w:p w14:paraId="7216702A">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1252" w:type="dxa"/>
                  <w:tcBorders>
                    <w:top w:val="single" w:color="auto" w:sz="4" w:space="0"/>
                    <w:left w:val="single" w:color="auto" w:sz="4" w:space="0"/>
                    <w:bottom w:val="single" w:color="000000" w:sz="4" w:space="0"/>
                    <w:right w:val="single" w:color="000000" w:sz="4" w:space="0"/>
                  </w:tcBorders>
                  <w:noWrap w:val="0"/>
                  <w:vAlign w:val="center"/>
                </w:tcPr>
                <w:p w14:paraId="2F249917">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COD</w:t>
                  </w:r>
                </w:p>
              </w:tc>
              <w:tc>
                <w:tcPr>
                  <w:tcW w:w="1162" w:type="dxa"/>
                  <w:tcBorders>
                    <w:top w:val="single" w:color="auto" w:sz="4" w:space="0"/>
                    <w:left w:val="nil"/>
                    <w:bottom w:val="single" w:color="000000" w:sz="4" w:space="0"/>
                    <w:right w:val="single" w:color="000000" w:sz="4" w:space="0"/>
                  </w:tcBorders>
                  <w:noWrap w:val="0"/>
                  <w:vAlign w:val="center"/>
                </w:tcPr>
                <w:p w14:paraId="643786BD">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BOD</w:t>
                  </w:r>
                  <w:r>
                    <w:rPr>
                      <w:rFonts w:hint="default" w:ascii="Times New Roman" w:hAnsi="Times New Roman" w:eastAsia="宋体" w:cs="Times New Roman"/>
                      <w:color w:val="000000" w:themeColor="text1"/>
                      <w:sz w:val="21"/>
                      <w:szCs w:val="21"/>
                      <w:vertAlign w:val="subscript"/>
                    </w:rPr>
                    <w:t>5</w:t>
                  </w:r>
                </w:p>
              </w:tc>
              <w:tc>
                <w:tcPr>
                  <w:tcW w:w="1129" w:type="dxa"/>
                  <w:tcBorders>
                    <w:top w:val="single" w:color="000000" w:sz="4" w:space="0"/>
                    <w:left w:val="nil"/>
                    <w:bottom w:val="single" w:color="000000" w:sz="4" w:space="0"/>
                    <w:right w:val="single" w:color="000000" w:sz="4" w:space="0"/>
                  </w:tcBorders>
                  <w:noWrap w:val="0"/>
                  <w:vAlign w:val="center"/>
                </w:tcPr>
                <w:p w14:paraId="2D7A7493">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SS</w:t>
                  </w:r>
                </w:p>
              </w:tc>
              <w:tc>
                <w:tcPr>
                  <w:tcW w:w="1314" w:type="dxa"/>
                  <w:tcBorders>
                    <w:top w:val="single" w:color="000000" w:sz="4" w:space="0"/>
                    <w:left w:val="nil"/>
                    <w:bottom w:val="single" w:color="000000" w:sz="4" w:space="0"/>
                    <w:right w:val="single" w:color="auto" w:sz="4" w:space="0"/>
                  </w:tcBorders>
                  <w:noWrap w:val="0"/>
                  <w:vAlign w:val="center"/>
                </w:tcPr>
                <w:p w14:paraId="56BE765D">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氨氮</w:t>
                  </w:r>
                </w:p>
              </w:tc>
            </w:tr>
            <w:tr w14:paraId="221E05AB">
              <w:tblPrEx>
                <w:tblCellMar>
                  <w:top w:w="0" w:type="dxa"/>
                  <w:left w:w="108" w:type="dxa"/>
                  <w:bottom w:w="0" w:type="dxa"/>
                  <w:right w:w="108" w:type="dxa"/>
                </w:tblCellMar>
              </w:tblPrEx>
              <w:trPr>
                <w:trHeight w:val="90" w:hRule="atLeast"/>
                <w:jc w:val="center"/>
              </w:trPr>
              <w:tc>
                <w:tcPr>
                  <w:tcW w:w="2550" w:type="dxa"/>
                  <w:tcBorders>
                    <w:top w:val="single" w:color="auto" w:sz="4" w:space="0"/>
                    <w:left w:val="single" w:color="000000" w:sz="4" w:space="0"/>
                    <w:bottom w:val="single" w:color="000000" w:sz="4" w:space="0"/>
                    <w:right w:val="single" w:color="auto" w:sz="4" w:space="0"/>
                  </w:tcBorders>
                  <w:noWrap w:val="0"/>
                  <w:vAlign w:val="center"/>
                </w:tcPr>
                <w:p w14:paraId="6327BABD">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员工生活污水</w:t>
                  </w:r>
                </w:p>
              </w:tc>
              <w:tc>
                <w:tcPr>
                  <w:tcW w:w="1106" w:type="dxa"/>
                  <w:tcBorders>
                    <w:top w:val="single" w:color="auto" w:sz="4" w:space="0"/>
                    <w:left w:val="single" w:color="auto" w:sz="4" w:space="0"/>
                    <w:bottom w:val="single" w:color="000000" w:sz="4" w:space="0"/>
                    <w:right w:val="single" w:color="auto" w:sz="4" w:space="0"/>
                  </w:tcBorders>
                  <w:noWrap w:val="0"/>
                  <w:vAlign w:val="center"/>
                </w:tcPr>
                <w:p w14:paraId="48DA231F">
                  <w:pPr>
                    <w:adjustRightInd w:val="0"/>
                    <w:jc w:val="center"/>
                    <w:textAlignment w:val="baseline"/>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352</w:t>
                  </w:r>
                </w:p>
              </w:tc>
              <w:tc>
                <w:tcPr>
                  <w:tcW w:w="1252" w:type="dxa"/>
                  <w:tcBorders>
                    <w:top w:val="single" w:color="auto" w:sz="4" w:space="0"/>
                    <w:left w:val="single" w:color="auto" w:sz="4" w:space="0"/>
                    <w:bottom w:val="single" w:color="000000" w:sz="4" w:space="0"/>
                    <w:right w:val="single" w:color="000000" w:sz="4" w:space="0"/>
                  </w:tcBorders>
                  <w:noWrap w:val="0"/>
                  <w:vAlign w:val="center"/>
                </w:tcPr>
                <w:p w14:paraId="43C7A478">
                  <w:pPr>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320</w:t>
                  </w:r>
                </w:p>
              </w:tc>
              <w:tc>
                <w:tcPr>
                  <w:tcW w:w="1162" w:type="dxa"/>
                  <w:tcBorders>
                    <w:top w:val="single" w:color="000000" w:sz="4" w:space="0"/>
                    <w:left w:val="nil"/>
                    <w:bottom w:val="single" w:color="000000" w:sz="4" w:space="0"/>
                    <w:right w:val="single" w:color="000000" w:sz="4" w:space="0"/>
                  </w:tcBorders>
                  <w:noWrap w:val="0"/>
                  <w:vAlign w:val="center"/>
                </w:tcPr>
                <w:p w14:paraId="13C3B7E7">
                  <w:pPr>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180</w:t>
                  </w:r>
                </w:p>
              </w:tc>
              <w:tc>
                <w:tcPr>
                  <w:tcW w:w="1129" w:type="dxa"/>
                  <w:tcBorders>
                    <w:top w:val="single" w:color="000000" w:sz="4" w:space="0"/>
                    <w:left w:val="nil"/>
                    <w:bottom w:val="single" w:color="000000" w:sz="4" w:space="0"/>
                    <w:right w:val="single" w:color="000000" w:sz="4" w:space="0"/>
                  </w:tcBorders>
                  <w:noWrap w:val="0"/>
                  <w:vAlign w:val="center"/>
                </w:tcPr>
                <w:p w14:paraId="7E8F8C13">
                  <w:pPr>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200</w:t>
                  </w:r>
                </w:p>
              </w:tc>
              <w:tc>
                <w:tcPr>
                  <w:tcW w:w="1314" w:type="dxa"/>
                  <w:tcBorders>
                    <w:top w:val="single" w:color="000000" w:sz="4" w:space="0"/>
                    <w:left w:val="nil"/>
                    <w:bottom w:val="single" w:color="000000" w:sz="4" w:space="0"/>
                    <w:right w:val="single" w:color="000000" w:sz="4" w:space="0"/>
                  </w:tcBorders>
                  <w:noWrap w:val="0"/>
                  <w:vAlign w:val="center"/>
                </w:tcPr>
                <w:p w14:paraId="53C6BEA1">
                  <w:pPr>
                    <w:adjustRightInd w:val="0"/>
                    <w:jc w:val="center"/>
                    <w:textAlignment w:val="baseline"/>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30</w:t>
                  </w:r>
                </w:p>
              </w:tc>
            </w:tr>
            <w:tr w14:paraId="516504BB">
              <w:tblPrEx>
                <w:tblCellMar>
                  <w:top w:w="0" w:type="dxa"/>
                  <w:left w:w="108" w:type="dxa"/>
                  <w:bottom w:w="0" w:type="dxa"/>
                  <w:right w:w="108" w:type="dxa"/>
                </w:tblCellMar>
              </w:tblPrEx>
              <w:trPr>
                <w:trHeight w:val="90" w:hRule="atLeast"/>
                <w:jc w:val="center"/>
              </w:trPr>
              <w:tc>
                <w:tcPr>
                  <w:tcW w:w="2550" w:type="dxa"/>
                  <w:tcBorders>
                    <w:top w:val="single" w:color="auto" w:sz="4" w:space="0"/>
                    <w:left w:val="single" w:color="000000" w:sz="4" w:space="0"/>
                    <w:bottom w:val="single" w:color="000000" w:sz="4" w:space="0"/>
                    <w:right w:val="single" w:color="auto" w:sz="4" w:space="0"/>
                  </w:tcBorders>
                  <w:noWrap w:val="0"/>
                  <w:vAlign w:val="center"/>
                </w:tcPr>
                <w:p w14:paraId="0FBE237E">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化粪池去除效率</w:t>
                  </w:r>
                </w:p>
              </w:tc>
              <w:tc>
                <w:tcPr>
                  <w:tcW w:w="1106" w:type="dxa"/>
                  <w:tcBorders>
                    <w:top w:val="single" w:color="auto" w:sz="4" w:space="0"/>
                    <w:left w:val="single" w:color="auto" w:sz="4" w:space="0"/>
                    <w:bottom w:val="single" w:color="000000" w:sz="4" w:space="0"/>
                    <w:right w:val="single" w:color="auto" w:sz="4" w:space="0"/>
                  </w:tcBorders>
                  <w:noWrap w:val="0"/>
                  <w:vAlign w:val="center"/>
                </w:tcPr>
                <w:p w14:paraId="1F28A40D">
                  <w:pPr>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w:t>
                  </w:r>
                </w:p>
              </w:tc>
              <w:tc>
                <w:tcPr>
                  <w:tcW w:w="1252" w:type="dxa"/>
                  <w:tcBorders>
                    <w:top w:val="single" w:color="auto" w:sz="4" w:space="0"/>
                    <w:left w:val="single" w:color="auto" w:sz="4" w:space="0"/>
                    <w:bottom w:val="single" w:color="000000" w:sz="4" w:space="0"/>
                    <w:right w:val="single" w:color="000000" w:sz="4" w:space="0"/>
                  </w:tcBorders>
                  <w:noWrap w:val="0"/>
                  <w:vAlign w:val="center"/>
                </w:tcPr>
                <w:p w14:paraId="4B788FF5">
                  <w:pPr>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15%</w:t>
                  </w:r>
                </w:p>
              </w:tc>
              <w:tc>
                <w:tcPr>
                  <w:tcW w:w="1162" w:type="dxa"/>
                  <w:tcBorders>
                    <w:top w:val="single" w:color="000000" w:sz="4" w:space="0"/>
                    <w:left w:val="nil"/>
                    <w:bottom w:val="single" w:color="000000" w:sz="4" w:space="0"/>
                    <w:right w:val="single" w:color="000000" w:sz="4" w:space="0"/>
                  </w:tcBorders>
                  <w:noWrap w:val="0"/>
                  <w:vAlign w:val="center"/>
                </w:tcPr>
                <w:p w14:paraId="3E193B6E">
                  <w:pPr>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10%</w:t>
                  </w:r>
                </w:p>
              </w:tc>
              <w:tc>
                <w:tcPr>
                  <w:tcW w:w="1129" w:type="dxa"/>
                  <w:tcBorders>
                    <w:top w:val="single" w:color="000000" w:sz="4" w:space="0"/>
                    <w:left w:val="nil"/>
                    <w:bottom w:val="single" w:color="000000" w:sz="4" w:space="0"/>
                    <w:right w:val="single" w:color="000000" w:sz="4" w:space="0"/>
                  </w:tcBorders>
                  <w:noWrap w:val="0"/>
                  <w:vAlign w:val="center"/>
                </w:tcPr>
                <w:p w14:paraId="26D55395">
                  <w:pPr>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30%</w:t>
                  </w:r>
                </w:p>
              </w:tc>
              <w:tc>
                <w:tcPr>
                  <w:tcW w:w="1314" w:type="dxa"/>
                  <w:tcBorders>
                    <w:top w:val="single" w:color="000000" w:sz="4" w:space="0"/>
                    <w:left w:val="nil"/>
                    <w:bottom w:val="single" w:color="000000" w:sz="4" w:space="0"/>
                    <w:right w:val="single" w:color="000000" w:sz="4" w:space="0"/>
                  </w:tcBorders>
                  <w:noWrap w:val="0"/>
                  <w:vAlign w:val="center"/>
                </w:tcPr>
                <w:p w14:paraId="786A6C8F">
                  <w:pPr>
                    <w:adjustRightInd w:val="0"/>
                    <w:jc w:val="center"/>
                    <w:textAlignment w:val="baseline"/>
                    <w:rPr>
                      <w:rFonts w:hint="eastAsia" w:ascii="Times New Roman" w:hAnsi="Times New Roman" w:eastAsia="宋体" w:cs="Times New Roman"/>
                      <w:color w:val="000000" w:themeColor="text1"/>
                      <w:sz w:val="21"/>
                      <w:szCs w:val="21"/>
                      <w:lang w:eastAsia="zh-CN"/>
                    </w:rPr>
                  </w:pPr>
                  <w:r>
                    <w:rPr>
                      <w:rFonts w:hint="eastAsia" w:cs="Times New Roman"/>
                      <w:color w:val="000000" w:themeColor="text1"/>
                      <w:sz w:val="21"/>
                      <w:szCs w:val="21"/>
                      <w:lang w:val="en-US" w:eastAsia="zh-CN"/>
                    </w:rPr>
                    <w:t>/</w:t>
                  </w:r>
                </w:p>
              </w:tc>
            </w:tr>
            <w:tr w14:paraId="5EDAF6AC">
              <w:tblPrEx>
                <w:tblCellMar>
                  <w:top w:w="0" w:type="dxa"/>
                  <w:left w:w="108" w:type="dxa"/>
                  <w:bottom w:w="0" w:type="dxa"/>
                  <w:right w:w="108" w:type="dxa"/>
                </w:tblCellMar>
              </w:tblPrEx>
              <w:trPr>
                <w:trHeight w:val="90" w:hRule="atLeast"/>
                <w:jc w:val="center"/>
              </w:trPr>
              <w:tc>
                <w:tcPr>
                  <w:tcW w:w="2550" w:type="dxa"/>
                  <w:tcBorders>
                    <w:top w:val="single" w:color="auto" w:sz="4" w:space="0"/>
                    <w:left w:val="single" w:color="000000" w:sz="4" w:space="0"/>
                    <w:bottom w:val="single" w:color="000000" w:sz="4" w:space="0"/>
                    <w:right w:val="single" w:color="auto" w:sz="4" w:space="0"/>
                  </w:tcBorders>
                  <w:noWrap w:val="0"/>
                  <w:vAlign w:val="center"/>
                </w:tcPr>
                <w:p w14:paraId="726AA6B1">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经化粪池处理后生活污水</w:t>
                  </w:r>
                </w:p>
              </w:tc>
              <w:tc>
                <w:tcPr>
                  <w:tcW w:w="1106" w:type="dxa"/>
                  <w:tcBorders>
                    <w:top w:val="single" w:color="auto" w:sz="4" w:space="0"/>
                    <w:left w:val="single" w:color="auto" w:sz="4" w:space="0"/>
                    <w:bottom w:val="single" w:color="000000" w:sz="4" w:space="0"/>
                    <w:right w:val="single" w:color="auto" w:sz="4" w:space="0"/>
                  </w:tcBorders>
                  <w:noWrap w:val="0"/>
                  <w:vAlign w:val="center"/>
                </w:tcPr>
                <w:p w14:paraId="109FBC8C">
                  <w:pPr>
                    <w:adjustRightInd w:val="0"/>
                    <w:jc w:val="center"/>
                    <w:textAlignment w:val="baseline"/>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352</w:t>
                  </w:r>
                </w:p>
              </w:tc>
              <w:tc>
                <w:tcPr>
                  <w:tcW w:w="1252" w:type="dxa"/>
                  <w:tcBorders>
                    <w:top w:val="single" w:color="auto" w:sz="4" w:space="0"/>
                    <w:left w:val="single" w:color="auto" w:sz="4" w:space="0"/>
                    <w:bottom w:val="single" w:color="000000" w:sz="4" w:space="0"/>
                    <w:right w:val="single" w:color="000000" w:sz="4" w:space="0"/>
                  </w:tcBorders>
                  <w:noWrap w:val="0"/>
                  <w:vAlign w:val="center"/>
                </w:tcPr>
                <w:p w14:paraId="7E0FFA42">
                  <w:pPr>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272</w:t>
                  </w:r>
                </w:p>
              </w:tc>
              <w:tc>
                <w:tcPr>
                  <w:tcW w:w="1162" w:type="dxa"/>
                  <w:tcBorders>
                    <w:top w:val="single" w:color="000000" w:sz="4" w:space="0"/>
                    <w:left w:val="nil"/>
                    <w:bottom w:val="single" w:color="000000" w:sz="4" w:space="0"/>
                    <w:right w:val="single" w:color="000000" w:sz="4" w:space="0"/>
                  </w:tcBorders>
                  <w:noWrap w:val="0"/>
                  <w:vAlign w:val="center"/>
                </w:tcPr>
                <w:p w14:paraId="769763E7">
                  <w:pPr>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162</w:t>
                  </w:r>
                </w:p>
              </w:tc>
              <w:tc>
                <w:tcPr>
                  <w:tcW w:w="1129" w:type="dxa"/>
                  <w:tcBorders>
                    <w:top w:val="single" w:color="000000" w:sz="4" w:space="0"/>
                    <w:left w:val="nil"/>
                    <w:bottom w:val="single" w:color="000000" w:sz="4" w:space="0"/>
                    <w:right w:val="single" w:color="000000" w:sz="4" w:space="0"/>
                  </w:tcBorders>
                  <w:noWrap w:val="0"/>
                  <w:vAlign w:val="center"/>
                </w:tcPr>
                <w:p w14:paraId="1CC7637D">
                  <w:pPr>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140</w:t>
                  </w:r>
                </w:p>
              </w:tc>
              <w:tc>
                <w:tcPr>
                  <w:tcW w:w="1314" w:type="dxa"/>
                  <w:tcBorders>
                    <w:top w:val="single" w:color="000000" w:sz="4" w:space="0"/>
                    <w:left w:val="nil"/>
                    <w:bottom w:val="single" w:color="000000" w:sz="4" w:space="0"/>
                    <w:right w:val="single" w:color="000000" w:sz="4" w:space="0"/>
                  </w:tcBorders>
                  <w:noWrap w:val="0"/>
                  <w:vAlign w:val="center"/>
                </w:tcPr>
                <w:p w14:paraId="65557148">
                  <w:pPr>
                    <w:adjustRightInd w:val="0"/>
                    <w:jc w:val="center"/>
                    <w:textAlignment w:val="baseline"/>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30</w:t>
                  </w:r>
                </w:p>
              </w:tc>
            </w:tr>
            <w:tr w14:paraId="2B4D20EA">
              <w:tblPrEx>
                <w:tblCellMar>
                  <w:top w:w="0" w:type="dxa"/>
                  <w:left w:w="108" w:type="dxa"/>
                  <w:bottom w:w="0" w:type="dxa"/>
                  <w:right w:w="108" w:type="dxa"/>
                </w:tblCellMar>
              </w:tblPrEx>
              <w:trPr>
                <w:trHeight w:val="328" w:hRule="atLeast"/>
                <w:jc w:val="center"/>
              </w:trPr>
              <w:tc>
                <w:tcPr>
                  <w:tcW w:w="2550" w:type="dxa"/>
                  <w:tcBorders>
                    <w:top w:val="single" w:color="000000" w:sz="4" w:space="0"/>
                    <w:left w:val="single" w:color="000000" w:sz="4" w:space="0"/>
                    <w:bottom w:val="single" w:color="000000" w:sz="4" w:space="0"/>
                    <w:right w:val="single" w:color="auto" w:sz="4" w:space="0"/>
                  </w:tcBorders>
                  <w:noWrap w:val="0"/>
                  <w:vAlign w:val="center"/>
                </w:tcPr>
                <w:p w14:paraId="54D2B0B6">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龙湖污水处理厂接管标准</w:t>
                  </w:r>
                </w:p>
              </w:tc>
              <w:tc>
                <w:tcPr>
                  <w:tcW w:w="1106" w:type="dxa"/>
                  <w:tcBorders>
                    <w:top w:val="single" w:color="000000" w:sz="4" w:space="0"/>
                    <w:left w:val="single" w:color="auto" w:sz="4" w:space="0"/>
                    <w:bottom w:val="single" w:color="000000" w:sz="4" w:space="0"/>
                    <w:right w:val="single" w:color="auto" w:sz="4" w:space="0"/>
                  </w:tcBorders>
                  <w:noWrap w:val="0"/>
                  <w:vAlign w:val="center"/>
                </w:tcPr>
                <w:p w14:paraId="7038987B">
                  <w:pPr>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w:t>
                  </w:r>
                </w:p>
              </w:tc>
              <w:tc>
                <w:tcPr>
                  <w:tcW w:w="1252" w:type="dxa"/>
                  <w:tcBorders>
                    <w:top w:val="single" w:color="000000" w:sz="4" w:space="0"/>
                    <w:left w:val="single" w:color="auto" w:sz="4" w:space="0"/>
                    <w:bottom w:val="single" w:color="000000" w:sz="4" w:space="0"/>
                    <w:right w:val="single" w:color="000000" w:sz="4" w:space="0"/>
                  </w:tcBorders>
                  <w:noWrap w:val="0"/>
                  <w:vAlign w:val="center"/>
                </w:tcPr>
                <w:p w14:paraId="339D4627">
                  <w:pPr>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500</w:t>
                  </w:r>
                </w:p>
              </w:tc>
              <w:tc>
                <w:tcPr>
                  <w:tcW w:w="1162" w:type="dxa"/>
                  <w:tcBorders>
                    <w:top w:val="single" w:color="000000" w:sz="4" w:space="0"/>
                    <w:left w:val="nil"/>
                    <w:bottom w:val="single" w:color="000000" w:sz="4" w:space="0"/>
                    <w:right w:val="single" w:color="000000" w:sz="4" w:space="0"/>
                  </w:tcBorders>
                  <w:noWrap w:val="0"/>
                  <w:vAlign w:val="center"/>
                </w:tcPr>
                <w:p w14:paraId="60B3F200">
                  <w:pPr>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200</w:t>
                  </w:r>
                </w:p>
              </w:tc>
              <w:tc>
                <w:tcPr>
                  <w:tcW w:w="1129" w:type="dxa"/>
                  <w:tcBorders>
                    <w:top w:val="single" w:color="000000" w:sz="4" w:space="0"/>
                    <w:left w:val="nil"/>
                    <w:bottom w:val="single" w:color="000000" w:sz="4" w:space="0"/>
                    <w:right w:val="single" w:color="000000" w:sz="4" w:space="0"/>
                  </w:tcBorders>
                  <w:noWrap w:val="0"/>
                  <w:vAlign w:val="center"/>
                </w:tcPr>
                <w:p w14:paraId="19B03123">
                  <w:pPr>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250</w:t>
                  </w:r>
                </w:p>
              </w:tc>
              <w:tc>
                <w:tcPr>
                  <w:tcW w:w="1314" w:type="dxa"/>
                  <w:tcBorders>
                    <w:top w:val="single" w:color="000000" w:sz="4" w:space="0"/>
                    <w:left w:val="nil"/>
                    <w:bottom w:val="single" w:color="000000" w:sz="4" w:space="0"/>
                    <w:right w:val="single" w:color="000000" w:sz="4" w:space="0"/>
                  </w:tcBorders>
                  <w:noWrap w:val="0"/>
                  <w:vAlign w:val="center"/>
                </w:tcPr>
                <w:p w14:paraId="3CA4A058">
                  <w:pPr>
                    <w:adjustRightInd w:val="0"/>
                    <w:jc w:val="center"/>
                    <w:textAlignment w:val="baseline"/>
                    <w:rPr>
                      <w:rFonts w:hint="eastAsia" w:ascii="Times New Roman" w:hAnsi="Times New Roman" w:eastAsia="宋体" w:cs="Times New Roman"/>
                      <w:color w:val="000000" w:themeColor="text1"/>
                      <w:sz w:val="21"/>
                      <w:szCs w:val="21"/>
                      <w:lang w:eastAsia="zh-CN"/>
                    </w:rPr>
                  </w:pPr>
                  <w:r>
                    <w:rPr>
                      <w:rFonts w:hint="default" w:ascii="Times New Roman" w:hAnsi="Times New Roman" w:eastAsia="宋体" w:cs="Times New Roman"/>
                      <w:color w:val="000000" w:themeColor="text1"/>
                      <w:sz w:val="21"/>
                      <w:szCs w:val="21"/>
                    </w:rPr>
                    <w:t>3</w:t>
                  </w:r>
                  <w:r>
                    <w:rPr>
                      <w:rFonts w:hint="eastAsia" w:ascii="Times New Roman" w:hAnsi="Times New Roman" w:eastAsia="宋体" w:cs="Times New Roman"/>
                      <w:color w:val="000000" w:themeColor="text1"/>
                      <w:sz w:val="21"/>
                      <w:szCs w:val="21"/>
                      <w:lang w:val="en-US" w:eastAsia="zh-CN"/>
                    </w:rPr>
                    <w:t>0</w:t>
                  </w:r>
                </w:p>
              </w:tc>
            </w:tr>
          </w:tbl>
          <w:p w14:paraId="2A78A649">
            <w:pPr>
              <w:spacing w:line="360" w:lineRule="auto"/>
              <w:ind w:firstLine="480" w:firstLineChars="200"/>
              <w:rPr>
                <w:rFonts w:hint="default" w:ascii="Times New Roman" w:hAnsi="Times New Roman" w:eastAsia="宋体" w:cs="Times New Roman"/>
                <w:color w:val="000000" w:themeColor="text1"/>
                <w:sz w:val="24"/>
                <w:szCs w:val="32"/>
              </w:rPr>
            </w:pPr>
            <w:r>
              <w:rPr>
                <w:rFonts w:hint="default" w:ascii="Times New Roman" w:hAnsi="Times New Roman" w:eastAsia="宋体" w:cs="Times New Roman"/>
                <w:color w:val="000000" w:themeColor="text1"/>
                <w:sz w:val="24"/>
                <w:szCs w:val="32"/>
              </w:rPr>
              <w:t>（1）废水治理设施</w:t>
            </w:r>
          </w:p>
          <w:p w14:paraId="00AC9D95">
            <w:pPr>
              <w:spacing w:line="360" w:lineRule="auto"/>
              <w:ind w:firstLine="480" w:firstLineChars="200"/>
              <w:rPr>
                <w:rFonts w:hint="default" w:ascii="Times New Roman" w:hAnsi="Times New Roman" w:eastAsia="宋体" w:cs="Times New Roman"/>
                <w:color w:val="000000" w:themeColor="text1"/>
                <w:sz w:val="24"/>
                <w:szCs w:val="32"/>
              </w:rPr>
            </w:pPr>
            <w:r>
              <w:rPr>
                <w:rFonts w:hint="default" w:ascii="Times New Roman" w:hAnsi="Times New Roman" w:eastAsia="宋体" w:cs="Times New Roman"/>
                <w:color w:val="000000" w:themeColor="text1"/>
                <w:sz w:val="24"/>
                <w:szCs w:val="32"/>
              </w:rPr>
              <w:t>本项目运营期间的综合废水收集后达到龙湖污水处理厂接管标准后排入龙湖污水处理厂深度处理，处理达到《城镇污水处理厂污染物排放标准》(GB18918-2002)中一级A标准后排入龙河。本项目厂区内废水治理设施如下表所示。</w:t>
            </w:r>
          </w:p>
          <w:p w14:paraId="00A702B7">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textAlignment w:val="auto"/>
              <w:rPr>
                <w:rFonts w:hint="default" w:ascii="Times New Roman" w:hAnsi="Times New Roman" w:eastAsia="宋体" w:cs="Times New Roman"/>
                <w:b/>
                <w:bCs/>
                <w:color w:val="000000" w:themeColor="text1"/>
                <w:sz w:val="24"/>
                <w:szCs w:val="24"/>
              </w:rPr>
            </w:pPr>
            <w:r>
              <w:rPr>
                <w:rFonts w:hint="default" w:ascii="Times New Roman" w:hAnsi="Times New Roman" w:eastAsia="宋体" w:cs="Times New Roman"/>
                <w:b/>
                <w:bCs/>
                <w:color w:val="000000" w:themeColor="text1"/>
                <w:sz w:val="24"/>
                <w:szCs w:val="24"/>
              </w:rPr>
              <w:t>表4-</w:t>
            </w:r>
            <w:r>
              <w:rPr>
                <w:rFonts w:hint="eastAsia" w:ascii="Times New Roman" w:hAnsi="Times New Roman" w:eastAsia="宋体" w:cs="Times New Roman"/>
                <w:b/>
                <w:bCs/>
                <w:color w:val="000000" w:themeColor="text1"/>
                <w:sz w:val="24"/>
                <w:szCs w:val="24"/>
                <w:lang w:val="en-US" w:eastAsia="zh-CN"/>
              </w:rPr>
              <w:t>9</w:t>
            </w:r>
            <w:r>
              <w:rPr>
                <w:rFonts w:hint="default" w:ascii="Times New Roman" w:hAnsi="Times New Roman" w:eastAsia="宋体" w:cs="Times New Roman"/>
                <w:b/>
                <w:bCs/>
                <w:color w:val="000000" w:themeColor="text1"/>
                <w:sz w:val="24"/>
                <w:szCs w:val="24"/>
              </w:rPr>
              <w:t xml:space="preserve">  本项目厂区内废水治理设施一览表</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3"/>
              <w:gridCol w:w="746"/>
              <w:gridCol w:w="806"/>
              <w:gridCol w:w="906"/>
              <w:gridCol w:w="1028"/>
              <w:gridCol w:w="826"/>
              <w:gridCol w:w="1067"/>
              <w:gridCol w:w="978"/>
              <w:gridCol w:w="1619"/>
            </w:tblGrid>
            <w:tr w14:paraId="72E89D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6" w:type="dxa"/>
                  <w:vMerge w:val="restart"/>
                  <w:noWrap w:val="0"/>
                  <w:vAlign w:val="center"/>
                </w:tcPr>
                <w:p w14:paraId="3D82193B">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序号</w:t>
                  </w:r>
                </w:p>
              </w:tc>
              <w:tc>
                <w:tcPr>
                  <w:tcW w:w="822" w:type="dxa"/>
                  <w:vMerge w:val="restart"/>
                  <w:noWrap w:val="0"/>
                  <w:vAlign w:val="center"/>
                </w:tcPr>
                <w:p w14:paraId="26BD8642">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废水类别</w:t>
                  </w:r>
                </w:p>
              </w:tc>
              <w:tc>
                <w:tcPr>
                  <w:tcW w:w="824" w:type="dxa"/>
                  <w:vMerge w:val="restart"/>
                  <w:noWrap w:val="0"/>
                  <w:vAlign w:val="center"/>
                </w:tcPr>
                <w:p w14:paraId="4B1F149E">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污染物种类</w:t>
                  </w:r>
                </w:p>
              </w:tc>
              <w:tc>
                <w:tcPr>
                  <w:tcW w:w="6882" w:type="dxa"/>
                  <w:gridSpan w:val="6"/>
                  <w:noWrap w:val="0"/>
                  <w:vAlign w:val="center"/>
                </w:tcPr>
                <w:p w14:paraId="43C37D62">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污染防治设施</w:t>
                  </w:r>
                </w:p>
              </w:tc>
            </w:tr>
            <w:tr w14:paraId="6A91E5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jc w:val="center"/>
              </w:trPr>
              <w:tc>
                <w:tcPr>
                  <w:tcW w:w="546" w:type="dxa"/>
                  <w:vMerge w:val="continue"/>
                  <w:noWrap w:val="0"/>
                  <w:vAlign w:val="center"/>
                </w:tcPr>
                <w:p w14:paraId="38E6BE64">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822" w:type="dxa"/>
                  <w:vMerge w:val="continue"/>
                  <w:noWrap w:val="0"/>
                  <w:vAlign w:val="center"/>
                </w:tcPr>
                <w:p w14:paraId="2C321293">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824" w:type="dxa"/>
                  <w:vMerge w:val="continue"/>
                  <w:noWrap w:val="0"/>
                  <w:vAlign w:val="center"/>
                </w:tcPr>
                <w:p w14:paraId="54E9E812">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918" w:type="dxa"/>
                  <w:noWrap w:val="0"/>
                  <w:vAlign w:val="center"/>
                </w:tcPr>
                <w:p w14:paraId="1A00C029">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治理设施编号</w:t>
                  </w:r>
                </w:p>
              </w:tc>
              <w:tc>
                <w:tcPr>
                  <w:tcW w:w="1144" w:type="dxa"/>
                  <w:noWrap w:val="0"/>
                  <w:vAlign w:val="center"/>
                </w:tcPr>
                <w:p w14:paraId="5FCDED75">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处理</w:t>
                  </w:r>
                </w:p>
                <w:p w14:paraId="4F02CBE1">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能力</w:t>
                  </w:r>
                </w:p>
              </w:tc>
              <w:tc>
                <w:tcPr>
                  <w:tcW w:w="871" w:type="dxa"/>
                  <w:noWrap w:val="0"/>
                  <w:vAlign w:val="center"/>
                </w:tcPr>
                <w:p w14:paraId="4AF457F7">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治理</w:t>
                  </w:r>
                </w:p>
                <w:p w14:paraId="63A37675">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工艺</w:t>
                  </w:r>
                </w:p>
              </w:tc>
              <w:tc>
                <w:tcPr>
                  <w:tcW w:w="1178" w:type="dxa"/>
                  <w:noWrap w:val="0"/>
                  <w:vAlign w:val="center"/>
                </w:tcPr>
                <w:p w14:paraId="37CBF7BC">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去除效率</w:t>
                  </w:r>
                </w:p>
              </w:tc>
              <w:tc>
                <w:tcPr>
                  <w:tcW w:w="1109" w:type="dxa"/>
                  <w:noWrap w:val="0"/>
                  <w:vAlign w:val="center"/>
                </w:tcPr>
                <w:p w14:paraId="2E195F58">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是否为可行技术</w:t>
                  </w:r>
                </w:p>
              </w:tc>
              <w:tc>
                <w:tcPr>
                  <w:tcW w:w="1662" w:type="dxa"/>
                  <w:noWrap w:val="0"/>
                  <w:vAlign w:val="center"/>
                </w:tcPr>
                <w:p w14:paraId="5B7A86BF">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出水标准（GB 8978-1996 ）</w:t>
                  </w:r>
                </w:p>
              </w:tc>
            </w:tr>
            <w:tr w14:paraId="0BF322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46" w:type="dxa"/>
                  <w:vMerge w:val="restart"/>
                  <w:noWrap w:val="0"/>
                  <w:vAlign w:val="center"/>
                </w:tcPr>
                <w:p w14:paraId="3D5811EB">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1</w:t>
                  </w:r>
                </w:p>
              </w:tc>
              <w:tc>
                <w:tcPr>
                  <w:tcW w:w="822" w:type="dxa"/>
                  <w:vMerge w:val="restart"/>
                  <w:noWrap w:val="0"/>
                  <w:vAlign w:val="center"/>
                </w:tcPr>
                <w:p w14:paraId="43D55065">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生活污水</w:t>
                  </w:r>
                </w:p>
              </w:tc>
              <w:tc>
                <w:tcPr>
                  <w:tcW w:w="824" w:type="dxa"/>
                  <w:noWrap w:val="0"/>
                  <w:vAlign w:val="center"/>
                </w:tcPr>
                <w:p w14:paraId="483144FF">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COD</w:t>
                  </w:r>
                </w:p>
              </w:tc>
              <w:tc>
                <w:tcPr>
                  <w:tcW w:w="918" w:type="dxa"/>
                  <w:vMerge w:val="restart"/>
                  <w:noWrap w:val="0"/>
                  <w:vAlign w:val="center"/>
                </w:tcPr>
                <w:p w14:paraId="029008D3">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TW001</w:t>
                  </w:r>
                </w:p>
              </w:tc>
              <w:tc>
                <w:tcPr>
                  <w:tcW w:w="1144" w:type="dxa"/>
                  <w:vMerge w:val="restart"/>
                  <w:noWrap w:val="0"/>
                  <w:vAlign w:val="center"/>
                </w:tcPr>
                <w:p w14:paraId="7E78C0D7">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eastAsia" w:cs="Times New Roman"/>
                      <w:color w:val="000000" w:themeColor="text1"/>
                      <w:sz w:val="21"/>
                      <w:szCs w:val="21"/>
                      <w:lang w:val="en-US" w:eastAsia="zh-CN"/>
                    </w:rPr>
                    <w:t>5</w:t>
                  </w:r>
                  <w:r>
                    <w:rPr>
                      <w:rFonts w:hint="default" w:ascii="Times New Roman" w:hAnsi="Times New Roman" w:eastAsia="宋体" w:cs="Times New Roman"/>
                      <w:color w:val="000000" w:themeColor="text1"/>
                      <w:sz w:val="21"/>
                      <w:szCs w:val="21"/>
                    </w:rPr>
                    <w:t>t/d</w:t>
                  </w:r>
                </w:p>
              </w:tc>
              <w:tc>
                <w:tcPr>
                  <w:tcW w:w="871" w:type="dxa"/>
                  <w:vMerge w:val="restart"/>
                  <w:noWrap w:val="0"/>
                  <w:vAlign w:val="center"/>
                </w:tcPr>
                <w:p w14:paraId="423525F0">
                  <w:pPr>
                    <w:widowControl/>
                    <w:adjustRightInd w:val="0"/>
                    <w:jc w:val="center"/>
                    <w:textAlignment w:val="baseline"/>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沉淀、厌氧处理</w:t>
                  </w:r>
                </w:p>
              </w:tc>
              <w:tc>
                <w:tcPr>
                  <w:tcW w:w="1178" w:type="dxa"/>
                  <w:noWrap w:val="0"/>
                  <w:vAlign w:val="center"/>
                </w:tcPr>
                <w:p w14:paraId="0B09AE43">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15%</w:t>
                  </w:r>
                </w:p>
              </w:tc>
              <w:tc>
                <w:tcPr>
                  <w:tcW w:w="1109" w:type="dxa"/>
                  <w:vMerge w:val="restart"/>
                  <w:noWrap w:val="0"/>
                  <w:vAlign w:val="center"/>
                </w:tcPr>
                <w:p w14:paraId="266B1F02">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是</w:t>
                  </w:r>
                </w:p>
              </w:tc>
              <w:tc>
                <w:tcPr>
                  <w:tcW w:w="1662" w:type="dxa"/>
                  <w:noWrap w:val="0"/>
                  <w:vAlign w:val="center"/>
                </w:tcPr>
                <w:p w14:paraId="1E790306">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500</w:t>
                  </w:r>
                </w:p>
              </w:tc>
            </w:tr>
            <w:tr w14:paraId="0EF2AC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46" w:type="dxa"/>
                  <w:vMerge w:val="continue"/>
                  <w:noWrap w:val="0"/>
                  <w:vAlign w:val="center"/>
                </w:tcPr>
                <w:p w14:paraId="68F8D5BF">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822" w:type="dxa"/>
                  <w:vMerge w:val="continue"/>
                  <w:noWrap w:val="0"/>
                  <w:vAlign w:val="center"/>
                </w:tcPr>
                <w:p w14:paraId="76B7E685">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824" w:type="dxa"/>
                  <w:noWrap w:val="0"/>
                  <w:vAlign w:val="center"/>
                </w:tcPr>
                <w:p w14:paraId="7D38985E">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BOD</w:t>
                  </w:r>
                  <w:r>
                    <w:rPr>
                      <w:rFonts w:hint="default" w:ascii="Times New Roman" w:hAnsi="Times New Roman" w:eastAsia="宋体" w:cs="Times New Roman"/>
                      <w:color w:val="000000" w:themeColor="text1"/>
                      <w:sz w:val="21"/>
                      <w:szCs w:val="21"/>
                      <w:vertAlign w:val="subscript"/>
                    </w:rPr>
                    <w:t>5</w:t>
                  </w:r>
                </w:p>
              </w:tc>
              <w:tc>
                <w:tcPr>
                  <w:tcW w:w="918" w:type="dxa"/>
                  <w:vMerge w:val="continue"/>
                  <w:noWrap w:val="0"/>
                  <w:vAlign w:val="center"/>
                </w:tcPr>
                <w:p w14:paraId="096EFB5D">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1144" w:type="dxa"/>
                  <w:vMerge w:val="continue"/>
                  <w:noWrap w:val="0"/>
                  <w:vAlign w:val="center"/>
                </w:tcPr>
                <w:p w14:paraId="439CC2B2">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871" w:type="dxa"/>
                  <w:vMerge w:val="continue"/>
                  <w:noWrap w:val="0"/>
                  <w:vAlign w:val="center"/>
                </w:tcPr>
                <w:p w14:paraId="18CC71F9">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1178" w:type="dxa"/>
                  <w:noWrap w:val="0"/>
                  <w:vAlign w:val="center"/>
                </w:tcPr>
                <w:p w14:paraId="31FF8449">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10%</w:t>
                  </w:r>
                </w:p>
              </w:tc>
              <w:tc>
                <w:tcPr>
                  <w:tcW w:w="1109" w:type="dxa"/>
                  <w:vMerge w:val="continue"/>
                  <w:noWrap w:val="0"/>
                  <w:vAlign w:val="center"/>
                </w:tcPr>
                <w:p w14:paraId="72649E38">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1662" w:type="dxa"/>
                  <w:noWrap w:val="0"/>
                  <w:vAlign w:val="center"/>
                </w:tcPr>
                <w:p w14:paraId="3C03870A">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200</w:t>
                  </w:r>
                </w:p>
              </w:tc>
            </w:tr>
            <w:tr w14:paraId="2A50B6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46" w:type="dxa"/>
                  <w:vMerge w:val="continue"/>
                  <w:noWrap w:val="0"/>
                  <w:vAlign w:val="center"/>
                </w:tcPr>
                <w:p w14:paraId="6A5242D9">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822" w:type="dxa"/>
                  <w:vMerge w:val="continue"/>
                  <w:noWrap w:val="0"/>
                  <w:vAlign w:val="center"/>
                </w:tcPr>
                <w:p w14:paraId="4373DD8E">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824" w:type="dxa"/>
                  <w:noWrap w:val="0"/>
                  <w:vAlign w:val="center"/>
                </w:tcPr>
                <w:p w14:paraId="15E9016F">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SS</w:t>
                  </w:r>
                </w:p>
              </w:tc>
              <w:tc>
                <w:tcPr>
                  <w:tcW w:w="918" w:type="dxa"/>
                  <w:vMerge w:val="continue"/>
                  <w:noWrap w:val="0"/>
                  <w:vAlign w:val="center"/>
                </w:tcPr>
                <w:p w14:paraId="0C3E2659">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1144" w:type="dxa"/>
                  <w:vMerge w:val="continue"/>
                  <w:noWrap w:val="0"/>
                  <w:vAlign w:val="center"/>
                </w:tcPr>
                <w:p w14:paraId="742ECF12">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871" w:type="dxa"/>
                  <w:vMerge w:val="continue"/>
                  <w:noWrap w:val="0"/>
                  <w:vAlign w:val="center"/>
                </w:tcPr>
                <w:p w14:paraId="1466E8FD">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1178" w:type="dxa"/>
                  <w:noWrap w:val="0"/>
                  <w:vAlign w:val="center"/>
                </w:tcPr>
                <w:p w14:paraId="4397A6C8">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30%</w:t>
                  </w:r>
                </w:p>
              </w:tc>
              <w:tc>
                <w:tcPr>
                  <w:tcW w:w="1109" w:type="dxa"/>
                  <w:vMerge w:val="continue"/>
                  <w:noWrap w:val="0"/>
                  <w:vAlign w:val="center"/>
                </w:tcPr>
                <w:p w14:paraId="1BD1F7E8">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1662" w:type="dxa"/>
                  <w:noWrap w:val="0"/>
                  <w:vAlign w:val="center"/>
                </w:tcPr>
                <w:p w14:paraId="4DF159B7">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250</w:t>
                  </w:r>
                </w:p>
              </w:tc>
            </w:tr>
            <w:tr w14:paraId="3685B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46" w:type="dxa"/>
                  <w:vMerge w:val="continue"/>
                  <w:noWrap w:val="0"/>
                  <w:vAlign w:val="center"/>
                </w:tcPr>
                <w:p w14:paraId="66FD8FCD">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822" w:type="dxa"/>
                  <w:vMerge w:val="continue"/>
                  <w:noWrap w:val="0"/>
                  <w:vAlign w:val="center"/>
                </w:tcPr>
                <w:p w14:paraId="470CDB55">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824" w:type="dxa"/>
                  <w:noWrap w:val="0"/>
                  <w:vAlign w:val="center"/>
                </w:tcPr>
                <w:p w14:paraId="26C09D0B">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氨氮</w:t>
                  </w:r>
                </w:p>
              </w:tc>
              <w:tc>
                <w:tcPr>
                  <w:tcW w:w="918" w:type="dxa"/>
                  <w:vMerge w:val="continue"/>
                  <w:noWrap w:val="0"/>
                  <w:vAlign w:val="center"/>
                </w:tcPr>
                <w:p w14:paraId="158A2C93">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1144" w:type="dxa"/>
                  <w:vMerge w:val="continue"/>
                  <w:noWrap w:val="0"/>
                  <w:vAlign w:val="center"/>
                </w:tcPr>
                <w:p w14:paraId="6E122576">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871" w:type="dxa"/>
                  <w:vMerge w:val="continue"/>
                  <w:noWrap w:val="0"/>
                  <w:vAlign w:val="center"/>
                </w:tcPr>
                <w:p w14:paraId="0E8B4998">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1178" w:type="dxa"/>
                  <w:noWrap w:val="0"/>
                  <w:vAlign w:val="center"/>
                </w:tcPr>
                <w:p w14:paraId="4B77824C">
                  <w:pPr>
                    <w:widowControl/>
                    <w:adjustRightInd w:val="0"/>
                    <w:jc w:val="center"/>
                    <w:textAlignment w:val="baseline"/>
                    <w:rPr>
                      <w:rFonts w:hint="eastAsia" w:ascii="Times New Roman" w:hAnsi="Times New Roman" w:eastAsia="宋体" w:cs="Times New Roman"/>
                      <w:color w:val="000000" w:themeColor="text1"/>
                      <w:sz w:val="21"/>
                      <w:szCs w:val="21"/>
                      <w:lang w:eastAsia="zh-CN"/>
                    </w:rPr>
                  </w:pPr>
                  <w:r>
                    <w:rPr>
                      <w:rFonts w:hint="eastAsia" w:cs="Times New Roman"/>
                      <w:color w:val="000000" w:themeColor="text1"/>
                      <w:sz w:val="21"/>
                      <w:szCs w:val="21"/>
                      <w:lang w:val="en-US" w:eastAsia="zh-CN"/>
                    </w:rPr>
                    <w:t>/</w:t>
                  </w:r>
                </w:p>
              </w:tc>
              <w:tc>
                <w:tcPr>
                  <w:tcW w:w="1109" w:type="dxa"/>
                  <w:vMerge w:val="continue"/>
                  <w:noWrap w:val="0"/>
                  <w:vAlign w:val="center"/>
                </w:tcPr>
                <w:p w14:paraId="232DAED8">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1662" w:type="dxa"/>
                  <w:noWrap w:val="0"/>
                  <w:vAlign w:val="center"/>
                </w:tcPr>
                <w:p w14:paraId="3332AF1D">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30</w:t>
                  </w:r>
                </w:p>
              </w:tc>
            </w:tr>
          </w:tbl>
          <w:p w14:paraId="21FD0368">
            <w:pPr>
              <w:spacing w:line="360" w:lineRule="auto"/>
              <w:ind w:firstLine="480" w:firstLineChars="200"/>
              <w:rPr>
                <w:rFonts w:hint="default" w:ascii="Times New Roman" w:hAnsi="Times New Roman" w:eastAsia="宋体" w:cs="Times New Roman"/>
                <w:color w:val="000000" w:themeColor="text1"/>
                <w:sz w:val="24"/>
                <w:szCs w:val="24"/>
              </w:rPr>
            </w:pPr>
            <w:r>
              <w:rPr>
                <w:rFonts w:hint="default" w:ascii="Times New Roman" w:hAnsi="Times New Roman" w:eastAsia="宋体" w:cs="Times New Roman"/>
                <w:color w:val="000000" w:themeColor="text1"/>
                <w:sz w:val="24"/>
                <w:szCs w:val="24"/>
              </w:rPr>
              <w:t>（2）废水排放情况</w:t>
            </w:r>
          </w:p>
          <w:p w14:paraId="3F6B26F0">
            <w:pPr>
              <w:spacing w:line="360" w:lineRule="auto"/>
              <w:ind w:firstLine="480" w:firstLineChars="200"/>
              <w:rPr>
                <w:rFonts w:hint="default" w:ascii="Times New Roman" w:hAnsi="Times New Roman" w:eastAsia="宋体" w:cs="Times New Roman"/>
                <w:color w:val="000000" w:themeColor="text1"/>
                <w:sz w:val="24"/>
                <w:szCs w:val="24"/>
              </w:rPr>
            </w:pPr>
            <w:r>
              <w:rPr>
                <w:rFonts w:hint="default" w:ascii="Times New Roman" w:hAnsi="Times New Roman" w:eastAsia="宋体" w:cs="Times New Roman"/>
                <w:color w:val="000000" w:themeColor="text1"/>
                <w:sz w:val="24"/>
                <w:szCs w:val="24"/>
              </w:rPr>
              <w:t>本项目生活污水经化粪池处理后与生产废水通过市政管网排入龙湖污水处理厂深度处理，排放情况如下表所示。</w:t>
            </w:r>
          </w:p>
          <w:p w14:paraId="133A67EA">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textAlignment w:val="auto"/>
              <w:rPr>
                <w:rFonts w:hint="default" w:ascii="Times New Roman" w:hAnsi="Times New Roman" w:eastAsia="宋体" w:cs="Times New Roman"/>
                <w:b/>
                <w:bCs/>
                <w:color w:val="000000" w:themeColor="text1"/>
                <w:sz w:val="24"/>
                <w:szCs w:val="24"/>
              </w:rPr>
            </w:pPr>
            <w:r>
              <w:rPr>
                <w:rFonts w:hint="default" w:ascii="Times New Roman" w:hAnsi="Times New Roman" w:eastAsia="宋体" w:cs="Times New Roman"/>
                <w:b/>
                <w:bCs/>
                <w:color w:val="000000" w:themeColor="text1"/>
                <w:sz w:val="24"/>
                <w:szCs w:val="24"/>
              </w:rPr>
              <w:t>表4-1</w:t>
            </w:r>
            <w:r>
              <w:rPr>
                <w:rFonts w:hint="eastAsia" w:ascii="Times New Roman" w:hAnsi="Times New Roman" w:eastAsia="宋体" w:cs="Times New Roman"/>
                <w:b/>
                <w:bCs/>
                <w:color w:val="000000" w:themeColor="text1"/>
                <w:sz w:val="24"/>
                <w:szCs w:val="24"/>
                <w:lang w:val="en-US" w:eastAsia="zh-CN"/>
              </w:rPr>
              <w:t>0</w:t>
            </w:r>
            <w:r>
              <w:rPr>
                <w:rFonts w:hint="default" w:ascii="Times New Roman" w:hAnsi="Times New Roman" w:eastAsia="宋体" w:cs="Times New Roman"/>
                <w:b/>
                <w:bCs/>
                <w:color w:val="000000" w:themeColor="text1"/>
                <w:sz w:val="24"/>
                <w:szCs w:val="24"/>
              </w:rPr>
              <w:t xml:space="preserve">  本项目废水排放情况一览表</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5"/>
              <w:gridCol w:w="633"/>
              <w:gridCol w:w="938"/>
              <w:gridCol w:w="824"/>
              <w:gridCol w:w="749"/>
              <w:gridCol w:w="757"/>
              <w:gridCol w:w="625"/>
              <w:gridCol w:w="579"/>
              <w:gridCol w:w="944"/>
              <w:gridCol w:w="951"/>
              <w:gridCol w:w="954"/>
            </w:tblGrid>
            <w:tr w14:paraId="0E4B7E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4" w:type="dxa"/>
                  <w:vMerge w:val="restart"/>
                  <w:noWrap w:val="0"/>
                  <w:vAlign w:val="center"/>
                </w:tcPr>
                <w:p w14:paraId="2EAA5528">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序号</w:t>
                  </w:r>
                </w:p>
              </w:tc>
              <w:tc>
                <w:tcPr>
                  <w:tcW w:w="683" w:type="dxa"/>
                  <w:vMerge w:val="restart"/>
                  <w:noWrap w:val="0"/>
                  <w:vAlign w:val="center"/>
                </w:tcPr>
                <w:p w14:paraId="326EE555">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废水类别</w:t>
                  </w:r>
                </w:p>
              </w:tc>
              <w:tc>
                <w:tcPr>
                  <w:tcW w:w="989" w:type="dxa"/>
                  <w:vMerge w:val="restart"/>
                  <w:noWrap w:val="0"/>
                  <w:vAlign w:val="center"/>
                </w:tcPr>
                <w:p w14:paraId="5476642E">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污染物</w:t>
                  </w:r>
                </w:p>
                <w:p w14:paraId="06EA0955">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种类</w:t>
                  </w:r>
                </w:p>
              </w:tc>
              <w:tc>
                <w:tcPr>
                  <w:tcW w:w="895" w:type="dxa"/>
                  <w:vMerge w:val="restart"/>
                  <w:noWrap w:val="0"/>
                  <w:vAlign w:val="center"/>
                </w:tcPr>
                <w:p w14:paraId="592B823B">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废水排放量t/a</w:t>
                  </w:r>
                </w:p>
              </w:tc>
              <w:tc>
                <w:tcPr>
                  <w:tcW w:w="1541" w:type="dxa"/>
                  <w:gridSpan w:val="2"/>
                  <w:noWrap w:val="0"/>
                  <w:vAlign w:val="center"/>
                </w:tcPr>
                <w:p w14:paraId="40D53838">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污染物排放情况</w:t>
                  </w:r>
                </w:p>
              </w:tc>
              <w:tc>
                <w:tcPr>
                  <w:tcW w:w="674" w:type="dxa"/>
                  <w:vMerge w:val="restart"/>
                  <w:noWrap w:val="0"/>
                  <w:vAlign w:val="center"/>
                </w:tcPr>
                <w:p w14:paraId="1BF19896">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排放</w:t>
                  </w:r>
                </w:p>
                <w:p w14:paraId="725FDD1A">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方式</w:t>
                  </w:r>
                </w:p>
              </w:tc>
              <w:tc>
                <w:tcPr>
                  <w:tcW w:w="616" w:type="dxa"/>
                  <w:vMerge w:val="restart"/>
                  <w:noWrap w:val="0"/>
                  <w:vAlign w:val="center"/>
                </w:tcPr>
                <w:p w14:paraId="5DEDB01E">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排放</w:t>
                  </w:r>
                </w:p>
                <w:p w14:paraId="6B53BC2C">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去向</w:t>
                  </w:r>
                </w:p>
              </w:tc>
              <w:tc>
                <w:tcPr>
                  <w:tcW w:w="1019" w:type="dxa"/>
                  <w:vMerge w:val="restart"/>
                  <w:noWrap w:val="0"/>
                  <w:vAlign w:val="center"/>
                </w:tcPr>
                <w:p w14:paraId="0CD3C14F">
                  <w:pPr>
                    <w:widowControl/>
                    <w:adjustRightInd w:val="0"/>
                    <w:jc w:val="center"/>
                    <w:textAlignment w:val="baseline"/>
                    <w:rPr>
                      <w:rFonts w:hint="default" w:ascii="Times New Roman" w:hAnsi="Times New Roman" w:eastAsia="宋体" w:cs="Times New Roman"/>
                      <w:color w:val="000000" w:themeColor="text1"/>
                      <w:sz w:val="21"/>
                      <w:szCs w:val="21"/>
                    </w:rPr>
                  </w:pPr>
                </w:p>
                <w:p w14:paraId="36604A68">
                  <w:pPr>
                    <w:widowControl/>
                    <w:adjustRightInd w:val="0"/>
                    <w:jc w:val="center"/>
                    <w:textAlignment w:val="baseline"/>
                    <w:rPr>
                      <w:rFonts w:hint="default" w:ascii="Times New Roman" w:hAnsi="Times New Roman" w:eastAsia="宋体" w:cs="Times New Roman"/>
                      <w:color w:val="000000" w:themeColor="text1"/>
                      <w:sz w:val="21"/>
                      <w:szCs w:val="21"/>
                    </w:rPr>
                  </w:pPr>
                </w:p>
                <w:p w14:paraId="1EC7C2A0">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排放</w:t>
                  </w:r>
                </w:p>
                <w:p w14:paraId="36F9307B">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规律</w:t>
                  </w:r>
                </w:p>
              </w:tc>
              <w:tc>
                <w:tcPr>
                  <w:tcW w:w="2038" w:type="dxa"/>
                  <w:gridSpan w:val="2"/>
                  <w:noWrap w:val="0"/>
                  <w:vAlign w:val="center"/>
                </w:tcPr>
                <w:p w14:paraId="52CE8BB3">
                  <w:pPr>
                    <w:widowControl/>
                    <w:adjustRightInd w:val="0"/>
                    <w:jc w:val="center"/>
                    <w:textAlignment w:val="baseline"/>
                    <w:rPr>
                      <w:rFonts w:hint="default" w:ascii="Times New Roman" w:hAnsi="Times New Roman" w:eastAsia="宋体" w:cs="Times New Roman"/>
                      <w:color w:val="000000" w:themeColor="text1"/>
                      <w:sz w:val="21"/>
                      <w:szCs w:val="21"/>
                      <w:lang w:val="en-US" w:eastAsia="zh-CN"/>
                    </w:rPr>
                  </w:pPr>
                  <w:r>
                    <w:rPr>
                      <w:rFonts w:hint="default" w:ascii="Times New Roman" w:hAnsi="Times New Roman" w:eastAsia="宋体" w:cs="Times New Roman"/>
                      <w:color w:val="000000" w:themeColor="text1"/>
                      <w:sz w:val="21"/>
                      <w:szCs w:val="21"/>
                      <w:lang w:val="en-US" w:eastAsia="zh-CN"/>
                    </w:rPr>
                    <w:t>污染物排放到外环境情况</w:t>
                  </w:r>
                </w:p>
              </w:tc>
            </w:tr>
            <w:tr w14:paraId="117C8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74" w:type="dxa"/>
                  <w:vMerge w:val="continue"/>
                  <w:noWrap w:val="0"/>
                  <w:vAlign w:val="center"/>
                </w:tcPr>
                <w:p w14:paraId="697769E6">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683" w:type="dxa"/>
                  <w:vMerge w:val="continue"/>
                  <w:noWrap w:val="0"/>
                  <w:vAlign w:val="center"/>
                </w:tcPr>
                <w:p w14:paraId="48520D02">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989" w:type="dxa"/>
                  <w:vMerge w:val="continue"/>
                  <w:noWrap w:val="0"/>
                  <w:vAlign w:val="center"/>
                </w:tcPr>
                <w:p w14:paraId="6E7195A3">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895" w:type="dxa"/>
                  <w:vMerge w:val="continue"/>
                  <w:noWrap w:val="0"/>
                  <w:vAlign w:val="center"/>
                </w:tcPr>
                <w:p w14:paraId="1EC164D5">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768" w:type="dxa"/>
                  <w:noWrap w:val="0"/>
                  <w:vAlign w:val="center"/>
                </w:tcPr>
                <w:p w14:paraId="4DFC44EA">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排放浓度mg/L</w:t>
                  </w:r>
                </w:p>
              </w:tc>
              <w:tc>
                <w:tcPr>
                  <w:tcW w:w="772" w:type="dxa"/>
                  <w:noWrap w:val="0"/>
                  <w:vAlign w:val="center"/>
                </w:tcPr>
                <w:p w14:paraId="2E1B1B0A">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排放量t/a</w:t>
                  </w:r>
                </w:p>
              </w:tc>
              <w:tc>
                <w:tcPr>
                  <w:tcW w:w="674" w:type="dxa"/>
                  <w:vMerge w:val="continue"/>
                  <w:noWrap w:val="0"/>
                  <w:vAlign w:val="center"/>
                </w:tcPr>
                <w:p w14:paraId="5D5468E7">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616" w:type="dxa"/>
                  <w:vMerge w:val="continue"/>
                  <w:noWrap w:val="0"/>
                  <w:vAlign w:val="center"/>
                </w:tcPr>
                <w:p w14:paraId="3FD47149">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1019" w:type="dxa"/>
                  <w:vMerge w:val="continue"/>
                  <w:noWrap w:val="0"/>
                  <w:vAlign w:val="center"/>
                </w:tcPr>
                <w:p w14:paraId="72CE2360">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1019" w:type="dxa"/>
                  <w:noWrap w:val="0"/>
                  <w:vAlign w:val="center"/>
                </w:tcPr>
                <w:p w14:paraId="3F086E35">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排放浓度mg/L</w:t>
                  </w:r>
                </w:p>
              </w:tc>
              <w:tc>
                <w:tcPr>
                  <w:tcW w:w="1019" w:type="dxa"/>
                  <w:noWrap w:val="0"/>
                  <w:vAlign w:val="center"/>
                </w:tcPr>
                <w:p w14:paraId="74E9B057">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排放量t/a</w:t>
                  </w:r>
                </w:p>
              </w:tc>
            </w:tr>
            <w:tr w14:paraId="46D85F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574" w:type="dxa"/>
                  <w:vMerge w:val="restart"/>
                  <w:noWrap w:val="0"/>
                  <w:vAlign w:val="center"/>
                </w:tcPr>
                <w:p w14:paraId="35CF7FD7">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1</w:t>
                  </w:r>
                </w:p>
              </w:tc>
              <w:tc>
                <w:tcPr>
                  <w:tcW w:w="683" w:type="dxa"/>
                  <w:vMerge w:val="restart"/>
                  <w:noWrap w:val="0"/>
                  <w:vAlign w:val="center"/>
                </w:tcPr>
                <w:p w14:paraId="27D34886">
                  <w:pPr>
                    <w:widowControl/>
                    <w:adjustRightInd w:val="0"/>
                    <w:jc w:val="center"/>
                    <w:textAlignment w:val="baseline"/>
                    <w:rPr>
                      <w:rFonts w:hint="eastAsia" w:ascii="Times New Roman" w:hAnsi="Times New Roman" w:eastAsia="宋体" w:cs="Times New Roman"/>
                      <w:color w:val="000000" w:themeColor="text1"/>
                      <w:sz w:val="21"/>
                      <w:szCs w:val="21"/>
                      <w:lang w:eastAsia="zh-CN"/>
                    </w:rPr>
                  </w:pPr>
                  <w:r>
                    <w:rPr>
                      <w:rFonts w:hint="eastAsia" w:cs="Times New Roman"/>
                      <w:color w:val="000000" w:themeColor="text1"/>
                      <w:sz w:val="21"/>
                      <w:szCs w:val="21"/>
                      <w:lang w:val="en-US" w:eastAsia="zh-CN"/>
                    </w:rPr>
                    <w:t>生活污水</w:t>
                  </w:r>
                </w:p>
              </w:tc>
              <w:tc>
                <w:tcPr>
                  <w:tcW w:w="989" w:type="dxa"/>
                  <w:noWrap w:val="0"/>
                  <w:vAlign w:val="center"/>
                </w:tcPr>
                <w:p w14:paraId="58ADB25A">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COD</w:t>
                  </w:r>
                </w:p>
              </w:tc>
              <w:tc>
                <w:tcPr>
                  <w:tcW w:w="895" w:type="dxa"/>
                  <w:vMerge w:val="restart"/>
                  <w:noWrap w:val="0"/>
                  <w:vAlign w:val="center"/>
                </w:tcPr>
                <w:p w14:paraId="2691E232">
                  <w:pPr>
                    <w:widowControl/>
                    <w:adjustRightInd w:val="0"/>
                    <w:jc w:val="center"/>
                    <w:textAlignment w:val="baseline"/>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352</w:t>
                  </w:r>
                </w:p>
              </w:tc>
              <w:tc>
                <w:tcPr>
                  <w:tcW w:w="768" w:type="dxa"/>
                  <w:noWrap w:val="0"/>
                  <w:vAlign w:val="center"/>
                </w:tcPr>
                <w:p w14:paraId="289FE37F">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272</w:t>
                  </w:r>
                </w:p>
              </w:tc>
              <w:tc>
                <w:tcPr>
                  <w:tcW w:w="772" w:type="dxa"/>
                  <w:noWrap w:val="0"/>
                  <w:vAlign w:val="center"/>
                </w:tcPr>
                <w:p w14:paraId="4804D8DF">
                  <w:pPr>
                    <w:widowControl/>
                    <w:adjustRightInd w:val="0"/>
                    <w:jc w:val="center"/>
                    <w:textAlignment w:val="baseline"/>
                    <w:rPr>
                      <w:rFonts w:hint="default" w:ascii="Times New Roman" w:hAnsi="Times New Roman" w:eastAsia="宋体" w:cs="Times New Roman"/>
                      <w:color w:val="000000" w:themeColor="text1"/>
                      <w:sz w:val="21"/>
                      <w:szCs w:val="21"/>
                      <w:lang w:val="en-US" w:eastAsia="zh-CN"/>
                    </w:rPr>
                  </w:pPr>
                  <w:r>
                    <w:rPr>
                      <w:rFonts w:hint="default" w:ascii="Times New Roman" w:hAnsi="Times New Roman" w:eastAsia="宋体" w:cs="Times New Roman"/>
                      <w:color w:val="000000" w:themeColor="text1"/>
                      <w:sz w:val="21"/>
                      <w:szCs w:val="21"/>
                    </w:rPr>
                    <w:t>0.</w:t>
                  </w:r>
                  <w:r>
                    <w:rPr>
                      <w:rFonts w:hint="eastAsia" w:ascii="Times New Roman" w:hAnsi="Times New Roman" w:eastAsia="宋体" w:cs="Times New Roman"/>
                      <w:color w:val="000000" w:themeColor="text1"/>
                      <w:sz w:val="21"/>
                      <w:szCs w:val="21"/>
                      <w:lang w:val="en-US" w:eastAsia="zh-CN"/>
                    </w:rPr>
                    <w:t>0</w:t>
                  </w:r>
                  <w:r>
                    <w:rPr>
                      <w:rFonts w:hint="eastAsia" w:cs="Times New Roman"/>
                      <w:color w:val="000000" w:themeColor="text1"/>
                      <w:sz w:val="21"/>
                      <w:szCs w:val="21"/>
                      <w:lang w:val="en-US" w:eastAsia="zh-CN"/>
                    </w:rPr>
                    <w:t>96</w:t>
                  </w:r>
                </w:p>
              </w:tc>
              <w:tc>
                <w:tcPr>
                  <w:tcW w:w="674" w:type="dxa"/>
                  <w:vMerge w:val="restart"/>
                  <w:noWrap w:val="0"/>
                  <w:vAlign w:val="center"/>
                </w:tcPr>
                <w:p w14:paraId="2C2714E7">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间接</w:t>
                  </w:r>
                </w:p>
                <w:p w14:paraId="5FA18021">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排放</w:t>
                  </w:r>
                </w:p>
              </w:tc>
              <w:tc>
                <w:tcPr>
                  <w:tcW w:w="616" w:type="dxa"/>
                  <w:vMerge w:val="restart"/>
                  <w:noWrap w:val="0"/>
                  <w:vAlign w:val="center"/>
                </w:tcPr>
                <w:p w14:paraId="31327A5F">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外排至龙湖污水处理厂</w:t>
                  </w:r>
                </w:p>
              </w:tc>
              <w:tc>
                <w:tcPr>
                  <w:tcW w:w="1019" w:type="dxa"/>
                  <w:vMerge w:val="restart"/>
                  <w:noWrap w:val="0"/>
                  <w:vAlign w:val="center"/>
                </w:tcPr>
                <w:p w14:paraId="7A461E80">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间断排放，排放期间流量不稳定且无规律，但不属于冲击型排放</w:t>
                  </w:r>
                </w:p>
              </w:tc>
              <w:tc>
                <w:tcPr>
                  <w:tcW w:w="1019" w:type="dxa"/>
                  <w:noWrap w:val="0"/>
                  <w:vAlign w:val="center"/>
                </w:tcPr>
                <w:p w14:paraId="67D88E4C">
                  <w:pPr>
                    <w:widowControl/>
                    <w:adjustRightInd w:val="0"/>
                    <w:jc w:val="center"/>
                    <w:textAlignment w:val="baseline"/>
                    <w:rPr>
                      <w:rFonts w:hint="default" w:ascii="Times New Roman" w:hAnsi="Times New Roman" w:eastAsia="宋体" w:cs="Times New Roman"/>
                      <w:color w:val="000000" w:themeColor="text1"/>
                      <w:sz w:val="21"/>
                      <w:szCs w:val="21"/>
                      <w:lang w:val="en-US" w:eastAsia="zh-CN"/>
                    </w:rPr>
                  </w:pPr>
                  <w:r>
                    <w:rPr>
                      <w:rFonts w:hint="default" w:ascii="Times New Roman" w:hAnsi="Times New Roman" w:eastAsia="宋体" w:cs="Times New Roman"/>
                      <w:color w:val="000000" w:themeColor="text1"/>
                      <w:sz w:val="21"/>
                      <w:szCs w:val="21"/>
                      <w:lang w:val="en-US" w:eastAsia="zh-CN"/>
                    </w:rPr>
                    <w:t>50</w:t>
                  </w:r>
                </w:p>
              </w:tc>
              <w:tc>
                <w:tcPr>
                  <w:tcW w:w="1019" w:type="dxa"/>
                  <w:noWrap w:val="0"/>
                  <w:vAlign w:val="center"/>
                </w:tcPr>
                <w:p w14:paraId="5504251E">
                  <w:pPr>
                    <w:widowControl/>
                    <w:adjustRightInd w:val="0"/>
                    <w:jc w:val="center"/>
                    <w:textAlignment w:val="baseline"/>
                    <w:rPr>
                      <w:rFonts w:hint="default" w:ascii="Times New Roman" w:hAnsi="Times New Roman" w:eastAsia="宋体" w:cs="Times New Roman"/>
                      <w:color w:val="000000" w:themeColor="text1"/>
                      <w:sz w:val="21"/>
                      <w:szCs w:val="21"/>
                      <w:lang w:val="en-US" w:eastAsia="zh-CN"/>
                    </w:rPr>
                  </w:pPr>
                  <w:r>
                    <w:rPr>
                      <w:rFonts w:hint="default" w:ascii="Times New Roman" w:hAnsi="Times New Roman" w:eastAsia="宋体" w:cs="Times New Roman"/>
                      <w:color w:val="000000" w:themeColor="text1"/>
                      <w:sz w:val="21"/>
                      <w:szCs w:val="21"/>
                      <w:lang w:val="en-US" w:eastAsia="zh-CN"/>
                    </w:rPr>
                    <w:t>0.0</w:t>
                  </w:r>
                  <w:r>
                    <w:rPr>
                      <w:rFonts w:hint="eastAsia" w:ascii="Times New Roman" w:hAnsi="Times New Roman" w:eastAsia="宋体" w:cs="Times New Roman"/>
                      <w:color w:val="000000" w:themeColor="text1"/>
                      <w:sz w:val="21"/>
                      <w:szCs w:val="21"/>
                      <w:lang w:val="en-US" w:eastAsia="zh-CN"/>
                    </w:rPr>
                    <w:t>1</w:t>
                  </w:r>
                  <w:r>
                    <w:rPr>
                      <w:rFonts w:hint="eastAsia" w:cs="Times New Roman"/>
                      <w:color w:val="000000" w:themeColor="text1"/>
                      <w:sz w:val="21"/>
                      <w:szCs w:val="21"/>
                      <w:lang w:val="en-US" w:eastAsia="zh-CN"/>
                    </w:rPr>
                    <w:t>8</w:t>
                  </w:r>
                </w:p>
              </w:tc>
            </w:tr>
            <w:tr w14:paraId="42EA85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6" w:hRule="atLeast"/>
                <w:jc w:val="center"/>
              </w:trPr>
              <w:tc>
                <w:tcPr>
                  <w:tcW w:w="574" w:type="dxa"/>
                  <w:vMerge w:val="continue"/>
                  <w:noWrap w:val="0"/>
                  <w:vAlign w:val="center"/>
                </w:tcPr>
                <w:p w14:paraId="27841E09">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683" w:type="dxa"/>
                  <w:vMerge w:val="continue"/>
                  <w:noWrap w:val="0"/>
                  <w:vAlign w:val="center"/>
                </w:tcPr>
                <w:p w14:paraId="0BDFF99D">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989" w:type="dxa"/>
                  <w:noWrap w:val="0"/>
                  <w:vAlign w:val="center"/>
                </w:tcPr>
                <w:p w14:paraId="0017BC3E">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BOD</w:t>
                  </w:r>
                  <w:r>
                    <w:rPr>
                      <w:rFonts w:hint="default" w:ascii="Times New Roman" w:hAnsi="Times New Roman" w:eastAsia="宋体" w:cs="Times New Roman"/>
                      <w:color w:val="000000" w:themeColor="text1"/>
                      <w:sz w:val="21"/>
                      <w:szCs w:val="21"/>
                      <w:vertAlign w:val="subscript"/>
                    </w:rPr>
                    <w:t>5</w:t>
                  </w:r>
                </w:p>
              </w:tc>
              <w:tc>
                <w:tcPr>
                  <w:tcW w:w="895" w:type="dxa"/>
                  <w:vMerge w:val="continue"/>
                  <w:noWrap w:val="0"/>
                  <w:vAlign w:val="center"/>
                </w:tcPr>
                <w:p w14:paraId="22E6D0B6">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768" w:type="dxa"/>
                  <w:noWrap w:val="0"/>
                  <w:vAlign w:val="center"/>
                </w:tcPr>
                <w:p w14:paraId="4B16C204">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162</w:t>
                  </w:r>
                </w:p>
              </w:tc>
              <w:tc>
                <w:tcPr>
                  <w:tcW w:w="772" w:type="dxa"/>
                  <w:noWrap w:val="0"/>
                  <w:vAlign w:val="center"/>
                </w:tcPr>
                <w:p w14:paraId="62FB0CDA">
                  <w:pPr>
                    <w:widowControl/>
                    <w:adjustRightInd w:val="0"/>
                    <w:jc w:val="center"/>
                    <w:textAlignment w:val="baseline"/>
                    <w:rPr>
                      <w:rFonts w:hint="default" w:ascii="Times New Roman" w:hAnsi="Times New Roman" w:eastAsia="宋体" w:cs="Times New Roman"/>
                      <w:color w:val="000000" w:themeColor="text1"/>
                      <w:sz w:val="21"/>
                      <w:szCs w:val="21"/>
                      <w:lang w:val="en-US" w:eastAsia="zh-CN"/>
                    </w:rPr>
                  </w:pPr>
                  <w:r>
                    <w:rPr>
                      <w:rFonts w:hint="default" w:ascii="Times New Roman" w:hAnsi="Times New Roman" w:eastAsia="宋体" w:cs="Times New Roman"/>
                      <w:color w:val="000000" w:themeColor="text1"/>
                      <w:sz w:val="21"/>
                      <w:szCs w:val="21"/>
                    </w:rPr>
                    <w:t>0.</w:t>
                  </w:r>
                  <w:r>
                    <w:rPr>
                      <w:rFonts w:hint="eastAsia" w:cs="Times New Roman"/>
                      <w:color w:val="000000" w:themeColor="text1"/>
                      <w:sz w:val="21"/>
                      <w:szCs w:val="21"/>
                      <w:lang w:val="en-US" w:eastAsia="zh-CN"/>
                    </w:rPr>
                    <w:t>057</w:t>
                  </w:r>
                </w:p>
              </w:tc>
              <w:tc>
                <w:tcPr>
                  <w:tcW w:w="674" w:type="dxa"/>
                  <w:vMerge w:val="continue"/>
                  <w:noWrap w:val="0"/>
                  <w:vAlign w:val="center"/>
                </w:tcPr>
                <w:p w14:paraId="17526AA2">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616" w:type="dxa"/>
                  <w:vMerge w:val="continue"/>
                  <w:noWrap w:val="0"/>
                  <w:vAlign w:val="center"/>
                </w:tcPr>
                <w:p w14:paraId="5F7A72D7">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1019" w:type="dxa"/>
                  <w:vMerge w:val="continue"/>
                  <w:noWrap w:val="0"/>
                  <w:vAlign w:val="center"/>
                </w:tcPr>
                <w:p w14:paraId="0DA3A436">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1019" w:type="dxa"/>
                  <w:noWrap w:val="0"/>
                  <w:vAlign w:val="center"/>
                </w:tcPr>
                <w:p w14:paraId="5D287A4A">
                  <w:pPr>
                    <w:widowControl/>
                    <w:adjustRightInd w:val="0"/>
                    <w:jc w:val="center"/>
                    <w:textAlignment w:val="baseline"/>
                    <w:rPr>
                      <w:rFonts w:hint="default" w:ascii="Times New Roman" w:hAnsi="Times New Roman" w:eastAsia="宋体" w:cs="Times New Roman"/>
                      <w:color w:val="000000" w:themeColor="text1"/>
                      <w:sz w:val="21"/>
                      <w:szCs w:val="21"/>
                      <w:lang w:val="en-US" w:eastAsia="zh-CN"/>
                    </w:rPr>
                  </w:pPr>
                  <w:r>
                    <w:rPr>
                      <w:rFonts w:hint="default" w:ascii="Times New Roman" w:hAnsi="Times New Roman" w:eastAsia="宋体" w:cs="Times New Roman"/>
                      <w:color w:val="000000" w:themeColor="text1"/>
                      <w:sz w:val="21"/>
                      <w:szCs w:val="21"/>
                      <w:lang w:val="en-US" w:eastAsia="zh-CN"/>
                    </w:rPr>
                    <w:t>10</w:t>
                  </w:r>
                </w:p>
              </w:tc>
              <w:tc>
                <w:tcPr>
                  <w:tcW w:w="1019" w:type="dxa"/>
                  <w:noWrap w:val="0"/>
                  <w:vAlign w:val="center"/>
                </w:tcPr>
                <w:p w14:paraId="0165C1A4">
                  <w:pPr>
                    <w:widowControl/>
                    <w:adjustRightInd w:val="0"/>
                    <w:jc w:val="center"/>
                    <w:textAlignment w:val="baseline"/>
                    <w:rPr>
                      <w:rFonts w:hint="default" w:ascii="Times New Roman" w:hAnsi="Times New Roman" w:eastAsia="宋体" w:cs="Times New Roman"/>
                      <w:color w:val="000000" w:themeColor="text1"/>
                      <w:sz w:val="21"/>
                      <w:szCs w:val="21"/>
                      <w:lang w:val="en-US" w:eastAsia="zh-CN"/>
                    </w:rPr>
                  </w:pPr>
                  <w:r>
                    <w:rPr>
                      <w:rFonts w:hint="default" w:ascii="Times New Roman" w:hAnsi="Times New Roman" w:eastAsia="宋体" w:cs="Times New Roman"/>
                      <w:color w:val="000000" w:themeColor="text1"/>
                      <w:sz w:val="21"/>
                      <w:szCs w:val="21"/>
                      <w:lang w:val="en-US" w:eastAsia="zh-CN"/>
                    </w:rPr>
                    <w:t>0.00</w:t>
                  </w:r>
                  <w:r>
                    <w:rPr>
                      <w:rFonts w:hint="eastAsia" w:cs="Times New Roman"/>
                      <w:color w:val="000000" w:themeColor="text1"/>
                      <w:sz w:val="21"/>
                      <w:szCs w:val="21"/>
                      <w:lang w:val="en-US" w:eastAsia="zh-CN"/>
                    </w:rPr>
                    <w:t>4</w:t>
                  </w:r>
                </w:p>
              </w:tc>
            </w:tr>
            <w:tr w14:paraId="0B184F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574" w:type="dxa"/>
                  <w:vMerge w:val="continue"/>
                  <w:noWrap w:val="0"/>
                  <w:vAlign w:val="center"/>
                </w:tcPr>
                <w:p w14:paraId="634951DE">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683" w:type="dxa"/>
                  <w:vMerge w:val="continue"/>
                  <w:noWrap w:val="0"/>
                  <w:vAlign w:val="center"/>
                </w:tcPr>
                <w:p w14:paraId="7AA08162">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989" w:type="dxa"/>
                  <w:noWrap w:val="0"/>
                  <w:vAlign w:val="center"/>
                </w:tcPr>
                <w:p w14:paraId="22C98827">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SS</w:t>
                  </w:r>
                </w:p>
              </w:tc>
              <w:tc>
                <w:tcPr>
                  <w:tcW w:w="895" w:type="dxa"/>
                  <w:vMerge w:val="continue"/>
                  <w:noWrap w:val="0"/>
                  <w:vAlign w:val="center"/>
                </w:tcPr>
                <w:p w14:paraId="5955D23A">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768" w:type="dxa"/>
                  <w:noWrap w:val="0"/>
                  <w:vAlign w:val="center"/>
                </w:tcPr>
                <w:p w14:paraId="24082E37">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140</w:t>
                  </w:r>
                </w:p>
              </w:tc>
              <w:tc>
                <w:tcPr>
                  <w:tcW w:w="772" w:type="dxa"/>
                  <w:noWrap w:val="0"/>
                  <w:vAlign w:val="center"/>
                </w:tcPr>
                <w:p w14:paraId="6B0D93D0">
                  <w:pPr>
                    <w:widowControl/>
                    <w:adjustRightInd w:val="0"/>
                    <w:jc w:val="center"/>
                    <w:textAlignment w:val="baseline"/>
                    <w:rPr>
                      <w:rFonts w:hint="default" w:ascii="Times New Roman" w:hAnsi="Times New Roman" w:eastAsia="宋体" w:cs="Times New Roman"/>
                      <w:color w:val="000000" w:themeColor="text1"/>
                      <w:sz w:val="21"/>
                      <w:szCs w:val="21"/>
                      <w:lang w:val="en-US" w:eastAsia="zh-CN"/>
                    </w:rPr>
                  </w:pPr>
                  <w:r>
                    <w:rPr>
                      <w:rFonts w:hint="default" w:ascii="Times New Roman" w:hAnsi="Times New Roman" w:eastAsia="宋体" w:cs="Times New Roman"/>
                      <w:color w:val="000000" w:themeColor="text1"/>
                      <w:sz w:val="21"/>
                      <w:szCs w:val="21"/>
                    </w:rPr>
                    <w:t>0.</w:t>
                  </w:r>
                  <w:r>
                    <w:rPr>
                      <w:rFonts w:hint="eastAsia" w:ascii="Times New Roman" w:hAnsi="Times New Roman" w:eastAsia="宋体" w:cs="Times New Roman"/>
                      <w:color w:val="000000" w:themeColor="text1"/>
                      <w:sz w:val="21"/>
                      <w:szCs w:val="21"/>
                      <w:lang w:val="en-US" w:eastAsia="zh-CN"/>
                    </w:rPr>
                    <w:t>04</w:t>
                  </w:r>
                  <w:r>
                    <w:rPr>
                      <w:rFonts w:hint="eastAsia" w:cs="Times New Roman"/>
                      <w:color w:val="000000" w:themeColor="text1"/>
                      <w:sz w:val="21"/>
                      <w:szCs w:val="21"/>
                      <w:lang w:val="en-US" w:eastAsia="zh-CN"/>
                    </w:rPr>
                    <w:t>9</w:t>
                  </w:r>
                </w:p>
              </w:tc>
              <w:tc>
                <w:tcPr>
                  <w:tcW w:w="674" w:type="dxa"/>
                  <w:vMerge w:val="continue"/>
                  <w:noWrap w:val="0"/>
                  <w:vAlign w:val="center"/>
                </w:tcPr>
                <w:p w14:paraId="01B60CE1">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616" w:type="dxa"/>
                  <w:vMerge w:val="continue"/>
                  <w:noWrap w:val="0"/>
                  <w:vAlign w:val="center"/>
                </w:tcPr>
                <w:p w14:paraId="4E0BBA9A">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1019" w:type="dxa"/>
                  <w:vMerge w:val="continue"/>
                  <w:noWrap w:val="0"/>
                  <w:vAlign w:val="center"/>
                </w:tcPr>
                <w:p w14:paraId="0D2A5C98">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1019" w:type="dxa"/>
                  <w:noWrap w:val="0"/>
                  <w:vAlign w:val="center"/>
                </w:tcPr>
                <w:p w14:paraId="54F8D25E">
                  <w:pPr>
                    <w:widowControl/>
                    <w:adjustRightInd w:val="0"/>
                    <w:jc w:val="center"/>
                    <w:textAlignment w:val="baseline"/>
                    <w:rPr>
                      <w:rFonts w:hint="default" w:ascii="Times New Roman" w:hAnsi="Times New Roman" w:eastAsia="宋体" w:cs="Times New Roman"/>
                      <w:color w:val="000000" w:themeColor="text1"/>
                      <w:sz w:val="21"/>
                      <w:szCs w:val="21"/>
                      <w:lang w:val="en-US" w:eastAsia="zh-CN"/>
                    </w:rPr>
                  </w:pPr>
                  <w:r>
                    <w:rPr>
                      <w:rFonts w:hint="default" w:ascii="Times New Roman" w:hAnsi="Times New Roman" w:eastAsia="宋体" w:cs="Times New Roman"/>
                      <w:color w:val="000000" w:themeColor="text1"/>
                      <w:sz w:val="21"/>
                      <w:szCs w:val="21"/>
                      <w:lang w:val="en-US" w:eastAsia="zh-CN"/>
                    </w:rPr>
                    <w:t>10</w:t>
                  </w:r>
                </w:p>
              </w:tc>
              <w:tc>
                <w:tcPr>
                  <w:tcW w:w="1019" w:type="dxa"/>
                  <w:noWrap w:val="0"/>
                  <w:vAlign w:val="center"/>
                </w:tcPr>
                <w:p w14:paraId="1E4BABF9">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lang w:val="en-US" w:eastAsia="zh-CN"/>
                    </w:rPr>
                    <w:t>0.00</w:t>
                  </w:r>
                  <w:r>
                    <w:rPr>
                      <w:rFonts w:hint="eastAsia" w:cs="Times New Roman"/>
                      <w:color w:val="000000" w:themeColor="text1"/>
                      <w:sz w:val="21"/>
                      <w:szCs w:val="21"/>
                      <w:lang w:val="en-US" w:eastAsia="zh-CN"/>
                    </w:rPr>
                    <w:t>4</w:t>
                  </w:r>
                </w:p>
              </w:tc>
            </w:tr>
            <w:tr w14:paraId="1CF40B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74" w:type="dxa"/>
                  <w:vMerge w:val="continue"/>
                  <w:noWrap w:val="0"/>
                  <w:vAlign w:val="center"/>
                </w:tcPr>
                <w:p w14:paraId="36164E9B">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683" w:type="dxa"/>
                  <w:vMerge w:val="continue"/>
                  <w:noWrap w:val="0"/>
                  <w:vAlign w:val="center"/>
                </w:tcPr>
                <w:p w14:paraId="53B1A93C">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989" w:type="dxa"/>
                  <w:noWrap w:val="0"/>
                  <w:vAlign w:val="center"/>
                </w:tcPr>
                <w:p w14:paraId="35C2EBF1">
                  <w:pPr>
                    <w:widowControl/>
                    <w:adjustRightInd w:val="0"/>
                    <w:jc w:val="center"/>
                    <w:textAlignment w:val="baseline"/>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氨氮</w:t>
                  </w:r>
                </w:p>
              </w:tc>
              <w:tc>
                <w:tcPr>
                  <w:tcW w:w="895" w:type="dxa"/>
                  <w:vMerge w:val="continue"/>
                  <w:noWrap w:val="0"/>
                  <w:vAlign w:val="center"/>
                </w:tcPr>
                <w:p w14:paraId="404AC88D">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768" w:type="dxa"/>
                  <w:noWrap w:val="0"/>
                  <w:vAlign w:val="center"/>
                </w:tcPr>
                <w:p w14:paraId="69DB3758">
                  <w:pPr>
                    <w:widowControl/>
                    <w:adjustRightInd w:val="0"/>
                    <w:jc w:val="center"/>
                    <w:textAlignment w:val="baseline"/>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30</w:t>
                  </w:r>
                </w:p>
              </w:tc>
              <w:tc>
                <w:tcPr>
                  <w:tcW w:w="772" w:type="dxa"/>
                  <w:noWrap w:val="0"/>
                  <w:vAlign w:val="center"/>
                </w:tcPr>
                <w:p w14:paraId="1F0A7A2A">
                  <w:pPr>
                    <w:widowControl/>
                    <w:adjustRightInd w:val="0"/>
                    <w:jc w:val="center"/>
                    <w:textAlignment w:val="baseline"/>
                    <w:rPr>
                      <w:rFonts w:hint="default" w:ascii="Times New Roman" w:hAnsi="Times New Roman" w:eastAsia="宋体" w:cs="Times New Roman"/>
                      <w:color w:val="000000" w:themeColor="text1"/>
                      <w:sz w:val="21"/>
                      <w:szCs w:val="21"/>
                      <w:lang w:val="en-US" w:eastAsia="zh-CN"/>
                    </w:rPr>
                  </w:pPr>
                  <w:r>
                    <w:rPr>
                      <w:rFonts w:hint="default" w:ascii="Times New Roman" w:hAnsi="Times New Roman" w:eastAsia="宋体" w:cs="Times New Roman"/>
                      <w:color w:val="000000" w:themeColor="text1"/>
                      <w:sz w:val="21"/>
                      <w:szCs w:val="21"/>
                    </w:rPr>
                    <w:t>0.0</w:t>
                  </w:r>
                  <w:r>
                    <w:rPr>
                      <w:rFonts w:hint="eastAsia" w:cs="Times New Roman"/>
                      <w:color w:val="000000" w:themeColor="text1"/>
                      <w:sz w:val="21"/>
                      <w:szCs w:val="21"/>
                      <w:lang w:val="en-US" w:eastAsia="zh-CN"/>
                    </w:rPr>
                    <w:t>1</w:t>
                  </w:r>
                </w:p>
              </w:tc>
              <w:tc>
                <w:tcPr>
                  <w:tcW w:w="674" w:type="dxa"/>
                  <w:vMerge w:val="continue"/>
                  <w:noWrap w:val="0"/>
                  <w:vAlign w:val="center"/>
                </w:tcPr>
                <w:p w14:paraId="6C1EABFD">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616" w:type="dxa"/>
                  <w:vMerge w:val="continue"/>
                  <w:noWrap w:val="0"/>
                  <w:vAlign w:val="center"/>
                </w:tcPr>
                <w:p w14:paraId="431CFB49">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1019" w:type="dxa"/>
                  <w:vMerge w:val="continue"/>
                  <w:noWrap w:val="0"/>
                  <w:vAlign w:val="center"/>
                </w:tcPr>
                <w:p w14:paraId="1B78AE2C">
                  <w:pPr>
                    <w:widowControl/>
                    <w:adjustRightInd w:val="0"/>
                    <w:jc w:val="center"/>
                    <w:textAlignment w:val="baseline"/>
                    <w:rPr>
                      <w:rFonts w:hint="default" w:ascii="Times New Roman" w:hAnsi="Times New Roman" w:eastAsia="宋体" w:cs="Times New Roman"/>
                      <w:color w:val="000000" w:themeColor="text1"/>
                      <w:sz w:val="21"/>
                      <w:szCs w:val="21"/>
                    </w:rPr>
                  </w:pPr>
                </w:p>
              </w:tc>
              <w:tc>
                <w:tcPr>
                  <w:tcW w:w="1019" w:type="dxa"/>
                  <w:noWrap w:val="0"/>
                  <w:vAlign w:val="center"/>
                </w:tcPr>
                <w:p w14:paraId="0C2E02A8">
                  <w:pPr>
                    <w:widowControl/>
                    <w:adjustRightInd w:val="0"/>
                    <w:jc w:val="center"/>
                    <w:textAlignment w:val="baseline"/>
                    <w:rPr>
                      <w:rFonts w:hint="default" w:ascii="Times New Roman" w:hAnsi="Times New Roman" w:eastAsia="宋体" w:cs="Times New Roman"/>
                      <w:color w:val="000000" w:themeColor="text1"/>
                      <w:sz w:val="21"/>
                      <w:szCs w:val="21"/>
                      <w:lang w:val="en-US" w:eastAsia="zh-CN"/>
                    </w:rPr>
                  </w:pPr>
                  <w:r>
                    <w:rPr>
                      <w:rFonts w:hint="default" w:ascii="Times New Roman" w:hAnsi="Times New Roman" w:eastAsia="宋体" w:cs="Times New Roman"/>
                      <w:color w:val="000000" w:themeColor="text1"/>
                      <w:sz w:val="21"/>
                      <w:szCs w:val="21"/>
                      <w:lang w:val="en-US" w:eastAsia="zh-CN"/>
                    </w:rPr>
                    <w:t>5</w:t>
                  </w:r>
                </w:p>
              </w:tc>
              <w:tc>
                <w:tcPr>
                  <w:tcW w:w="1019" w:type="dxa"/>
                  <w:noWrap w:val="0"/>
                  <w:vAlign w:val="center"/>
                </w:tcPr>
                <w:p w14:paraId="737D6AF1">
                  <w:pPr>
                    <w:widowControl/>
                    <w:adjustRightInd w:val="0"/>
                    <w:jc w:val="center"/>
                    <w:textAlignment w:val="baseline"/>
                    <w:rPr>
                      <w:rFonts w:hint="default" w:ascii="Times New Roman" w:hAnsi="Times New Roman" w:eastAsia="宋体" w:cs="Times New Roman"/>
                      <w:color w:val="000000" w:themeColor="text1"/>
                      <w:sz w:val="21"/>
                      <w:szCs w:val="21"/>
                      <w:lang w:val="en-US" w:eastAsia="zh-CN"/>
                    </w:rPr>
                  </w:pPr>
                  <w:r>
                    <w:rPr>
                      <w:rFonts w:hint="default" w:ascii="Times New Roman" w:hAnsi="Times New Roman" w:eastAsia="宋体" w:cs="Times New Roman"/>
                      <w:color w:val="000000" w:themeColor="text1"/>
                      <w:sz w:val="21"/>
                      <w:szCs w:val="21"/>
                      <w:lang w:val="en-US" w:eastAsia="zh-CN"/>
                    </w:rPr>
                    <w:t>0.00</w:t>
                  </w:r>
                  <w:r>
                    <w:rPr>
                      <w:rFonts w:hint="eastAsia" w:cs="Times New Roman"/>
                      <w:color w:val="000000" w:themeColor="text1"/>
                      <w:sz w:val="21"/>
                      <w:szCs w:val="21"/>
                      <w:lang w:val="en-US" w:eastAsia="zh-CN"/>
                    </w:rPr>
                    <w:t>2</w:t>
                  </w:r>
                </w:p>
              </w:tc>
            </w:tr>
          </w:tbl>
          <w:p w14:paraId="488302C3">
            <w:pPr>
              <w:spacing w:line="360" w:lineRule="auto"/>
              <w:ind w:firstLine="480" w:firstLineChars="200"/>
              <w:rPr>
                <w:rFonts w:hint="default" w:ascii="Times New Roman" w:hAnsi="Times New Roman" w:eastAsia="宋体" w:cs="Times New Roman"/>
                <w:color w:val="000000" w:themeColor="text1"/>
                <w:sz w:val="24"/>
                <w:szCs w:val="24"/>
              </w:rPr>
            </w:pPr>
            <w:r>
              <w:rPr>
                <w:rFonts w:hint="default" w:ascii="Times New Roman" w:hAnsi="Times New Roman" w:eastAsia="宋体" w:cs="Times New Roman"/>
                <w:color w:val="000000" w:themeColor="text1"/>
                <w:sz w:val="24"/>
                <w:szCs w:val="24"/>
              </w:rPr>
              <w:t>（3）废水排放口情况</w:t>
            </w:r>
          </w:p>
          <w:p w14:paraId="396327CD">
            <w:pPr>
              <w:spacing w:line="360" w:lineRule="auto"/>
              <w:ind w:firstLine="480" w:firstLineChars="200"/>
              <w:rPr>
                <w:rFonts w:hint="default" w:ascii="Times New Roman" w:hAnsi="Times New Roman" w:eastAsia="宋体" w:cs="Times New Roman"/>
                <w:color w:val="000000" w:themeColor="text1"/>
                <w:sz w:val="24"/>
                <w:szCs w:val="24"/>
              </w:rPr>
            </w:pPr>
            <w:r>
              <w:rPr>
                <w:rFonts w:hint="default" w:ascii="Times New Roman" w:hAnsi="Times New Roman" w:eastAsia="宋体" w:cs="Times New Roman"/>
                <w:color w:val="000000" w:themeColor="text1"/>
                <w:sz w:val="24"/>
                <w:szCs w:val="24"/>
              </w:rPr>
              <w:t>本项目废水排放口情况如下表所示。</w:t>
            </w:r>
          </w:p>
          <w:p w14:paraId="5B25676F">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textAlignment w:val="auto"/>
              <w:rPr>
                <w:rFonts w:hint="default" w:ascii="Times New Roman" w:hAnsi="Times New Roman" w:eastAsia="宋体" w:cs="Times New Roman"/>
                <w:b/>
                <w:bCs/>
                <w:color w:val="000000" w:themeColor="text1"/>
                <w:sz w:val="24"/>
                <w:szCs w:val="24"/>
              </w:rPr>
            </w:pPr>
            <w:r>
              <w:rPr>
                <w:rFonts w:hint="default" w:ascii="Times New Roman" w:hAnsi="Times New Roman" w:eastAsia="宋体" w:cs="Times New Roman"/>
                <w:b/>
                <w:bCs/>
                <w:color w:val="000000" w:themeColor="text1"/>
                <w:sz w:val="24"/>
                <w:szCs w:val="24"/>
              </w:rPr>
              <w:t>表4-</w:t>
            </w:r>
            <w:r>
              <w:rPr>
                <w:rFonts w:hint="eastAsia" w:ascii="Times New Roman" w:hAnsi="Times New Roman" w:eastAsia="宋体" w:cs="Times New Roman"/>
                <w:b/>
                <w:bCs/>
                <w:color w:val="000000" w:themeColor="text1"/>
                <w:sz w:val="24"/>
                <w:szCs w:val="24"/>
                <w:lang w:val="en-US" w:eastAsia="zh-CN"/>
              </w:rPr>
              <w:t>11</w:t>
            </w:r>
            <w:r>
              <w:rPr>
                <w:rFonts w:hint="default" w:ascii="Times New Roman" w:hAnsi="Times New Roman" w:eastAsia="宋体" w:cs="Times New Roman"/>
                <w:b/>
                <w:bCs/>
                <w:color w:val="000000" w:themeColor="text1"/>
                <w:sz w:val="24"/>
                <w:szCs w:val="24"/>
              </w:rPr>
              <w:t xml:space="preserve">  本项目废水排放口设置情况一览表</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1"/>
              <w:gridCol w:w="983"/>
              <w:gridCol w:w="493"/>
              <w:gridCol w:w="494"/>
              <w:gridCol w:w="1547"/>
              <w:gridCol w:w="1434"/>
              <w:gridCol w:w="1426"/>
              <w:gridCol w:w="803"/>
              <w:gridCol w:w="838"/>
            </w:tblGrid>
            <w:tr w14:paraId="7C75CE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5" w:type="dxa"/>
                  <w:vMerge w:val="restart"/>
                  <w:noWrap w:val="0"/>
                  <w:vAlign w:val="center"/>
                </w:tcPr>
                <w:p w14:paraId="5F73CB90">
                  <w:pPr>
                    <w:widowControl/>
                    <w:adjustRightInd w:val="0"/>
                    <w:jc w:val="center"/>
                    <w:textAlignment w:val="baseline"/>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序号</w:t>
                  </w:r>
                </w:p>
              </w:tc>
              <w:tc>
                <w:tcPr>
                  <w:tcW w:w="1008" w:type="dxa"/>
                  <w:vMerge w:val="restart"/>
                  <w:noWrap w:val="0"/>
                  <w:vAlign w:val="center"/>
                </w:tcPr>
                <w:p w14:paraId="3391F191">
                  <w:pPr>
                    <w:widowControl/>
                    <w:adjustRightInd w:val="0"/>
                    <w:jc w:val="center"/>
                    <w:textAlignment w:val="baseline"/>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排放口编号</w:t>
                  </w:r>
                </w:p>
              </w:tc>
              <w:tc>
                <w:tcPr>
                  <w:tcW w:w="509" w:type="dxa"/>
                  <w:vMerge w:val="restart"/>
                  <w:noWrap w:val="0"/>
                  <w:vAlign w:val="center"/>
                </w:tcPr>
                <w:p w14:paraId="2CF445A9">
                  <w:pPr>
                    <w:widowControl/>
                    <w:adjustRightInd w:val="0"/>
                    <w:jc w:val="center"/>
                    <w:textAlignment w:val="baseline"/>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排放口名称</w:t>
                  </w:r>
                </w:p>
              </w:tc>
              <w:tc>
                <w:tcPr>
                  <w:tcW w:w="510" w:type="dxa"/>
                  <w:vMerge w:val="restart"/>
                  <w:noWrap w:val="0"/>
                  <w:vAlign w:val="center"/>
                </w:tcPr>
                <w:p w14:paraId="57461AF2">
                  <w:pPr>
                    <w:widowControl/>
                    <w:adjustRightInd w:val="0"/>
                    <w:jc w:val="center"/>
                    <w:textAlignment w:val="baseline"/>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排放口类型</w:t>
                  </w:r>
                </w:p>
              </w:tc>
              <w:tc>
                <w:tcPr>
                  <w:tcW w:w="3153" w:type="dxa"/>
                  <w:gridSpan w:val="2"/>
                  <w:noWrap w:val="0"/>
                  <w:vAlign w:val="center"/>
                </w:tcPr>
                <w:p w14:paraId="7585FC03">
                  <w:pPr>
                    <w:widowControl/>
                    <w:adjustRightInd w:val="0"/>
                    <w:jc w:val="center"/>
                    <w:textAlignment w:val="baseline"/>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排放口地理位置</w:t>
                  </w:r>
                </w:p>
              </w:tc>
              <w:tc>
                <w:tcPr>
                  <w:tcW w:w="3402" w:type="dxa"/>
                  <w:gridSpan w:val="3"/>
                  <w:noWrap w:val="0"/>
                  <w:vAlign w:val="center"/>
                </w:tcPr>
                <w:p w14:paraId="61F7EE41">
                  <w:pPr>
                    <w:widowControl/>
                    <w:adjustRightInd w:val="0"/>
                    <w:jc w:val="center"/>
                    <w:textAlignment w:val="baseline"/>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排放标准</w:t>
                  </w:r>
                </w:p>
              </w:tc>
            </w:tr>
            <w:tr w14:paraId="062B9E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5" w:type="dxa"/>
                  <w:vMerge w:val="continue"/>
                  <w:noWrap w:val="0"/>
                  <w:vAlign w:val="center"/>
                </w:tcPr>
                <w:p w14:paraId="05AF0FCE">
                  <w:pPr>
                    <w:widowControl/>
                    <w:adjustRightInd w:val="0"/>
                    <w:jc w:val="center"/>
                    <w:textAlignment w:val="baseline"/>
                    <w:rPr>
                      <w:rFonts w:hint="default" w:ascii="Times New Roman" w:hAnsi="Times New Roman" w:cs="Times New Roman"/>
                      <w:color w:val="000000" w:themeColor="text1"/>
                      <w:sz w:val="21"/>
                      <w:szCs w:val="21"/>
                    </w:rPr>
                  </w:pPr>
                </w:p>
              </w:tc>
              <w:tc>
                <w:tcPr>
                  <w:tcW w:w="1008" w:type="dxa"/>
                  <w:vMerge w:val="continue"/>
                  <w:noWrap w:val="0"/>
                  <w:vAlign w:val="center"/>
                </w:tcPr>
                <w:p w14:paraId="28175C98">
                  <w:pPr>
                    <w:widowControl/>
                    <w:adjustRightInd w:val="0"/>
                    <w:jc w:val="center"/>
                    <w:textAlignment w:val="baseline"/>
                    <w:rPr>
                      <w:rFonts w:hint="default" w:ascii="Times New Roman" w:hAnsi="Times New Roman" w:cs="Times New Roman"/>
                      <w:color w:val="000000" w:themeColor="text1"/>
                      <w:sz w:val="21"/>
                      <w:szCs w:val="21"/>
                    </w:rPr>
                  </w:pPr>
                </w:p>
              </w:tc>
              <w:tc>
                <w:tcPr>
                  <w:tcW w:w="509" w:type="dxa"/>
                  <w:vMerge w:val="continue"/>
                  <w:noWrap w:val="0"/>
                  <w:vAlign w:val="center"/>
                </w:tcPr>
                <w:p w14:paraId="4DC31B99">
                  <w:pPr>
                    <w:widowControl/>
                    <w:adjustRightInd w:val="0"/>
                    <w:jc w:val="center"/>
                    <w:textAlignment w:val="baseline"/>
                    <w:rPr>
                      <w:rFonts w:hint="default" w:ascii="Times New Roman" w:hAnsi="Times New Roman" w:cs="Times New Roman"/>
                      <w:color w:val="000000" w:themeColor="text1"/>
                      <w:sz w:val="21"/>
                      <w:szCs w:val="21"/>
                    </w:rPr>
                  </w:pPr>
                </w:p>
              </w:tc>
              <w:tc>
                <w:tcPr>
                  <w:tcW w:w="510" w:type="dxa"/>
                  <w:vMerge w:val="continue"/>
                  <w:noWrap w:val="0"/>
                  <w:vAlign w:val="center"/>
                </w:tcPr>
                <w:p w14:paraId="1C5A4F52">
                  <w:pPr>
                    <w:widowControl/>
                    <w:adjustRightInd w:val="0"/>
                    <w:jc w:val="center"/>
                    <w:textAlignment w:val="baseline"/>
                    <w:rPr>
                      <w:rFonts w:hint="default" w:ascii="Times New Roman" w:hAnsi="Times New Roman" w:cs="Times New Roman"/>
                      <w:color w:val="000000" w:themeColor="text1"/>
                      <w:sz w:val="21"/>
                      <w:szCs w:val="21"/>
                    </w:rPr>
                  </w:pPr>
                </w:p>
              </w:tc>
              <w:tc>
                <w:tcPr>
                  <w:tcW w:w="1635" w:type="dxa"/>
                  <w:noWrap w:val="0"/>
                  <w:vAlign w:val="center"/>
                </w:tcPr>
                <w:p w14:paraId="228A795E">
                  <w:pPr>
                    <w:widowControl/>
                    <w:adjustRightInd w:val="0"/>
                    <w:jc w:val="center"/>
                    <w:textAlignment w:val="baseline"/>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经度</w:t>
                  </w:r>
                </w:p>
              </w:tc>
              <w:tc>
                <w:tcPr>
                  <w:tcW w:w="1518" w:type="dxa"/>
                  <w:noWrap w:val="0"/>
                  <w:vAlign w:val="center"/>
                </w:tcPr>
                <w:p w14:paraId="27806049">
                  <w:pPr>
                    <w:widowControl/>
                    <w:adjustRightInd w:val="0"/>
                    <w:jc w:val="center"/>
                    <w:textAlignment w:val="baseline"/>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纬度</w:t>
                  </w:r>
                </w:p>
              </w:tc>
              <w:tc>
                <w:tcPr>
                  <w:tcW w:w="1669" w:type="dxa"/>
                  <w:noWrap w:val="0"/>
                  <w:vAlign w:val="center"/>
                </w:tcPr>
                <w:p w14:paraId="0BB2A969">
                  <w:pPr>
                    <w:widowControl/>
                    <w:adjustRightInd w:val="0"/>
                    <w:jc w:val="center"/>
                    <w:textAlignment w:val="baseline"/>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标准名称</w:t>
                  </w:r>
                </w:p>
              </w:tc>
              <w:tc>
                <w:tcPr>
                  <w:tcW w:w="1733" w:type="dxa"/>
                  <w:gridSpan w:val="2"/>
                  <w:noWrap w:val="0"/>
                  <w:vAlign w:val="center"/>
                </w:tcPr>
                <w:p w14:paraId="24A8EE16">
                  <w:pPr>
                    <w:widowControl/>
                    <w:adjustRightInd w:val="0"/>
                    <w:jc w:val="center"/>
                    <w:textAlignment w:val="baseline"/>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浓度限值mg/L</w:t>
                  </w:r>
                </w:p>
              </w:tc>
            </w:tr>
            <w:tr w14:paraId="3B18BE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495" w:type="dxa"/>
                  <w:vMerge w:val="restart"/>
                  <w:noWrap w:val="0"/>
                  <w:vAlign w:val="center"/>
                </w:tcPr>
                <w:p w14:paraId="7186D29B">
                  <w:pPr>
                    <w:widowControl/>
                    <w:adjustRightInd w:val="0"/>
                    <w:jc w:val="center"/>
                    <w:textAlignment w:val="baseline"/>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1</w:t>
                  </w:r>
                </w:p>
              </w:tc>
              <w:tc>
                <w:tcPr>
                  <w:tcW w:w="1008" w:type="dxa"/>
                  <w:vMerge w:val="restart"/>
                  <w:noWrap w:val="0"/>
                  <w:vAlign w:val="center"/>
                </w:tcPr>
                <w:p w14:paraId="4FC71B34">
                  <w:pPr>
                    <w:widowControl/>
                    <w:adjustRightInd w:val="0"/>
                    <w:jc w:val="center"/>
                    <w:textAlignment w:val="baseline"/>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DW001</w:t>
                  </w:r>
                </w:p>
              </w:tc>
              <w:tc>
                <w:tcPr>
                  <w:tcW w:w="509" w:type="dxa"/>
                  <w:vMerge w:val="restart"/>
                  <w:noWrap w:val="0"/>
                  <w:vAlign w:val="center"/>
                </w:tcPr>
                <w:p w14:paraId="72251975">
                  <w:pPr>
                    <w:widowControl/>
                    <w:adjustRightInd w:val="0"/>
                    <w:jc w:val="center"/>
                    <w:textAlignment w:val="baseline"/>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废水总排口</w:t>
                  </w:r>
                </w:p>
              </w:tc>
              <w:tc>
                <w:tcPr>
                  <w:tcW w:w="510" w:type="dxa"/>
                  <w:vMerge w:val="restart"/>
                  <w:noWrap w:val="0"/>
                  <w:vAlign w:val="center"/>
                </w:tcPr>
                <w:p w14:paraId="08F8E8BB">
                  <w:pPr>
                    <w:widowControl/>
                    <w:adjustRightInd w:val="0"/>
                    <w:jc w:val="center"/>
                    <w:textAlignment w:val="baseline"/>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一般排放口</w:t>
                  </w:r>
                </w:p>
              </w:tc>
              <w:tc>
                <w:tcPr>
                  <w:tcW w:w="1635" w:type="dxa"/>
                  <w:vMerge w:val="restart"/>
                  <w:noWrap w:val="0"/>
                  <w:vAlign w:val="center"/>
                </w:tcPr>
                <w:p w14:paraId="68D89581">
                  <w:pPr>
                    <w:adjustRightInd w:val="0"/>
                    <w:snapToGrid w:val="0"/>
                    <w:jc w:val="center"/>
                    <w:rPr>
                      <w:rFonts w:hint="default" w:ascii="Times New Roman" w:hAnsi="Times New Roman" w:cs="Times New Roman"/>
                      <w:color w:val="000000" w:themeColor="text1"/>
                      <w:sz w:val="21"/>
                      <w:szCs w:val="21"/>
                    </w:rPr>
                  </w:pPr>
                  <w:r>
                    <w:rPr>
                      <w:rFonts w:hint="default" w:ascii="Times New Roman" w:hAnsi="Times New Roman" w:eastAsia="宋体" w:cs="Times New Roman"/>
                      <w:color w:val="000000" w:themeColor="text1"/>
                      <w:sz w:val="21"/>
                      <w:szCs w:val="21"/>
                      <w:highlight w:val="none"/>
                    </w:rPr>
                    <w:t>116.81558°</w:t>
                  </w:r>
                </w:p>
              </w:tc>
              <w:tc>
                <w:tcPr>
                  <w:tcW w:w="1518" w:type="dxa"/>
                  <w:vMerge w:val="restart"/>
                  <w:noWrap w:val="0"/>
                  <w:vAlign w:val="center"/>
                </w:tcPr>
                <w:p w14:paraId="0D35C862">
                  <w:pPr>
                    <w:adjustRightInd w:val="0"/>
                    <w:snapToGrid w:val="0"/>
                    <w:jc w:val="center"/>
                    <w:rPr>
                      <w:rFonts w:hint="default" w:ascii="Times New Roman" w:hAnsi="Times New Roman" w:cs="Times New Roman"/>
                      <w:color w:val="000000" w:themeColor="text1"/>
                      <w:sz w:val="21"/>
                      <w:szCs w:val="21"/>
                    </w:rPr>
                  </w:pPr>
                  <w:r>
                    <w:rPr>
                      <w:rFonts w:hint="default" w:ascii="Times New Roman" w:hAnsi="Times New Roman" w:eastAsia="宋体" w:cs="Times New Roman"/>
                      <w:color w:val="000000" w:themeColor="text1"/>
                      <w:sz w:val="21"/>
                      <w:szCs w:val="21"/>
                      <w:highlight w:val="none"/>
                    </w:rPr>
                    <w:t>34.03444°</w:t>
                  </w:r>
                </w:p>
              </w:tc>
              <w:tc>
                <w:tcPr>
                  <w:tcW w:w="1669" w:type="dxa"/>
                  <w:vMerge w:val="restart"/>
                  <w:noWrap w:val="0"/>
                  <w:vAlign w:val="center"/>
                </w:tcPr>
                <w:p w14:paraId="601BC4BD">
                  <w:pPr>
                    <w:widowControl/>
                    <w:adjustRightInd w:val="0"/>
                    <w:jc w:val="center"/>
                    <w:textAlignment w:val="baseline"/>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龙湖污水处理厂接管标准</w:t>
                  </w:r>
                </w:p>
              </w:tc>
              <w:tc>
                <w:tcPr>
                  <w:tcW w:w="821" w:type="dxa"/>
                  <w:noWrap w:val="0"/>
                  <w:vAlign w:val="center"/>
                </w:tcPr>
                <w:p w14:paraId="43808190">
                  <w:pPr>
                    <w:widowControl/>
                    <w:adjustRightInd w:val="0"/>
                    <w:jc w:val="center"/>
                    <w:textAlignment w:val="baseline"/>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COD</w:t>
                  </w:r>
                </w:p>
              </w:tc>
              <w:tc>
                <w:tcPr>
                  <w:tcW w:w="912" w:type="dxa"/>
                  <w:noWrap w:val="0"/>
                  <w:vAlign w:val="center"/>
                </w:tcPr>
                <w:p w14:paraId="1826EBDB">
                  <w:pPr>
                    <w:widowControl/>
                    <w:adjustRightInd w:val="0"/>
                    <w:jc w:val="center"/>
                    <w:textAlignment w:val="baseline"/>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500</w:t>
                  </w:r>
                </w:p>
              </w:tc>
            </w:tr>
            <w:tr w14:paraId="69ADC1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495" w:type="dxa"/>
                  <w:vMerge w:val="continue"/>
                  <w:noWrap w:val="0"/>
                  <w:vAlign w:val="center"/>
                </w:tcPr>
                <w:p w14:paraId="1E186BFF">
                  <w:pPr>
                    <w:widowControl/>
                    <w:adjustRightInd w:val="0"/>
                    <w:jc w:val="center"/>
                    <w:textAlignment w:val="baseline"/>
                    <w:rPr>
                      <w:rFonts w:hint="default" w:ascii="Times New Roman" w:hAnsi="Times New Roman" w:cs="Times New Roman"/>
                      <w:color w:val="000000" w:themeColor="text1"/>
                      <w:sz w:val="21"/>
                      <w:szCs w:val="21"/>
                    </w:rPr>
                  </w:pPr>
                </w:p>
              </w:tc>
              <w:tc>
                <w:tcPr>
                  <w:tcW w:w="1008" w:type="dxa"/>
                  <w:vMerge w:val="continue"/>
                  <w:noWrap w:val="0"/>
                  <w:vAlign w:val="center"/>
                </w:tcPr>
                <w:p w14:paraId="22AD7279">
                  <w:pPr>
                    <w:widowControl/>
                    <w:adjustRightInd w:val="0"/>
                    <w:jc w:val="center"/>
                    <w:textAlignment w:val="baseline"/>
                    <w:rPr>
                      <w:rFonts w:hint="default" w:ascii="Times New Roman" w:hAnsi="Times New Roman" w:cs="Times New Roman"/>
                      <w:color w:val="000000" w:themeColor="text1"/>
                      <w:sz w:val="21"/>
                      <w:szCs w:val="21"/>
                    </w:rPr>
                  </w:pPr>
                </w:p>
              </w:tc>
              <w:tc>
                <w:tcPr>
                  <w:tcW w:w="509" w:type="dxa"/>
                  <w:vMerge w:val="continue"/>
                  <w:noWrap w:val="0"/>
                  <w:vAlign w:val="center"/>
                </w:tcPr>
                <w:p w14:paraId="06DF1468">
                  <w:pPr>
                    <w:widowControl/>
                    <w:adjustRightInd w:val="0"/>
                    <w:jc w:val="center"/>
                    <w:textAlignment w:val="baseline"/>
                    <w:rPr>
                      <w:rFonts w:hint="default" w:ascii="Times New Roman" w:hAnsi="Times New Roman" w:cs="Times New Roman"/>
                      <w:color w:val="000000" w:themeColor="text1"/>
                      <w:sz w:val="21"/>
                      <w:szCs w:val="21"/>
                    </w:rPr>
                  </w:pPr>
                </w:p>
              </w:tc>
              <w:tc>
                <w:tcPr>
                  <w:tcW w:w="510" w:type="dxa"/>
                  <w:vMerge w:val="continue"/>
                  <w:noWrap w:val="0"/>
                  <w:vAlign w:val="center"/>
                </w:tcPr>
                <w:p w14:paraId="1920510B">
                  <w:pPr>
                    <w:widowControl/>
                    <w:adjustRightInd w:val="0"/>
                    <w:jc w:val="center"/>
                    <w:textAlignment w:val="baseline"/>
                    <w:rPr>
                      <w:rFonts w:hint="default" w:ascii="Times New Roman" w:hAnsi="Times New Roman" w:cs="Times New Roman"/>
                      <w:color w:val="000000" w:themeColor="text1"/>
                      <w:sz w:val="21"/>
                      <w:szCs w:val="21"/>
                    </w:rPr>
                  </w:pPr>
                </w:p>
              </w:tc>
              <w:tc>
                <w:tcPr>
                  <w:tcW w:w="1635" w:type="dxa"/>
                  <w:vMerge w:val="continue"/>
                  <w:noWrap w:val="0"/>
                  <w:vAlign w:val="center"/>
                </w:tcPr>
                <w:p w14:paraId="7B0DC366">
                  <w:pPr>
                    <w:widowControl/>
                    <w:adjustRightInd w:val="0"/>
                    <w:jc w:val="center"/>
                    <w:textAlignment w:val="baseline"/>
                    <w:rPr>
                      <w:rFonts w:hint="default" w:ascii="Times New Roman" w:hAnsi="Times New Roman" w:cs="Times New Roman"/>
                      <w:color w:val="000000" w:themeColor="text1"/>
                      <w:sz w:val="21"/>
                      <w:szCs w:val="21"/>
                    </w:rPr>
                  </w:pPr>
                </w:p>
              </w:tc>
              <w:tc>
                <w:tcPr>
                  <w:tcW w:w="1518" w:type="dxa"/>
                  <w:vMerge w:val="continue"/>
                  <w:noWrap w:val="0"/>
                  <w:vAlign w:val="center"/>
                </w:tcPr>
                <w:p w14:paraId="6EF52803">
                  <w:pPr>
                    <w:widowControl/>
                    <w:adjustRightInd w:val="0"/>
                    <w:jc w:val="center"/>
                    <w:textAlignment w:val="baseline"/>
                    <w:rPr>
                      <w:rFonts w:hint="default" w:ascii="Times New Roman" w:hAnsi="Times New Roman" w:cs="Times New Roman"/>
                      <w:color w:val="000000" w:themeColor="text1"/>
                      <w:sz w:val="21"/>
                      <w:szCs w:val="21"/>
                    </w:rPr>
                  </w:pPr>
                </w:p>
              </w:tc>
              <w:tc>
                <w:tcPr>
                  <w:tcW w:w="1669" w:type="dxa"/>
                  <w:vMerge w:val="continue"/>
                  <w:noWrap w:val="0"/>
                  <w:vAlign w:val="center"/>
                </w:tcPr>
                <w:p w14:paraId="7F23D727">
                  <w:pPr>
                    <w:widowControl/>
                    <w:adjustRightInd w:val="0"/>
                    <w:jc w:val="center"/>
                    <w:textAlignment w:val="baseline"/>
                    <w:rPr>
                      <w:rFonts w:hint="default" w:ascii="Times New Roman" w:hAnsi="Times New Roman" w:cs="Times New Roman"/>
                      <w:color w:val="000000" w:themeColor="text1"/>
                      <w:sz w:val="21"/>
                      <w:szCs w:val="21"/>
                    </w:rPr>
                  </w:pPr>
                </w:p>
              </w:tc>
              <w:tc>
                <w:tcPr>
                  <w:tcW w:w="821" w:type="dxa"/>
                  <w:noWrap w:val="0"/>
                  <w:vAlign w:val="center"/>
                </w:tcPr>
                <w:p w14:paraId="5D10C44C">
                  <w:pPr>
                    <w:widowControl/>
                    <w:adjustRightInd w:val="0"/>
                    <w:jc w:val="center"/>
                    <w:textAlignment w:val="baseline"/>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BOD</w:t>
                  </w:r>
                  <w:r>
                    <w:rPr>
                      <w:rFonts w:hint="default" w:ascii="Times New Roman" w:hAnsi="Times New Roman" w:cs="Times New Roman"/>
                      <w:color w:val="000000" w:themeColor="text1"/>
                      <w:sz w:val="21"/>
                      <w:szCs w:val="21"/>
                      <w:vertAlign w:val="subscript"/>
                    </w:rPr>
                    <w:t>5</w:t>
                  </w:r>
                </w:p>
              </w:tc>
              <w:tc>
                <w:tcPr>
                  <w:tcW w:w="912" w:type="dxa"/>
                  <w:noWrap w:val="0"/>
                  <w:vAlign w:val="center"/>
                </w:tcPr>
                <w:p w14:paraId="4895D924">
                  <w:pPr>
                    <w:widowControl/>
                    <w:adjustRightInd w:val="0"/>
                    <w:jc w:val="center"/>
                    <w:textAlignment w:val="baseline"/>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200</w:t>
                  </w:r>
                </w:p>
              </w:tc>
            </w:tr>
            <w:tr w14:paraId="2884E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495" w:type="dxa"/>
                  <w:vMerge w:val="continue"/>
                  <w:noWrap w:val="0"/>
                  <w:vAlign w:val="center"/>
                </w:tcPr>
                <w:p w14:paraId="1CE6EC80">
                  <w:pPr>
                    <w:widowControl/>
                    <w:adjustRightInd w:val="0"/>
                    <w:jc w:val="center"/>
                    <w:textAlignment w:val="baseline"/>
                    <w:rPr>
                      <w:rFonts w:hint="default" w:ascii="Times New Roman" w:hAnsi="Times New Roman" w:cs="Times New Roman"/>
                      <w:color w:val="000000" w:themeColor="text1"/>
                      <w:sz w:val="21"/>
                      <w:szCs w:val="21"/>
                    </w:rPr>
                  </w:pPr>
                </w:p>
              </w:tc>
              <w:tc>
                <w:tcPr>
                  <w:tcW w:w="1008" w:type="dxa"/>
                  <w:vMerge w:val="continue"/>
                  <w:noWrap w:val="0"/>
                  <w:vAlign w:val="center"/>
                </w:tcPr>
                <w:p w14:paraId="1914802A">
                  <w:pPr>
                    <w:widowControl/>
                    <w:adjustRightInd w:val="0"/>
                    <w:jc w:val="center"/>
                    <w:textAlignment w:val="baseline"/>
                    <w:rPr>
                      <w:rFonts w:hint="default" w:ascii="Times New Roman" w:hAnsi="Times New Roman" w:cs="Times New Roman"/>
                      <w:color w:val="000000" w:themeColor="text1"/>
                      <w:sz w:val="21"/>
                      <w:szCs w:val="21"/>
                    </w:rPr>
                  </w:pPr>
                </w:p>
              </w:tc>
              <w:tc>
                <w:tcPr>
                  <w:tcW w:w="509" w:type="dxa"/>
                  <w:vMerge w:val="continue"/>
                  <w:noWrap w:val="0"/>
                  <w:vAlign w:val="center"/>
                </w:tcPr>
                <w:p w14:paraId="31E9785C">
                  <w:pPr>
                    <w:widowControl/>
                    <w:adjustRightInd w:val="0"/>
                    <w:jc w:val="center"/>
                    <w:textAlignment w:val="baseline"/>
                    <w:rPr>
                      <w:rFonts w:hint="default" w:ascii="Times New Roman" w:hAnsi="Times New Roman" w:cs="Times New Roman"/>
                      <w:color w:val="000000" w:themeColor="text1"/>
                      <w:sz w:val="21"/>
                      <w:szCs w:val="21"/>
                    </w:rPr>
                  </w:pPr>
                </w:p>
              </w:tc>
              <w:tc>
                <w:tcPr>
                  <w:tcW w:w="510" w:type="dxa"/>
                  <w:vMerge w:val="continue"/>
                  <w:noWrap w:val="0"/>
                  <w:vAlign w:val="center"/>
                </w:tcPr>
                <w:p w14:paraId="64334960">
                  <w:pPr>
                    <w:widowControl/>
                    <w:adjustRightInd w:val="0"/>
                    <w:jc w:val="center"/>
                    <w:textAlignment w:val="baseline"/>
                    <w:rPr>
                      <w:rFonts w:hint="default" w:ascii="Times New Roman" w:hAnsi="Times New Roman" w:cs="Times New Roman"/>
                      <w:color w:val="000000" w:themeColor="text1"/>
                      <w:sz w:val="21"/>
                      <w:szCs w:val="21"/>
                    </w:rPr>
                  </w:pPr>
                </w:p>
              </w:tc>
              <w:tc>
                <w:tcPr>
                  <w:tcW w:w="1635" w:type="dxa"/>
                  <w:vMerge w:val="continue"/>
                  <w:noWrap w:val="0"/>
                  <w:vAlign w:val="center"/>
                </w:tcPr>
                <w:p w14:paraId="4C66F793">
                  <w:pPr>
                    <w:widowControl/>
                    <w:adjustRightInd w:val="0"/>
                    <w:jc w:val="center"/>
                    <w:textAlignment w:val="baseline"/>
                    <w:rPr>
                      <w:rFonts w:hint="default" w:ascii="Times New Roman" w:hAnsi="Times New Roman" w:cs="Times New Roman"/>
                      <w:color w:val="000000" w:themeColor="text1"/>
                      <w:sz w:val="21"/>
                      <w:szCs w:val="21"/>
                    </w:rPr>
                  </w:pPr>
                </w:p>
              </w:tc>
              <w:tc>
                <w:tcPr>
                  <w:tcW w:w="1518" w:type="dxa"/>
                  <w:vMerge w:val="continue"/>
                  <w:noWrap w:val="0"/>
                  <w:vAlign w:val="center"/>
                </w:tcPr>
                <w:p w14:paraId="1045B3A0">
                  <w:pPr>
                    <w:widowControl/>
                    <w:adjustRightInd w:val="0"/>
                    <w:jc w:val="center"/>
                    <w:textAlignment w:val="baseline"/>
                    <w:rPr>
                      <w:rFonts w:hint="default" w:ascii="Times New Roman" w:hAnsi="Times New Roman" w:cs="Times New Roman"/>
                      <w:color w:val="000000" w:themeColor="text1"/>
                      <w:sz w:val="21"/>
                      <w:szCs w:val="21"/>
                    </w:rPr>
                  </w:pPr>
                </w:p>
              </w:tc>
              <w:tc>
                <w:tcPr>
                  <w:tcW w:w="1669" w:type="dxa"/>
                  <w:vMerge w:val="continue"/>
                  <w:noWrap w:val="0"/>
                  <w:vAlign w:val="center"/>
                </w:tcPr>
                <w:p w14:paraId="2DE8032C">
                  <w:pPr>
                    <w:widowControl/>
                    <w:adjustRightInd w:val="0"/>
                    <w:jc w:val="center"/>
                    <w:textAlignment w:val="baseline"/>
                    <w:rPr>
                      <w:rFonts w:hint="default" w:ascii="Times New Roman" w:hAnsi="Times New Roman" w:cs="Times New Roman"/>
                      <w:color w:val="000000" w:themeColor="text1"/>
                      <w:sz w:val="21"/>
                      <w:szCs w:val="21"/>
                    </w:rPr>
                  </w:pPr>
                </w:p>
              </w:tc>
              <w:tc>
                <w:tcPr>
                  <w:tcW w:w="821" w:type="dxa"/>
                  <w:noWrap w:val="0"/>
                  <w:vAlign w:val="center"/>
                </w:tcPr>
                <w:p w14:paraId="656310E5">
                  <w:pPr>
                    <w:widowControl/>
                    <w:adjustRightInd w:val="0"/>
                    <w:jc w:val="center"/>
                    <w:textAlignment w:val="baseline"/>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SS</w:t>
                  </w:r>
                </w:p>
              </w:tc>
              <w:tc>
                <w:tcPr>
                  <w:tcW w:w="912" w:type="dxa"/>
                  <w:noWrap w:val="0"/>
                  <w:vAlign w:val="center"/>
                </w:tcPr>
                <w:p w14:paraId="6370C87D">
                  <w:pPr>
                    <w:widowControl/>
                    <w:adjustRightInd w:val="0"/>
                    <w:jc w:val="center"/>
                    <w:textAlignment w:val="baseline"/>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250</w:t>
                  </w:r>
                </w:p>
              </w:tc>
            </w:tr>
            <w:tr w14:paraId="3C2CA5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495" w:type="dxa"/>
                  <w:vMerge w:val="continue"/>
                  <w:noWrap w:val="0"/>
                  <w:vAlign w:val="center"/>
                </w:tcPr>
                <w:p w14:paraId="78A4DD19">
                  <w:pPr>
                    <w:widowControl/>
                    <w:adjustRightInd w:val="0"/>
                    <w:jc w:val="center"/>
                    <w:textAlignment w:val="baseline"/>
                    <w:rPr>
                      <w:rFonts w:hint="default" w:ascii="Times New Roman" w:hAnsi="Times New Roman" w:cs="Times New Roman"/>
                      <w:color w:val="000000" w:themeColor="text1"/>
                      <w:sz w:val="21"/>
                      <w:szCs w:val="21"/>
                    </w:rPr>
                  </w:pPr>
                </w:p>
              </w:tc>
              <w:tc>
                <w:tcPr>
                  <w:tcW w:w="1008" w:type="dxa"/>
                  <w:vMerge w:val="continue"/>
                  <w:noWrap w:val="0"/>
                  <w:vAlign w:val="center"/>
                </w:tcPr>
                <w:p w14:paraId="4A958E1D">
                  <w:pPr>
                    <w:widowControl/>
                    <w:adjustRightInd w:val="0"/>
                    <w:jc w:val="center"/>
                    <w:textAlignment w:val="baseline"/>
                    <w:rPr>
                      <w:rFonts w:hint="default" w:ascii="Times New Roman" w:hAnsi="Times New Roman" w:cs="Times New Roman"/>
                      <w:color w:val="000000" w:themeColor="text1"/>
                      <w:sz w:val="21"/>
                      <w:szCs w:val="21"/>
                    </w:rPr>
                  </w:pPr>
                </w:p>
              </w:tc>
              <w:tc>
                <w:tcPr>
                  <w:tcW w:w="509" w:type="dxa"/>
                  <w:vMerge w:val="continue"/>
                  <w:noWrap w:val="0"/>
                  <w:vAlign w:val="center"/>
                </w:tcPr>
                <w:p w14:paraId="244C02BC">
                  <w:pPr>
                    <w:widowControl/>
                    <w:adjustRightInd w:val="0"/>
                    <w:jc w:val="center"/>
                    <w:textAlignment w:val="baseline"/>
                    <w:rPr>
                      <w:rFonts w:hint="default" w:ascii="Times New Roman" w:hAnsi="Times New Roman" w:cs="Times New Roman"/>
                      <w:color w:val="000000" w:themeColor="text1"/>
                      <w:sz w:val="21"/>
                      <w:szCs w:val="21"/>
                    </w:rPr>
                  </w:pPr>
                </w:p>
              </w:tc>
              <w:tc>
                <w:tcPr>
                  <w:tcW w:w="510" w:type="dxa"/>
                  <w:vMerge w:val="continue"/>
                  <w:noWrap w:val="0"/>
                  <w:vAlign w:val="center"/>
                </w:tcPr>
                <w:p w14:paraId="3782F432">
                  <w:pPr>
                    <w:widowControl/>
                    <w:adjustRightInd w:val="0"/>
                    <w:jc w:val="center"/>
                    <w:textAlignment w:val="baseline"/>
                    <w:rPr>
                      <w:rFonts w:hint="default" w:ascii="Times New Roman" w:hAnsi="Times New Roman" w:cs="Times New Roman"/>
                      <w:color w:val="000000" w:themeColor="text1"/>
                      <w:sz w:val="21"/>
                      <w:szCs w:val="21"/>
                    </w:rPr>
                  </w:pPr>
                </w:p>
              </w:tc>
              <w:tc>
                <w:tcPr>
                  <w:tcW w:w="1635" w:type="dxa"/>
                  <w:vMerge w:val="continue"/>
                  <w:noWrap w:val="0"/>
                  <w:vAlign w:val="center"/>
                </w:tcPr>
                <w:p w14:paraId="53D3627D">
                  <w:pPr>
                    <w:widowControl/>
                    <w:adjustRightInd w:val="0"/>
                    <w:jc w:val="center"/>
                    <w:textAlignment w:val="baseline"/>
                    <w:rPr>
                      <w:rFonts w:hint="default" w:ascii="Times New Roman" w:hAnsi="Times New Roman" w:cs="Times New Roman"/>
                      <w:color w:val="000000" w:themeColor="text1"/>
                      <w:sz w:val="21"/>
                      <w:szCs w:val="21"/>
                    </w:rPr>
                  </w:pPr>
                </w:p>
              </w:tc>
              <w:tc>
                <w:tcPr>
                  <w:tcW w:w="1518" w:type="dxa"/>
                  <w:vMerge w:val="continue"/>
                  <w:noWrap w:val="0"/>
                  <w:vAlign w:val="center"/>
                </w:tcPr>
                <w:p w14:paraId="5F9473B9">
                  <w:pPr>
                    <w:widowControl/>
                    <w:adjustRightInd w:val="0"/>
                    <w:jc w:val="center"/>
                    <w:textAlignment w:val="baseline"/>
                    <w:rPr>
                      <w:rFonts w:hint="default" w:ascii="Times New Roman" w:hAnsi="Times New Roman" w:cs="Times New Roman"/>
                      <w:color w:val="000000" w:themeColor="text1"/>
                      <w:sz w:val="21"/>
                      <w:szCs w:val="21"/>
                    </w:rPr>
                  </w:pPr>
                </w:p>
              </w:tc>
              <w:tc>
                <w:tcPr>
                  <w:tcW w:w="1669" w:type="dxa"/>
                  <w:vMerge w:val="continue"/>
                  <w:noWrap w:val="0"/>
                  <w:vAlign w:val="center"/>
                </w:tcPr>
                <w:p w14:paraId="50EA8D60">
                  <w:pPr>
                    <w:widowControl/>
                    <w:adjustRightInd w:val="0"/>
                    <w:jc w:val="center"/>
                    <w:textAlignment w:val="baseline"/>
                    <w:rPr>
                      <w:rFonts w:hint="default" w:ascii="Times New Roman" w:hAnsi="Times New Roman" w:cs="Times New Roman"/>
                      <w:color w:val="000000" w:themeColor="text1"/>
                      <w:sz w:val="21"/>
                      <w:szCs w:val="21"/>
                    </w:rPr>
                  </w:pPr>
                </w:p>
              </w:tc>
              <w:tc>
                <w:tcPr>
                  <w:tcW w:w="821" w:type="dxa"/>
                  <w:noWrap w:val="0"/>
                  <w:vAlign w:val="center"/>
                </w:tcPr>
                <w:p w14:paraId="6579E244">
                  <w:pPr>
                    <w:widowControl/>
                    <w:adjustRightInd w:val="0"/>
                    <w:jc w:val="center"/>
                    <w:textAlignment w:val="baseline"/>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氨氮</w:t>
                  </w:r>
                </w:p>
              </w:tc>
              <w:tc>
                <w:tcPr>
                  <w:tcW w:w="912" w:type="dxa"/>
                  <w:noWrap w:val="0"/>
                  <w:vAlign w:val="center"/>
                </w:tcPr>
                <w:p w14:paraId="12EF4EBD">
                  <w:pPr>
                    <w:widowControl/>
                    <w:adjustRightInd w:val="0"/>
                    <w:jc w:val="center"/>
                    <w:textAlignment w:val="baseline"/>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30</w:t>
                  </w:r>
                </w:p>
              </w:tc>
            </w:tr>
          </w:tbl>
          <w:p w14:paraId="01FFF5D1">
            <w:pPr>
              <w:spacing w:line="360" w:lineRule="auto"/>
              <w:rPr>
                <w:rFonts w:hint="default" w:ascii="Times New Roman" w:hAnsi="Times New Roman" w:cs="Times New Roman"/>
                <w:color w:val="000000" w:themeColor="text1"/>
                <w:sz w:val="24"/>
                <w:szCs w:val="32"/>
              </w:rPr>
            </w:pPr>
            <w:r>
              <w:rPr>
                <w:rFonts w:hint="eastAsia" w:ascii="Times New Roman" w:hAnsi="Times New Roman" w:cs="Times New Roman"/>
                <w:color w:val="000000" w:themeColor="text1"/>
                <w:sz w:val="24"/>
                <w:szCs w:val="32"/>
                <w:lang w:val="en-US" w:eastAsia="zh-CN"/>
              </w:rPr>
              <w:t>2、</w:t>
            </w:r>
            <w:r>
              <w:rPr>
                <w:rFonts w:hint="default" w:ascii="Times New Roman" w:hAnsi="Times New Roman" w:cs="Times New Roman"/>
                <w:color w:val="000000" w:themeColor="text1"/>
                <w:sz w:val="24"/>
                <w:szCs w:val="32"/>
              </w:rPr>
              <w:t>废水环境监测计划</w:t>
            </w:r>
          </w:p>
          <w:p w14:paraId="03A949A9">
            <w:pPr>
              <w:spacing w:line="360" w:lineRule="auto"/>
              <w:ind w:firstLine="480" w:firstLineChars="200"/>
              <w:rPr>
                <w:rFonts w:hint="default" w:ascii="Times New Roman" w:hAnsi="Times New Roman" w:cs="Times New Roman"/>
                <w:color w:val="000000" w:themeColor="text1"/>
                <w:sz w:val="24"/>
                <w:szCs w:val="32"/>
              </w:rPr>
            </w:pPr>
            <w:r>
              <w:rPr>
                <w:rFonts w:hint="default" w:ascii="Times New Roman" w:hAnsi="Times New Roman" w:cs="Times New Roman"/>
                <w:color w:val="000000" w:themeColor="text1"/>
                <w:sz w:val="24"/>
                <w:szCs w:val="32"/>
              </w:rPr>
              <w:t>本项目根据《排污许可证申请与核发技术规范 总则（HJ942-2018）》以及</w:t>
            </w:r>
            <w:r>
              <w:rPr>
                <w:rFonts w:hint="default" w:ascii="Times New Roman" w:hAnsi="Times New Roman" w:eastAsia="宋体" w:cs="Times New Roman"/>
                <w:color w:val="000000" w:themeColor="text1"/>
                <w:sz w:val="24"/>
                <w:szCs w:val="32"/>
              </w:rPr>
              <w:t>《排污单位自行监测技术指南 总则》《排污许可证(HJ819-2017)</w:t>
            </w:r>
            <w:r>
              <w:rPr>
                <w:rFonts w:hint="default" w:ascii="Times New Roman" w:hAnsi="Times New Roman" w:cs="Times New Roman"/>
                <w:color w:val="000000" w:themeColor="text1"/>
                <w:sz w:val="24"/>
                <w:szCs w:val="32"/>
              </w:rPr>
              <w:t>中相关要求，制定本项目废水监测计划，具体见下表所示。</w:t>
            </w:r>
          </w:p>
          <w:p w14:paraId="41806B61">
            <w:pPr>
              <w:pStyle w:val="89"/>
              <w:keepNext w:val="0"/>
              <w:keepLines w:val="0"/>
              <w:pageBreakBefore w:val="0"/>
              <w:widowControl/>
              <w:kinsoku/>
              <w:wordWrap/>
              <w:overflowPunct/>
              <w:topLinePunct w:val="0"/>
              <w:autoSpaceDE/>
              <w:autoSpaceDN/>
              <w:bidi w:val="0"/>
              <w:adjustRightInd w:val="0"/>
              <w:snapToGrid w:val="0"/>
              <w:spacing w:before="0" w:after="0" w:line="240" w:lineRule="auto"/>
              <w:ind w:right="0"/>
              <w:textAlignment w:val="auto"/>
              <w:rPr>
                <w:rFonts w:hint="default" w:ascii="Times New Roman" w:hAnsi="Times New Roman" w:eastAsia="宋体" w:cs="Times New Roman"/>
                <w:b/>
                <w:bCs/>
                <w:color w:val="000000" w:themeColor="text1"/>
                <w:sz w:val="24"/>
                <w:szCs w:val="24"/>
              </w:rPr>
            </w:pPr>
            <w:r>
              <w:rPr>
                <w:rFonts w:hint="default" w:ascii="Times New Roman" w:hAnsi="Times New Roman" w:eastAsia="宋体" w:cs="Times New Roman"/>
                <w:b/>
                <w:bCs/>
                <w:color w:val="000000" w:themeColor="text1"/>
                <w:sz w:val="24"/>
                <w:szCs w:val="24"/>
              </w:rPr>
              <w:t>表4-</w:t>
            </w:r>
            <w:r>
              <w:rPr>
                <w:rFonts w:hint="eastAsia" w:ascii="Times New Roman" w:hAnsi="Times New Roman" w:eastAsia="宋体" w:cs="Times New Roman"/>
                <w:b/>
                <w:bCs/>
                <w:color w:val="000000" w:themeColor="text1"/>
                <w:sz w:val="24"/>
                <w:szCs w:val="24"/>
                <w:lang w:val="en-US" w:eastAsia="zh-CN"/>
              </w:rPr>
              <w:t>12</w:t>
            </w:r>
            <w:r>
              <w:rPr>
                <w:rFonts w:hint="default" w:ascii="Times New Roman" w:hAnsi="Times New Roman" w:eastAsia="宋体" w:cs="Times New Roman"/>
                <w:b/>
                <w:bCs/>
                <w:color w:val="000000" w:themeColor="text1"/>
                <w:sz w:val="24"/>
                <w:szCs w:val="24"/>
              </w:rPr>
              <w:t xml:space="preserve">  本项目废水环境监测计划一览表</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9"/>
              <w:gridCol w:w="2292"/>
              <w:gridCol w:w="3304"/>
              <w:gridCol w:w="1664"/>
            </w:tblGrid>
            <w:tr w14:paraId="5638F8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09" w:type="dxa"/>
                  <w:noWrap w:val="0"/>
                  <w:vAlign w:val="center"/>
                </w:tcPr>
                <w:p w14:paraId="003E2F3A">
                  <w:pPr>
                    <w:pStyle w:val="89"/>
                    <w:adjustRightInd w:val="0"/>
                    <w:snapToGrid/>
                    <w:spacing w:line="240" w:lineRule="auto"/>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类别</w:t>
                  </w:r>
                </w:p>
              </w:tc>
              <w:tc>
                <w:tcPr>
                  <w:tcW w:w="2466" w:type="dxa"/>
                  <w:noWrap w:val="0"/>
                  <w:vAlign w:val="center"/>
                </w:tcPr>
                <w:p w14:paraId="6B978B26">
                  <w:pPr>
                    <w:pStyle w:val="89"/>
                    <w:adjustRightInd w:val="0"/>
                    <w:snapToGrid/>
                    <w:spacing w:line="240" w:lineRule="auto"/>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监测点位</w:t>
                  </w:r>
                </w:p>
              </w:tc>
              <w:tc>
                <w:tcPr>
                  <w:tcW w:w="3527" w:type="dxa"/>
                  <w:noWrap w:val="0"/>
                  <w:vAlign w:val="center"/>
                </w:tcPr>
                <w:p w14:paraId="364297C0">
                  <w:pPr>
                    <w:pStyle w:val="89"/>
                    <w:adjustRightInd w:val="0"/>
                    <w:snapToGrid/>
                    <w:spacing w:line="240" w:lineRule="auto"/>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监测因子</w:t>
                  </w:r>
                </w:p>
              </w:tc>
              <w:tc>
                <w:tcPr>
                  <w:tcW w:w="1775" w:type="dxa"/>
                  <w:noWrap w:val="0"/>
                  <w:vAlign w:val="center"/>
                </w:tcPr>
                <w:p w14:paraId="444B31E5">
                  <w:pPr>
                    <w:pStyle w:val="89"/>
                    <w:adjustRightInd w:val="0"/>
                    <w:snapToGrid/>
                    <w:spacing w:line="240" w:lineRule="auto"/>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监测频次</w:t>
                  </w:r>
                </w:p>
              </w:tc>
            </w:tr>
            <w:tr w14:paraId="70762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1309" w:type="dxa"/>
                  <w:noWrap w:val="0"/>
                  <w:vAlign w:val="center"/>
                </w:tcPr>
                <w:p w14:paraId="052D25FE">
                  <w:pPr>
                    <w:pStyle w:val="89"/>
                    <w:adjustRightInd w:val="0"/>
                    <w:snapToGrid/>
                    <w:spacing w:line="240" w:lineRule="auto"/>
                    <w:rPr>
                      <w:rFonts w:hint="default" w:ascii="Times New Roman" w:hAnsi="Times New Roman" w:eastAsia="宋体" w:cs="Times New Roman"/>
                      <w:b w:val="0"/>
                      <w:bCs w:val="0"/>
                      <w:color w:val="000000" w:themeColor="text1"/>
                      <w:sz w:val="21"/>
                      <w:szCs w:val="21"/>
                    </w:rPr>
                  </w:pPr>
                  <w:r>
                    <w:rPr>
                      <w:rFonts w:hint="default" w:ascii="Times New Roman" w:hAnsi="Times New Roman" w:eastAsia="宋体" w:cs="Times New Roman"/>
                      <w:b w:val="0"/>
                      <w:bCs w:val="0"/>
                      <w:color w:val="000000" w:themeColor="text1"/>
                      <w:sz w:val="21"/>
                      <w:szCs w:val="21"/>
                    </w:rPr>
                    <w:t>废水</w:t>
                  </w:r>
                </w:p>
              </w:tc>
              <w:tc>
                <w:tcPr>
                  <w:tcW w:w="2466" w:type="dxa"/>
                  <w:noWrap w:val="0"/>
                  <w:vAlign w:val="center"/>
                </w:tcPr>
                <w:p w14:paraId="193E0DB5">
                  <w:pPr>
                    <w:pStyle w:val="89"/>
                    <w:adjustRightInd w:val="0"/>
                    <w:snapToGrid/>
                    <w:spacing w:line="240" w:lineRule="auto"/>
                    <w:rPr>
                      <w:rFonts w:hint="default" w:ascii="Times New Roman" w:hAnsi="Times New Roman" w:eastAsia="宋体" w:cs="Times New Roman"/>
                      <w:b w:val="0"/>
                      <w:bCs w:val="0"/>
                      <w:color w:val="000000" w:themeColor="text1"/>
                      <w:sz w:val="21"/>
                      <w:szCs w:val="21"/>
                    </w:rPr>
                  </w:pPr>
                  <w:r>
                    <w:rPr>
                      <w:rFonts w:hint="default" w:ascii="Times New Roman" w:hAnsi="Times New Roman" w:eastAsia="宋体" w:cs="Times New Roman"/>
                      <w:b w:val="0"/>
                      <w:bCs w:val="0"/>
                      <w:color w:val="000000" w:themeColor="text1"/>
                      <w:sz w:val="21"/>
                      <w:szCs w:val="21"/>
                    </w:rPr>
                    <w:t>厂区污水总排口</w:t>
                  </w:r>
                </w:p>
              </w:tc>
              <w:tc>
                <w:tcPr>
                  <w:tcW w:w="3527" w:type="dxa"/>
                  <w:noWrap w:val="0"/>
                  <w:vAlign w:val="center"/>
                </w:tcPr>
                <w:p w14:paraId="772441BC">
                  <w:pPr>
                    <w:pStyle w:val="89"/>
                    <w:adjustRightInd w:val="0"/>
                    <w:snapToGrid/>
                    <w:spacing w:line="240" w:lineRule="auto"/>
                    <w:rPr>
                      <w:rFonts w:hint="default" w:ascii="Times New Roman" w:hAnsi="Times New Roman" w:eastAsia="宋体" w:cs="Times New Roman"/>
                      <w:b w:val="0"/>
                      <w:bCs w:val="0"/>
                      <w:color w:val="000000" w:themeColor="text1"/>
                      <w:sz w:val="21"/>
                      <w:szCs w:val="21"/>
                    </w:rPr>
                  </w:pPr>
                  <w:r>
                    <w:rPr>
                      <w:rFonts w:hint="default" w:ascii="Times New Roman" w:hAnsi="Times New Roman" w:eastAsia="宋体" w:cs="Times New Roman"/>
                      <w:b w:val="0"/>
                      <w:bCs w:val="0"/>
                      <w:color w:val="000000" w:themeColor="text1"/>
                      <w:sz w:val="21"/>
                      <w:szCs w:val="21"/>
                    </w:rPr>
                    <w:t>流量、pH、COD、</w:t>
                  </w:r>
                  <w:r>
                    <w:rPr>
                      <w:rFonts w:hint="eastAsia" w:ascii="Times New Roman" w:hAnsi="Times New Roman" w:cs="Times New Roman"/>
                      <w:b w:val="0"/>
                      <w:bCs w:val="0"/>
                      <w:color w:val="000000" w:themeColor="text1"/>
                      <w:sz w:val="21"/>
                      <w:szCs w:val="21"/>
                      <w:lang w:val="en-US" w:eastAsia="zh-CN"/>
                    </w:rPr>
                    <w:t>BOD</w:t>
                  </w:r>
                  <w:r>
                    <w:rPr>
                      <w:rFonts w:hint="eastAsia" w:ascii="Times New Roman" w:hAnsi="Times New Roman" w:cs="Times New Roman"/>
                      <w:b w:val="0"/>
                      <w:bCs w:val="0"/>
                      <w:color w:val="000000" w:themeColor="text1"/>
                      <w:sz w:val="21"/>
                      <w:szCs w:val="21"/>
                      <w:vertAlign w:val="subscript"/>
                      <w:lang w:val="en-US" w:eastAsia="zh-CN"/>
                    </w:rPr>
                    <w:t>5</w:t>
                  </w:r>
                  <w:r>
                    <w:rPr>
                      <w:rFonts w:hint="eastAsia" w:ascii="Times New Roman" w:hAnsi="Times New Roman" w:cs="Times New Roman"/>
                      <w:b w:val="0"/>
                      <w:bCs w:val="0"/>
                      <w:color w:val="000000" w:themeColor="text1"/>
                      <w:sz w:val="21"/>
                      <w:szCs w:val="21"/>
                      <w:lang w:val="en-US" w:eastAsia="zh-CN"/>
                    </w:rPr>
                    <w:t>、</w:t>
                  </w:r>
                  <w:r>
                    <w:rPr>
                      <w:rFonts w:hint="default" w:ascii="Times New Roman" w:hAnsi="Times New Roman" w:eastAsia="宋体" w:cs="Times New Roman"/>
                      <w:b w:val="0"/>
                      <w:bCs w:val="0"/>
                      <w:color w:val="000000" w:themeColor="text1"/>
                      <w:sz w:val="21"/>
                      <w:szCs w:val="21"/>
                    </w:rPr>
                    <w:t>氨氮、SS</w:t>
                  </w:r>
                </w:p>
              </w:tc>
              <w:tc>
                <w:tcPr>
                  <w:tcW w:w="1775" w:type="dxa"/>
                  <w:noWrap w:val="0"/>
                  <w:vAlign w:val="center"/>
                </w:tcPr>
                <w:p w14:paraId="66378D7F">
                  <w:pPr>
                    <w:pStyle w:val="89"/>
                    <w:adjustRightInd w:val="0"/>
                    <w:snapToGrid/>
                    <w:spacing w:line="240" w:lineRule="auto"/>
                    <w:rPr>
                      <w:rFonts w:hint="eastAsia" w:ascii="Times New Roman" w:hAnsi="Times New Roman" w:eastAsia="宋体" w:cs="Times New Roman"/>
                      <w:b w:val="0"/>
                      <w:bCs w:val="0"/>
                      <w:color w:val="000000" w:themeColor="text1"/>
                      <w:sz w:val="21"/>
                      <w:szCs w:val="21"/>
                      <w:lang w:eastAsia="zh-CN"/>
                    </w:rPr>
                  </w:pPr>
                  <w:r>
                    <w:rPr>
                      <w:rFonts w:hint="default" w:ascii="Times New Roman" w:hAnsi="Times New Roman" w:eastAsia="宋体" w:cs="Times New Roman"/>
                      <w:b w:val="0"/>
                      <w:bCs w:val="0"/>
                      <w:color w:val="000000" w:themeColor="text1"/>
                      <w:sz w:val="21"/>
                      <w:szCs w:val="21"/>
                    </w:rPr>
                    <w:t>1次/</w:t>
                  </w:r>
                  <w:r>
                    <w:rPr>
                      <w:rFonts w:hint="eastAsia" w:ascii="Times New Roman" w:hAnsi="Times New Roman" w:eastAsia="宋体" w:cs="Times New Roman"/>
                      <w:b w:val="0"/>
                      <w:bCs w:val="0"/>
                      <w:color w:val="000000" w:themeColor="text1"/>
                      <w:sz w:val="21"/>
                      <w:szCs w:val="21"/>
                      <w:lang w:val="en-US" w:eastAsia="zh-CN"/>
                    </w:rPr>
                    <w:t>年</w:t>
                  </w:r>
                </w:p>
              </w:tc>
            </w:tr>
          </w:tbl>
          <w:p w14:paraId="0443BD08">
            <w:pPr>
              <w:spacing w:line="360" w:lineRule="auto"/>
              <w:rPr>
                <w:rFonts w:hint="default" w:ascii="Times New Roman" w:hAnsi="Times New Roman" w:eastAsia="宋体" w:cs="Times New Roman"/>
                <w:b w:val="0"/>
                <w:bCs w:val="0"/>
                <w:color w:val="000000" w:themeColor="text1"/>
                <w:sz w:val="24"/>
                <w:szCs w:val="24"/>
              </w:rPr>
            </w:pPr>
            <w:r>
              <w:rPr>
                <w:rFonts w:hint="default" w:ascii="Times New Roman" w:hAnsi="Times New Roman" w:eastAsia="宋体" w:cs="Times New Roman"/>
                <w:b w:val="0"/>
                <w:bCs w:val="0"/>
                <w:color w:val="000000" w:themeColor="text1"/>
                <w:sz w:val="24"/>
                <w:szCs w:val="24"/>
              </w:rPr>
              <w:t>3</w:t>
            </w:r>
            <w:r>
              <w:rPr>
                <w:rFonts w:hint="eastAsia" w:ascii="Times New Roman" w:hAnsi="Times New Roman" w:eastAsia="宋体" w:cs="Times New Roman"/>
                <w:b w:val="0"/>
                <w:bCs w:val="0"/>
                <w:color w:val="000000" w:themeColor="text1"/>
                <w:sz w:val="24"/>
                <w:szCs w:val="24"/>
                <w:lang w:eastAsia="zh-CN"/>
              </w:rPr>
              <w:t>、</w:t>
            </w:r>
            <w:r>
              <w:rPr>
                <w:rFonts w:hint="default" w:ascii="Times New Roman" w:hAnsi="Times New Roman" w:eastAsia="宋体" w:cs="Times New Roman"/>
                <w:b w:val="0"/>
                <w:bCs w:val="0"/>
                <w:color w:val="000000" w:themeColor="text1"/>
                <w:sz w:val="24"/>
                <w:szCs w:val="24"/>
              </w:rPr>
              <w:t>污染物达标排放情况</w:t>
            </w:r>
          </w:p>
          <w:p w14:paraId="172D75A9">
            <w:pPr>
              <w:pStyle w:val="4"/>
              <w:adjustRightInd w:val="0"/>
              <w:spacing w:before="0" w:after="0" w:line="360" w:lineRule="auto"/>
              <w:ind w:firstLine="480" w:firstLineChars="200"/>
              <w:textAlignment w:val="baseline"/>
              <w:rPr>
                <w:rFonts w:hint="default" w:ascii="Times New Roman" w:hAnsi="Times New Roman" w:eastAsia="宋体" w:cs="Times New Roman"/>
                <w:b w:val="0"/>
                <w:bCs w:val="0"/>
                <w:color w:val="000000" w:themeColor="text1"/>
                <w:sz w:val="24"/>
                <w:szCs w:val="24"/>
              </w:rPr>
            </w:pPr>
            <w:r>
              <w:rPr>
                <w:rFonts w:hint="default" w:ascii="Times New Roman" w:hAnsi="Times New Roman" w:eastAsia="宋体" w:cs="Times New Roman"/>
                <w:b w:val="0"/>
                <w:bCs w:val="0"/>
                <w:color w:val="000000" w:themeColor="text1"/>
                <w:sz w:val="24"/>
                <w:szCs w:val="24"/>
              </w:rPr>
              <w:t>根据上文分析，本项目运营期间的综合废水收集后可达到龙湖污水处理厂接管标准，综合废水进市政管网排入龙湖污水处理厂深度处理，处理达到《城镇污水处理厂污染物排放标准》(GB18918-2002)中一级A标准后排入龙河。</w:t>
            </w:r>
          </w:p>
          <w:p w14:paraId="52D074C8">
            <w:pPr>
              <w:spacing w:line="360" w:lineRule="auto"/>
              <w:rPr>
                <w:rFonts w:hint="default" w:ascii="Times New Roman" w:hAnsi="Times New Roman" w:eastAsia="宋体" w:cs="Times New Roman"/>
                <w:b w:val="0"/>
                <w:bCs w:val="0"/>
                <w:color w:val="000000" w:themeColor="text1"/>
                <w:sz w:val="24"/>
                <w:szCs w:val="24"/>
              </w:rPr>
            </w:pPr>
            <w:r>
              <w:rPr>
                <w:rFonts w:hint="default" w:ascii="Times New Roman" w:hAnsi="Times New Roman" w:eastAsia="宋体" w:cs="Times New Roman"/>
                <w:b w:val="0"/>
                <w:bCs w:val="0"/>
                <w:color w:val="000000" w:themeColor="text1"/>
                <w:sz w:val="24"/>
                <w:szCs w:val="24"/>
              </w:rPr>
              <w:t>4</w:t>
            </w:r>
            <w:r>
              <w:rPr>
                <w:rFonts w:hint="eastAsia" w:ascii="Times New Roman" w:hAnsi="Times New Roman" w:eastAsia="宋体" w:cs="Times New Roman"/>
                <w:b w:val="0"/>
                <w:bCs w:val="0"/>
                <w:color w:val="000000" w:themeColor="text1"/>
                <w:sz w:val="24"/>
                <w:szCs w:val="24"/>
                <w:lang w:eastAsia="zh-CN"/>
              </w:rPr>
              <w:t>、</w:t>
            </w:r>
            <w:r>
              <w:rPr>
                <w:rFonts w:hint="default" w:ascii="Times New Roman" w:hAnsi="Times New Roman" w:eastAsia="宋体" w:cs="Times New Roman"/>
                <w:b w:val="0"/>
                <w:bCs w:val="0"/>
                <w:color w:val="000000" w:themeColor="text1"/>
                <w:sz w:val="24"/>
                <w:szCs w:val="24"/>
              </w:rPr>
              <w:t>废水接管处理可行性分析</w:t>
            </w:r>
          </w:p>
          <w:p w14:paraId="6399923F">
            <w:pPr>
              <w:spacing w:line="360" w:lineRule="auto"/>
              <w:ind w:firstLine="480" w:firstLineChars="200"/>
              <w:rPr>
                <w:rFonts w:hint="default" w:ascii="Times New Roman" w:hAnsi="Times New Roman" w:eastAsia="宋体" w:cs="Times New Roman"/>
                <w:b w:val="0"/>
                <w:bCs w:val="0"/>
                <w:color w:val="000000" w:themeColor="text1"/>
                <w:sz w:val="24"/>
                <w:szCs w:val="24"/>
              </w:rPr>
            </w:pPr>
            <w:r>
              <w:rPr>
                <w:rFonts w:hint="default" w:ascii="Times New Roman" w:hAnsi="Times New Roman" w:eastAsia="宋体" w:cs="Times New Roman"/>
                <w:b w:val="0"/>
                <w:bCs w:val="0"/>
                <w:color w:val="000000" w:themeColor="text1"/>
                <w:sz w:val="24"/>
                <w:szCs w:val="24"/>
              </w:rPr>
              <w:t>安徽淮北杜集经济开发区现状区内企业污水经预处理后达接管标准后排入开发区污水管网，经现状污水提升泵站提升汇入区域污水干管（沿北外环路铺设），最终进入经龙湖污水处理厂集中处理后达到《城镇污水处理厂污染物排放标准》（GB18918-2002）一级 A 标准后，排放进入龙河。目前管网已与东山北路、202 省道市政管网连接，通过杜集片区污水转输工程，统一输送至龙湖污水处理厂集中处理。</w:t>
            </w:r>
          </w:p>
          <w:p w14:paraId="472A44E2">
            <w:pPr>
              <w:spacing w:line="360" w:lineRule="auto"/>
              <w:ind w:firstLine="480" w:firstLineChars="200"/>
              <w:rPr>
                <w:rFonts w:hint="eastAsia" w:ascii="Times New Roman" w:hAnsi="Times New Roman" w:eastAsia="宋体" w:cs="Times New Roman"/>
                <w:b w:val="0"/>
                <w:bCs w:val="0"/>
                <w:color w:val="000000" w:themeColor="text1"/>
                <w:sz w:val="24"/>
                <w:szCs w:val="24"/>
                <w:lang w:eastAsia="zh-CN"/>
              </w:rPr>
            </w:pPr>
            <w:r>
              <w:rPr>
                <w:rFonts w:hint="default" w:ascii="Times New Roman" w:hAnsi="Times New Roman" w:eastAsia="宋体" w:cs="Times New Roman"/>
                <w:b w:val="0"/>
                <w:bCs w:val="0"/>
                <w:color w:val="000000" w:themeColor="text1"/>
                <w:sz w:val="24"/>
                <w:szCs w:val="24"/>
              </w:rPr>
              <w:t>龙湖工业园污水处理厂位于龙湖高新区内东南，规划处理水量为4万m</w:t>
            </w:r>
            <w:r>
              <w:rPr>
                <w:rFonts w:hint="default" w:ascii="Times New Roman" w:hAnsi="Times New Roman" w:eastAsia="宋体" w:cs="Times New Roman"/>
                <w:b w:val="0"/>
                <w:bCs w:val="0"/>
                <w:color w:val="000000" w:themeColor="text1"/>
                <w:sz w:val="24"/>
                <w:szCs w:val="24"/>
                <w:vertAlign w:val="superscript"/>
              </w:rPr>
              <w:t>3</w:t>
            </w:r>
            <w:r>
              <w:rPr>
                <w:rFonts w:hint="default" w:ascii="Times New Roman" w:hAnsi="Times New Roman" w:eastAsia="宋体" w:cs="Times New Roman"/>
                <w:b w:val="0"/>
                <w:bCs w:val="0"/>
                <w:color w:val="000000" w:themeColor="text1"/>
                <w:sz w:val="24"/>
                <w:szCs w:val="24"/>
              </w:rPr>
              <w:t>/d，项目分两期建设，两期工程均已建成。</w:t>
            </w:r>
          </w:p>
          <w:p w14:paraId="64BFBE13">
            <w:pPr>
              <w:spacing w:line="360" w:lineRule="auto"/>
              <w:ind w:firstLine="480" w:firstLineChars="200"/>
              <w:rPr>
                <w:rFonts w:hint="default" w:ascii="Times New Roman" w:hAnsi="Times New Roman" w:eastAsia="宋体" w:cs="Times New Roman"/>
                <w:b w:val="0"/>
                <w:bCs w:val="0"/>
                <w:color w:val="000000" w:themeColor="text1"/>
                <w:sz w:val="24"/>
                <w:szCs w:val="24"/>
              </w:rPr>
            </w:pPr>
            <w:r>
              <w:rPr>
                <w:rFonts w:hint="default" w:ascii="Times New Roman" w:hAnsi="Times New Roman" w:eastAsia="宋体" w:cs="Times New Roman"/>
                <w:b w:val="0"/>
                <w:bCs w:val="0"/>
                <w:color w:val="000000" w:themeColor="text1"/>
                <w:sz w:val="24"/>
                <w:szCs w:val="24"/>
              </w:rPr>
              <w:t>根据龙湖污水处理厂规划，龙湖污水处理厂服务范围为龙湖工业园及杜集经济开发区。本项目位于杜集经济开发区，属于龙湖污水处理厂的收水范围。</w:t>
            </w:r>
          </w:p>
          <w:p w14:paraId="284FA61B">
            <w:pPr>
              <w:spacing w:line="360" w:lineRule="auto"/>
              <w:ind w:firstLine="480" w:firstLineChars="200"/>
              <w:rPr>
                <w:rFonts w:hint="default" w:ascii="Times New Roman" w:hAnsi="Times New Roman" w:eastAsia="宋体" w:cs="Times New Roman"/>
                <w:b w:val="0"/>
                <w:bCs w:val="0"/>
                <w:color w:val="000000" w:themeColor="text1"/>
                <w:sz w:val="24"/>
                <w:szCs w:val="24"/>
              </w:rPr>
            </w:pPr>
            <w:r>
              <w:rPr>
                <w:rFonts w:hint="default" w:ascii="Times New Roman" w:hAnsi="Times New Roman" w:eastAsia="宋体" w:cs="Times New Roman"/>
                <w:b w:val="0"/>
                <w:bCs w:val="0"/>
                <w:color w:val="000000" w:themeColor="text1"/>
                <w:sz w:val="24"/>
                <w:szCs w:val="24"/>
              </w:rPr>
              <w:t>①水量</w:t>
            </w:r>
          </w:p>
          <w:p w14:paraId="6268D0DD">
            <w:pPr>
              <w:spacing w:line="360" w:lineRule="auto"/>
              <w:ind w:firstLine="480" w:firstLineChars="200"/>
              <w:rPr>
                <w:rFonts w:hint="default" w:ascii="Times New Roman" w:hAnsi="Times New Roman" w:eastAsia="宋体" w:cs="Times New Roman"/>
                <w:b w:val="0"/>
                <w:bCs w:val="0"/>
                <w:color w:val="000000" w:themeColor="text1"/>
                <w:sz w:val="24"/>
                <w:szCs w:val="24"/>
              </w:rPr>
            </w:pPr>
            <w:r>
              <w:rPr>
                <w:rFonts w:hint="default" w:ascii="Times New Roman" w:hAnsi="Times New Roman" w:eastAsia="宋体" w:cs="Times New Roman"/>
                <w:b w:val="0"/>
                <w:bCs w:val="0"/>
                <w:color w:val="000000" w:themeColor="text1"/>
                <w:sz w:val="24"/>
                <w:szCs w:val="24"/>
              </w:rPr>
              <w:t>龙湖污水处理厂实际建设规模为2万</w:t>
            </w:r>
            <w:r>
              <w:rPr>
                <w:rFonts w:hint="eastAsia" w:ascii="Times New Roman" w:hAnsi="Times New Roman" w:eastAsia="宋体" w:cs="Times New Roman"/>
                <w:b w:val="0"/>
                <w:bCs w:val="0"/>
                <w:color w:val="000000" w:themeColor="text1"/>
                <w:sz w:val="24"/>
                <w:szCs w:val="24"/>
                <w:lang w:val="en-US" w:eastAsia="zh-CN"/>
              </w:rPr>
              <w:t>t</w:t>
            </w:r>
            <w:r>
              <w:rPr>
                <w:rFonts w:hint="default" w:ascii="Times New Roman" w:hAnsi="Times New Roman" w:eastAsia="宋体" w:cs="Times New Roman"/>
                <w:b w:val="0"/>
                <w:bCs w:val="0"/>
                <w:color w:val="000000" w:themeColor="text1"/>
                <w:sz w:val="24"/>
                <w:szCs w:val="24"/>
              </w:rPr>
              <w:t>/</w:t>
            </w:r>
            <w:r>
              <w:rPr>
                <w:rFonts w:hint="eastAsia" w:ascii="Times New Roman" w:hAnsi="Times New Roman" w:eastAsia="宋体" w:cs="Times New Roman"/>
                <w:b w:val="0"/>
                <w:bCs w:val="0"/>
                <w:color w:val="000000" w:themeColor="text1"/>
                <w:sz w:val="24"/>
                <w:szCs w:val="24"/>
                <w:lang w:val="en-US" w:eastAsia="zh-CN"/>
              </w:rPr>
              <w:t>d</w:t>
            </w:r>
            <w:r>
              <w:rPr>
                <w:rFonts w:hint="default" w:ascii="Times New Roman" w:hAnsi="Times New Roman" w:eastAsia="宋体" w:cs="Times New Roman"/>
                <w:b w:val="0"/>
                <w:bCs w:val="0"/>
                <w:color w:val="000000" w:themeColor="text1"/>
                <w:sz w:val="24"/>
                <w:szCs w:val="24"/>
              </w:rPr>
              <w:t>，目前进水量基本维持在1.8万</w:t>
            </w:r>
            <w:r>
              <w:rPr>
                <w:rFonts w:hint="eastAsia" w:ascii="Times New Roman" w:hAnsi="Times New Roman" w:eastAsia="宋体" w:cs="Times New Roman"/>
                <w:b w:val="0"/>
                <w:bCs w:val="0"/>
                <w:color w:val="000000" w:themeColor="text1"/>
                <w:sz w:val="24"/>
                <w:szCs w:val="24"/>
                <w:lang w:val="en-US" w:eastAsia="zh-CN"/>
              </w:rPr>
              <w:t>t</w:t>
            </w:r>
            <w:r>
              <w:rPr>
                <w:rFonts w:hint="default" w:ascii="Times New Roman" w:hAnsi="Times New Roman" w:eastAsia="宋体" w:cs="Times New Roman"/>
                <w:b w:val="0"/>
                <w:bCs w:val="0"/>
                <w:color w:val="000000" w:themeColor="text1"/>
                <w:sz w:val="24"/>
                <w:szCs w:val="24"/>
              </w:rPr>
              <w:t>/</w:t>
            </w:r>
            <w:r>
              <w:rPr>
                <w:rFonts w:hint="eastAsia" w:ascii="Times New Roman" w:hAnsi="Times New Roman" w:eastAsia="宋体" w:cs="Times New Roman"/>
                <w:b w:val="0"/>
                <w:bCs w:val="0"/>
                <w:color w:val="000000" w:themeColor="text1"/>
                <w:sz w:val="24"/>
                <w:szCs w:val="24"/>
                <w:lang w:val="en-US" w:eastAsia="zh-CN"/>
              </w:rPr>
              <w:t>d</w:t>
            </w:r>
            <w:r>
              <w:rPr>
                <w:rFonts w:hint="default" w:ascii="Times New Roman" w:hAnsi="Times New Roman" w:eastAsia="宋体" w:cs="Times New Roman"/>
                <w:b w:val="0"/>
                <w:bCs w:val="0"/>
                <w:color w:val="000000" w:themeColor="text1"/>
                <w:sz w:val="24"/>
                <w:szCs w:val="24"/>
              </w:rPr>
              <w:t>。本项目所在区域配套的污水管网已接往龙湖污水处理厂，本项目产生的废水能够经过市政污水管网进入龙湖污水处理厂进行处理。本项目日均排放废水量为</w:t>
            </w:r>
            <w:r>
              <w:rPr>
                <w:rFonts w:hint="eastAsia" w:ascii="Times New Roman" w:hAnsi="Times New Roman" w:eastAsia="宋体" w:cs="Times New Roman"/>
                <w:b w:val="0"/>
                <w:bCs w:val="0"/>
                <w:color w:val="000000" w:themeColor="text1"/>
                <w:sz w:val="24"/>
                <w:szCs w:val="24"/>
                <w:lang w:val="en-US" w:eastAsia="zh-CN"/>
              </w:rPr>
              <w:t>0.96</w:t>
            </w:r>
            <w:r>
              <w:rPr>
                <w:rFonts w:hint="default" w:ascii="Times New Roman" w:hAnsi="Times New Roman" w:eastAsia="宋体" w:cs="Times New Roman"/>
                <w:b w:val="0"/>
                <w:bCs w:val="0"/>
                <w:color w:val="000000" w:themeColor="text1"/>
                <w:sz w:val="24"/>
                <w:szCs w:val="24"/>
              </w:rPr>
              <w:t>m</w:t>
            </w:r>
            <w:r>
              <w:rPr>
                <w:rFonts w:hint="default" w:ascii="Times New Roman" w:hAnsi="Times New Roman" w:eastAsia="宋体" w:cs="Times New Roman"/>
                <w:b w:val="0"/>
                <w:bCs w:val="0"/>
                <w:color w:val="000000" w:themeColor="text1"/>
                <w:sz w:val="24"/>
                <w:szCs w:val="24"/>
                <w:vertAlign w:val="superscript"/>
              </w:rPr>
              <w:t>3</w:t>
            </w:r>
            <w:r>
              <w:rPr>
                <w:rFonts w:hint="default" w:ascii="Times New Roman" w:hAnsi="Times New Roman" w:eastAsia="宋体" w:cs="Times New Roman"/>
                <w:b w:val="0"/>
                <w:bCs w:val="0"/>
                <w:color w:val="000000" w:themeColor="text1"/>
                <w:sz w:val="24"/>
                <w:szCs w:val="24"/>
              </w:rPr>
              <w:t>/d，仅占其</w:t>
            </w:r>
            <w:r>
              <w:rPr>
                <w:rFonts w:hint="eastAsia" w:ascii="Times New Roman" w:hAnsi="Times New Roman" w:eastAsia="宋体" w:cs="Times New Roman"/>
                <w:b w:val="0"/>
                <w:bCs w:val="0"/>
                <w:color w:val="000000" w:themeColor="text1"/>
                <w:sz w:val="24"/>
                <w:szCs w:val="24"/>
                <w:lang w:val="en-US" w:eastAsia="zh-CN"/>
              </w:rPr>
              <w:t>剩余</w:t>
            </w:r>
            <w:r>
              <w:rPr>
                <w:rFonts w:hint="default" w:ascii="Times New Roman" w:hAnsi="Times New Roman" w:eastAsia="宋体" w:cs="Times New Roman"/>
                <w:b w:val="0"/>
                <w:bCs w:val="0"/>
                <w:color w:val="000000" w:themeColor="text1"/>
                <w:sz w:val="24"/>
                <w:szCs w:val="24"/>
              </w:rPr>
              <w:t>处理能力的0.</w:t>
            </w:r>
            <w:r>
              <w:rPr>
                <w:rFonts w:hint="eastAsia" w:ascii="Times New Roman" w:hAnsi="Times New Roman" w:eastAsia="宋体" w:cs="Times New Roman"/>
                <w:b w:val="0"/>
                <w:bCs w:val="0"/>
                <w:color w:val="000000" w:themeColor="text1"/>
                <w:sz w:val="24"/>
                <w:szCs w:val="24"/>
                <w:lang w:val="en-US" w:eastAsia="zh-CN"/>
              </w:rPr>
              <w:t>048</w:t>
            </w:r>
            <w:r>
              <w:rPr>
                <w:rFonts w:hint="default" w:ascii="Times New Roman" w:hAnsi="Times New Roman" w:eastAsia="宋体" w:cs="Times New Roman"/>
                <w:b w:val="0"/>
                <w:bCs w:val="0"/>
                <w:color w:val="000000" w:themeColor="text1"/>
                <w:sz w:val="24"/>
                <w:szCs w:val="24"/>
              </w:rPr>
              <w:t>%，远小于龙湖污水处理厂处理能力，对污水处理厂的正常运行不会造成冲击。从水量上来讲，项目废水接管进入龙湖污水处理厂可行。</w:t>
            </w:r>
          </w:p>
          <w:p w14:paraId="591C4A42">
            <w:pPr>
              <w:spacing w:line="360" w:lineRule="auto"/>
              <w:ind w:firstLine="480" w:firstLineChars="200"/>
              <w:rPr>
                <w:rFonts w:hint="eastAsia" w:ascii="Times New Roman" w:hAnsi="Times New Roman" w:eastAsia="宋体" w:cs="Times New Roman"/>
                <w:b w:val="0"/>
                <w:bCs w:val="0"/>
                <w:color w:val="000000" w:themeColor="text1"/>
                <w:sz w:val="24"/>
                <w:szCs w:val="24"/>
                <w:lang w:val="en-US" w:eastAsia="zh-CN"/>
              </w:rPr>
            </w:pPr>
            <w:r>
              <w:rPr>
                <w:rFonts w:hint="eastAsia" w:ascii="Times New Roman" w:hAnsi="Times New Roman" w:eastAsia="宋体" w:cs="Times New Roman"/>
                <w:b w:val="0"/>
                <w:bCs w:val="0"/>
                <w:color w:val="000000" w:themeColor="text1"/>
                <w:sz w:val="24"/>
                <w:szCs w:val="24"/>
                <w:lang w:val="en-US" w:eastAsia="zh-CN"/>
              </w:rPr>
              <w:t>②水质</w:t>
            </w:r>
          </w:p>
          <w:p w14:paraId="7A991A90">
            <w:pPr>
              <w:spacing w:line="360" w:lineRule="auto"/>
              <w:ind w:firstLine="480" w:firstLineChars="200"/>
              <w:rPr>
                <w:rFonts w:hint="default" w:ascii="Times New Roman" w:hAnsi="Times New Roman" w:eastAsia="宋体" w:cs="Times New Roman"/>
                <w:b w:val="0"/>
                <w:bCs w:val="0"/>
                <w:color w:val="000000" w:themeColor="text1"/>
                <w:sz w:val="24"/>
                <w:szCs w:val="24"/>
                <w:lang w:val="en-US" w:eastAsia="zh-CN"/>
              </w:rPr>
            </w:pPr>
            <w:r>
              <w:rPr>
                <w:rFonts w:hint="default" w:ascii="Times New Roman" w:hAnsi="Times New Roman" w:eastAsia="宋体" w:cs="Times New Roman"/>
                <w:b w:val="0"/>
                <w:bCs w:val="0"/>
                <w:color w:val="000000" w:themeColor="text1"/>
                <w:sz w:val="24"/>
                <w:szCs w:val="24"/>
                <w:lang w:val="en-US" w:eastAsia="zh-CN"/>
              </w:rPr>
              <w:t>本项目产生的生活污水水质简单，接管浓度达到《污水综合排放标准》（GB8978-1996）中三级标准及龙湖污水处理厂接管标准，污水中不含有对污水处理工艺造成不良影响的污染物，不会对龙湖污水处理厂的处理造成冲击，因此项目废水接管排入龙湖污水处理厂集中处理可行。</w:t>
            </w:r>
          </w:p>
          <w:p w14:paraId="2989E4D8">
            <w:pPr>
              <w:spacing w:line="360" w:lineRule="auto"/>
              <w:ind w:firstLine="480" w:firstLineChars="200"/>
              <w:rPr>
                <w:rFonts w:hint="default" w:ascii="Times New Roman" w:hAnsi="Times New Roman" w:eastAsia="宋体" w:cs="Times New Roman"/>
                <w:b w:val="0"/>
                <w:bCs w:val="0"/>
                <w:color w:val="000000" w:themeColor="text1"/>
                <w:sz w:val="24"/>
                <w:szCs w:val="24"/>
              </w:rPr>
            </w:pPr>
            <w:r>
              <w:rPr>
                <w:rFonts w:hint="default" w:ascii="Times New Roman" w:hAnsi="Times New Roman" w:eastAsia="宋体" w:cs="Times New Roman"/>
                <w:b w:val="0"/>
                <w:bCs w:val="0"/>
                <w:color w:val="000000" w:themeColor="text1"/>
                <w:sz w:val="24"/>
                <w:szCs w:val="24"/>
              </w:rPr>
              <w:t>综上所述，从路径、水量、水质三方面分析，本项目产生的废水接入龙湖污水处理厂可行，最终达标排入龙河，对龙河水环境影响较小。</w:t>
            </w:r>
          </w:p>
          <w:p w14:paraId="0C28FB64">
            <w:pPr>
              <w:spacing w:line="360" w:lineRule="auto"/>
              <w:ind w:firstLine="480" w:firstLineChars="200"/>
              <w:rPr>
                <w:rFonts w:hint="eastAsia" w:ascii="Times New Roman" w:hAnsi="Times New Roman" w:eastAsia="宋体" w:cs="Times New Roman"/>
                <w:b w:val="0"/>
                <w:bCs w:val="0"/>
                <w:color w:val="000000" w:themeColor="text1"/>
                <w:sz w:val="24"/>
                <w:szCs w:val="24"/>
                <w:lang w:eastAsia="zh-CN"/>
              </w:rPr>
            </w:pPr>
            <w:r>
              <w:rPr>
                <w:rFonts w:hint="default" w:ascii="Times New Roman" w:hAnsi="Times New Roman" w:eastAsia="宋体" w:cs="Times New Roman"/>
                <w:b w:val="0"/>
                <w:bCs w:val="0"/>
                <w:color w:val="000000" w:themeColor="text1"/>
                <w:sz w:val="24"/>
                <w:szCs w:val="24"/>
              </w:rPr>
              <w:t>龙湖污水处理厂污水处理工艺流程图下图</w:t>
            </w:r>
            <w:r>
              <w:rPr>
                <w:rFonts w:hint="eastAsia" w:ascii="Times New Roman" w:hAnsi="Times New Roman" w:eastAsia="宋体" w:cs="Times New Roman"/>
                <w:b w:val="0"/>
                <w:bCs w:val="0"/>
                <w:color w:val="000000" w:themeColor="text1"/>
                <w:sz w:val="24"/>
                <w:szCs w:val="24"/>
                <w:lang w:eastAsia="zh-CN"/>
              </w:rPr>
              <w:t>。</w:t>
            </w:r>
          </w:p>
          <w:p w14:paraId="515E949B">
            <w:pPr>
              <w:jc w:val="center"/>
              <w:rPr>
                <w:rFonts w:hint="default" w:ascii="Times New Roman" w:hAnsi="Times New Roman" w:eastAsia="宋体" w:cs="Times New Roman"/>
                <w:b w:val="0"/>
                <w:bCs w:val="0"/>
                <w:color w:val="000000" w:themeColor="text1"/>
                <w:sz w:val="24"/>
                <w:szCs w:val="24"/>
              </w:rPr>
            </w:pPr>
            <w:r>
              <w:rPr>
                <w:rFonts w:hint="default" w:ascii="Times New Roman" w:hAnsi="Times New Roman" w:eastAsia="宋体" w:cs="Times New Roman"/>
                <w:b w:val="0"/>
                <w:bCs w:val="0"/>
                <w:color w:val="000000" w:themeColor="text1"/>
                <w:sz w:val="24"/>
                <w:szCs w:val="24"/>
              </w:rPr>
              <w:pict>
                <v:shape id="_x0000_i1031" o:spt="75" type="#_x0000_t75" style="height:258.25pt;width:419.25pt;" filled="f" o:preferrelative="t" stroked="f" coordsize="21600,21600">
                  <v:path/>
                  <v:fill on="f" focussize="0,0"/>
                  <v:stroke on="f"/>
                  <v:imagedata r:id="rId15" cropleft="2880f" cropright="4854f" o:title=""/>
                  <o:lock v:ext="edit" aspectratio="t"/>
                  <w10:wrap type="none"/>
                  <w10:anchorlock/>
                </v:shape>
              </w:pict>
            </w:r>
          </w:p>
          <w:p w14:paraId="1EEFE840">
            <w:pPr>
              <w:spacing w:line="360" w:lineRule="auto"/>
              <w:ind w:firstLine="482" w:firstLineChars="200"/>
              <w:jc w:val="center"/>
              <w:rPr>
                <w:rFonts w:hint="default" w:ascii="Times New Roman" w:hAnsi="Times New Roman" w:eastAsia="宋体" w:cs="Times New Roman"/>
                <w:b/>
                <w:bCs/>
                <w:color w:val="000000" w:themeColor="text1"/>
                <w:sz w:val="24"/>
                <w:szCs w:val="24"/>
              </w:rPr>
            </w:pPr>
            <w:r>
              <w:rPr>
                <w:rFonts w:hint="default" w:ascii="Times New Roman" w:hAnsi="Times New Roman" w:eastAsia="宋体" w:cs="Times New Roman"/>
                <w:b/>
                <w:bCs/>
                <w:color w:val="000000" w:themeColor="text1"/>
                <w:sz w:val="24"/>
                <w:szCs w:val="24"/>
              </w:rPr>
              <w:t>图4-1 龙湖污水处理厂工艺流程图</w:t>
            </w:r>
          </w:p>
          <w:p w14:paraId="68C1FE6B">
            <w:pPr>
              <w:spacing w:line="360" w:lineRule="auto"/>
              <w:ind w:firstLine="480" w:firstLineChars="200"/>
              <w:rPr>
                <w:rFonts w:hint="default" w:ascii="Times New Roman" w:hAnsi="Times New Roman" w:eastAsia="宋体" w:cs="Times New Roman"/>
                <w:b w:val="0"/>
                <w:bCs w:val="0"/>
                <w:color w:val="000000" w:themeColor="text1"/>
                <w:sz w:val="24"/>
                <w:szCs w:val="24"/>
              </w:rPr>
            </w:pPr>
            <w:r>
              <w:rPr>
                <w:rFonts w:hint="default" w:ascii="Times New Roman" w:hAnsi="Times New Roman" w:eastAsia="宋体" w:cs="Times New Roman"/>
                <w:b w:val="0"/>
                <w:bCs w:val="0"/>
                <w:color w:val="000000" w:themeColor="text1"/>
                <w:sz w:val="24"/>
                <w:szCs w:val="24"/>
              </w:rPr>
              <w:t>因此</w:t>
            </w:r>
            <w:r>
              <w:rPr>
                <w:rFonts w:hint="eastAsia" w:ascii="Times New Roman" w:hAnsi="Times New Roman" w:eastAsia="宋体" w:cs="Times New Roman"/>
                <w:b w:val="0"/>
                <w:bCs w:val="0"/>
                <w:color w:val="000000" w:themeColor="text1"/>
                <w:sz w:val="24"/>
                <w:szCs w:val="24"/>
                <w:lang w:eastAsia="zh-CN"/>
              </w:rPr>
              <w:t>，</w:t>
            </w:r>
            <w:r>
              <w:rPr>
                <w:rFonts w:hint="eastAsia" w:ascii="Times New Roman" w:hAnsi="Times New Roman" w:eastAsia="宋体" w:cs="Times New Roman"/>
                <w:b w:val="0"/>
                <w:bCs w:val="0"/>
                <w:color w:val="000000" w:themeColor="text1"/>
                <w:sz w:val="24"/>
                <w:szCs w:val="24"/>
                <w:lang w:val="en-US" w:eastAsia="zh-CN"/>
              </w:rPr>
              <w:t>采取上述措施后，本项目废水对区域地表水环境影响较小</w:t>
            </w:r>
            <w:r>
              <w:rPr>
                <w:rFonts w:hint="default" w:ascii="Times New Roman" w:hAnsi="Times New Roman" w:eastAsia="宋体" w:cs="Times New Roman"/>
                <w:b w:val="0"/>
                <w:bCs w:val="0"/>
                <w:color w:val="000000" w:themeColor="text1"/>
                <w:sz w:val="24"/>
                <w:szCs w:val="24"/>
              </w:rPr>
              <w:t>。</w:t>
            </w:r>
          </w:p>
          <w:p w14:paraId="07C80409">
            <w:pPr>
              <w:pStyle w:val="4"/>
              <w:adjustRightInd w:val="0"/>
              <w:spacing w:before="120" w:beforeLines="50" w:after="120" w:afterLines="50" w:line="360" w:lineRule="auto"/>
              <w:textAlignment w:val="baseline"/>
              <w:rPr>
                <w:rFonts w:hint="default" w:ascii="Times New Roman" w:hAnsi="Times New Roman" w:eastAsia="宋体" w:cs="Times New Roman"/>
                <w:b/>
                <w:bCs/>
                <w:color w:val="000000" w:themeColor="text1"/>
                <w:sz w:val="24"/>
                <w:szCs w:val="24"/>
              </w:rPr>
            </w:pPr>
            <w:r>
              <w:rPr>
                <w:rFonts w:hint="eastAsia" w:eastAsia="宋体" w:cs="Times New Roman"/>
                <w:b/>
                <w:bCs/>
                <w:color w:val="000000" w:themeColor="text1"/>
                <w:sz w:val="24"/>
                <w:szCs w:val="24"/>
                <w:lang w:val="en-US" w:eastAsia="zh-CN"/>
              </w:rPr>
              <w:t>三、</w:t>
            </w:r>
            <w:r>
              <w:rPr>
                <w:rFonts w:hint="default" w:ascii="Times New Roman" w:hAnsi="Times New Roman" w:eastAsia="宋体" w:cs="Times New Roman"/>
                <w:b/>
                <w:bCs/>
                <w:color w:val="000000" w:themeColor="text1"/>
                <w:sz w:val="24"/>
                <w:szCs w:val="24"/>
              </w:rPr>
              <w:t>运营期噪声环境影响和保护措施</w:t>
            </w:r>
          </w:p>
          <w:p w14:paraId="3831D121">
            <w:pPr>
              <w:spacing w:line="360" w:lineRule="auto"/>
              <w:rPr>
                <w:rFonts w:hint="default" w:ascii="Times New Roman" w:hAnsi="Times New Roman" w:eastAsia="宋体" w:cs="Times New Roman"/>
                <w:b w:val="0"/>
                <w:bCs w:val="0"/>
                <w:color w:val="000000" w:themeColor="text1"/>
                <w:sz w:val="24"/>
                <w:szCs w:val="24"/>
              </w:rPr>
            </w:pPr>
            <w:r>
              <w:rPr>
                <w:rFonts w:hint="eastAsia" w:ascii="Times New Roman" w:hAnsi="Times New Roman" w:eastAsia="宋体" w:cs="Times New Roman"/>
                <w:b w:val="0"/>
                <w:bCs w:val="0"/>
                <w:color w:val="000000" w:themeColor="text1"/>
                <w:sz w:val="24"/>
                <w:szCs w:val="24"/>
                <w:lang w:val="en-US" w:eastAsia="zh-CN"/>
              </w:rPr>
              <w:t>1、</w:t>
            </w:r>
            <w:r>
              <w:rPr>
                <w:rFonts w:hint="default" w:ascii="Times New Roman" w:hAnsi="Times New Roman" w:eastAsia="宋体" w:cs="Times New Roman"/>
                <w:b w:val="0"/>
                <w:bCs w:val="0"/>
                <w:color w:val="000000" w:themeColor="text1"/>
                <w:sz w:val="24"/>
                <w:szCs w:val="24"/>
              </w:rPr>
              <w:t>噪声预测影响分析</w:t>
            </w:r>
          </w:p>
          <w:p w14:paraId="28994D5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000000" w:themeColor="text1"/>
                <w:spacing w:val="0"/>
                <w:kern w:val="2"/>
                <w:sz w:val="24"/>
                <w:szCs w:val="24"/>
                <w:lang w:val="en-US" w:eastAsia="zh-CN" w:bidi="ar-SA"/>
              </w:rPr>
            </w:pPr>
            <w:r>
              <w:rPr>
                <w:rFonts w:hint="default"/>
                <w:color w:val="000000" w:themeColor="text1"/>
                <w:sz w:val="24"/>
                <w:szCs w:val="24"/>
                <w:lang w:val="en-US" w:eastAsia="zh-CN"/>
              </w:rPr>
              <w:t>本项目噪声主要来自</w:t>
            </w:r>
            <w:r>
              <w:rPr>
                <w:rFonts w:hint="eastAsia"/>
                <w:color w:val="000000" w:themeColor="text1"/>
                <w:sz w:val="24"/>
                <w:szCs w:val="24"/>
                <w:lang w:val="en-US" w:eastAsia="zh-CN"/>
              </w:rPr>
              <w:t>箔绕机、绕线机、电焊机</w:t>
            </w:r>
            <w:r>
              <w:rPr>
                <w:rFonts w:hint="default"/>
                <w:color w:val="000000" w:themeColor="text1"/>
                <w:sz w:val="24"/>
                <w:szCs w:val="24"/>
                <w:lang w:val="en-US" w:eastAsia="zh-CN"/>
              </w:rPr>
              <w:t>、</w:t>
            </w:r>
            <w:r>
              <w:rPr>
                <w:rFonts w:hint="eastAsia"/>
                <w:color w:val="000000" w:themeColor="text1"/>
                <w:sz w:val="24"/>
                <w:szCs w:val="24"/>
                <w:lang w:val="en-US" w:eastAsia="zh-CN"/>
              </w:rPr>
              <w:t>真空浇注罐</w:t>
            </w:r>
            <w:r>
              <w:rPr>
                <w:rFonts w:hint="default"/>
                <w:color w:val="000000" w:themeColor="text1"/>
                <w:sz w:val="24"/>
                <w:szCs w:val="24"/>
                <w:lang w:val="en-US" w:eastAsia="zh-CN"/>
              </w:rPr>
              <w:t>、</w:t>
            </w:r>
            <w:r>
              <w:rPr>
                <w:rFonts w:hint="eastAsia"/>
                <w:color w:val="000000" w:themeColor="text1"/>
                <w:sz w:val="24"/>
                <w:szCs w:val="24"/>
                <w:lang w:val="en-US" w:eastAsia="zh-CN"/>
              </w:rPr>
              <w:t>烘箱</w:t>
            </w:r>
            <w:r>
              <w:rPr>
                <w:rFonts w:hint="default"/>
                <w:color w:val="000000" w:themeColor="text1"/>
                <w:sz w:val="24"/>
                <w:szCs w:val="24"/>
                <w:lang w:val="en-US" w:eastAsia="zh-CN"/>
              </w:rPr>
              <w:t>、</w:t>
            </w:r>
            <w:r>
              <w:rPr>
                <w:rFonts w:hint="eastAsia"/>
                <w:color w:val="000000" w:themeColor="text1"/>
                <w:sz w:val="24"/>
                <w:szCs w:val="24"/>
                <w:lang w:val="en-US" w:eastAsia="zh-CN"/>
              </w:rPr>
              <w:t>剪板机、空压机、风机</w:t>
            </w:r>
            <w:r>
              <w:rPr>
                <w:rFonts w:hint="default"/>
                <w:color w:val="000000" w:themeColor="text1"/>
                <w:sz w:val="24"/>
                <w:szCs w:val="24"/>
                <w:lang w:val="en-US" w:eastAsia="zh-CN"/>
              </w:rPr>
              <w:t>等机械设备。各噪声源情况统计详见下表。</w:t>
            </w:r>
          </w:p>
          <w:p w14:paraId="2DE591DA">
            <w:pPr>
              <w:tabs>
                <w:tab w:val="left" w:pos="1215"/>
              </w:tabs>
              <w:adjustRightInd w:val="0"/>
              <w:snapToGrid w:val="0"/>
              <w:spacing w:line="360" w:lineRule="auto"/>
              <w:jc w:val="left"/>
              <w:rPr>
                <w:rFonts w:hint="default" w:ascii="Times New Roman" w:hAnsi="Times New Roman" w:cs="Times New Roman"/>
                <w:color w:val="000000" w:themeColor="text1"/>
                <w:sz w:val="24"/>
                <w:szCs w:val="24"/>
              </w:rPr>
            </w:pPr>
          </w:p>
        </w:tc>
      </w:tr>
    </w:tbl>
    <w:p w14:paraId="31E3FE2E">
      <w:pPr>
        <w:adjustRightInd w:val="0"/>
        <w:snapToGrid w:val="0"/>
        <w:spacing w:line="360" w:lineRule="auto"/>
        <w:rPr>
          <w:rFonts w:hint="default" w:ascii="Times New Roman" w:hAnsi="Times New Roman" w:cs="Times New Roman"/>
          <w:b/>
          <w:bCs/>
          <w:color w:val="000000" w:themeColor="text1"/>
          <w:kern w:val="0"/>
          <w:sz w:val="28"/>
          <w:szCs w:val="28"/>
        </w:rPr>
      </w:pPr>
    </w:p>
    <w:p w14:paraId="02C37478">
      <w:pPr>
        <w:pStyle w:val="48"/>
        <w:rPr>
          <w:rFonts w:hint="default" w:ascii="Times New Roman" w:hAnsi="Times New Roman" w:eastAsia="宋体" w:cs="Times New Roman"/>
          <w:color w:val="000000" w:themeColor="text1"/>
        </w:rPr>
        <w:sectPr>
          <w:pgSz w:w="11907" w:h="16840"/>
          <w:pgMar w:top="1644" w:right="1531" w:bottom="2127" w:left="1531" w:header="851" w:footer="851" w:gutter="0"/>
          <w:cols w:space="720" w:num="1"/>
          <w:docGrid w:linePitch="312" w:charSpace="0"/>
        </w:sectPr>
      </w:pPr>
    </w:p>
    <w:p w14:paraId="2107C672">
      <w:pPr>
        <w:jc w:val="center"/>
        <w:rPr>
          <w:rFonts w:hint="default" w:ascii="Times New Roman" w:hAnsi="Times New Roman" w:cs="Times New Roman"/>
          <w:b/>
          <w:bCs/>
          <w:color w:val="000000" w:themeColor="text1"/>
          <w:sz w:val="24"/>
          <w:szCs w:val="24"/>
        </w:rPr>
      </w:pPr>
      <w:r>
        <w:rPr>
          <w:rFonts w:hint="default" w:ascii="Times New Roman" w:hAnsi="Times New Roman" w:cs="Times New Roman"/>
          <w:b/>
          <w:bCs/>
          <w:color w:val="000000" w:themeColor="text1"/>
          <w:sz w:val="24"/>
          <w:szCs w:val="24"/>
        </w:rPr>
        <w:t>表4-</w:t>
      </w:r>
      <w:r>
        <w:rPr>
          <w:rFonts w:hint="eastAsia" w:cs="Times New Roman"/>
          <w:b/>
          <w:bCs/>
          <w:color w:val="000000" w:themeColor="text1"/>
          <w:sz w:val="24"/>
          <w:szCs w:val="24"/>
          <w:lang w:val="en-US" w:eastAsia="zh-CN"/>
        </w:rPr>
        <w:t>13</w:t>
      </w:r>
      <w:r>
        <w:rPr>
          <w:rFonts w:hint="eastAsia" w:ascii="Times New Roman" w:hAnsi="Times New Roman" w:cs="Times New Roman"/>
          <w:b/>
          <w:bCs/>
          <w:color w:val="000000" w:themeColor="text1"/>
          <w:sz w:val="24"/>
          <w:szCs w:val="24"/>
          <w:lang w:val="en-US" w:eastAsia="zh-CN"/>
        </w:rPr>
        <w:t xml:space="preserve"> </w:t>
      </w:r>
      <w:r>
        <w:rPr>
          <w:rFonts w:hint="default" w:ascii="Times New Roman" w:hAnsi="Times New Roman" w:cs="Times New Roman"/>
          <w:b/>
          <w:bCs/>
          <w:color w:val="000000" w:themeColor="text1"/>
          <w:sz w:val="24"/>
          <w:szCs w:val="22"/>
        </w:rPr>
        <w:t>项目工业企业噪声源强调查清单（室内声源）</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3"/>
        <w:gridCol w:w="403"/>
        <w:gridCol w:w="406"/>
        <w:gridCol w:w="406"/>
        <w:gridCol w:w="1284"/>
        <w:gridCol w:w="595"/>
        <w:gridCol w:w="551"/>
        <w:gridCol w:w="644"/>
        <w:gridCol w:w="457"/>
        <w:gridCol w:w="551"/>
        <w:gridCol w:w="551"/>
        <w:gridCol w:w="551"/>
        <w:gridCol w:w="551"/>
        <w:gridCol w:w="551"/>
        <w:gridCol w:w="551"/>
        <w:gridCol w:w="551"/>
        <w:gridCol w:w="551"/>
        <w:gridCol w:w="407"/>
        <w:gridCol w:w="713"/>
        <w:gridCol w:w="551"/>
        <w:gridCol w:w="551"/>
        <w:gridCol w:w="551"/>
        <w:gridCol w:w="551"/>
        <w:gridCol w:w="404"/>
      </w:tblGrid>
      <w:tr w14:paraId="1BD06B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2" w:hRule="exact"/>
          <w:jc w:val="center"/>
        </w:trPr>
        <w:tc>
          <w:tcPr>
            <w:tcW w:w="151" w:type="pct"/>
            <w:vMerge w:val="restart"/>
            <w:noWrap w:val="0"/>
            <w:vAlign w:val="center"/>
          </w:tcPr>
          <w:p w14:paraId="0328B799">
            <w:pPr>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b/>
                <w:color w:val="000000" w:themeColor="text1"/>
                <w:sz w:val="21"/>
                <w:szCs w:val="21"/>
              </w:rPr>
              <w:t>序号</w:t>
            </w:r>
          </w:p>
        </w:tc>
        <w:tc>
          <w:tcPr>
            <w:tcW w:w="151" w:type="pct"/>
            <w:vMerge w:val="restart"/>
            <w:noWrap w:val="0"/>
            <w:vAlign w:val="center"/>
          </w:tcPr>
          <w:p w14:paraId="12C9CCEC">
            <w:pPr>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b/>
                <w:color w:val="000000" w:themeColor="text1"/>
                <w:sz w:val="21"/>
                <w:szCs w:val="21"/>
              </w:rPr>
              <w:t>建筑物名称</w:t>
            </w:r>
          </w:p>
        </w:tc>
        <w:tc>
          <w:tcPr>
            <w:tcW w:w="152" w:type="pct"/>
            <w:vMerge w:val="restart"/>
            <w:noWrap w:val="0"/>
            <w:vAlign w:val="center"/>
          </w:tcPr>
          <w:p w14:paraId="29CD1B72">
            <w:pPr>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b/>
                <w:color w:val="000000" w:themeColor="text1"/>
                <w:sz w:val="21"/>
                <w:szCs w:val="21"/>
              </w:rPr>
              <w:t>声源名称</w:t>
            </w:r>
          </w:p>
        </w:tc>
        <w:tc>
          <w:tcPr>
            <w:tcW w:w="152" w:type="pct"/>
            <w:vMerge w:val="restart"/>
            <w:noWrap w:val="0"/>
            <w:vAlign w:val="center"/>
          </w:tcPr>
          <w:p w14:paraId="3358399C">
            <w:pPr>
              <w:jc w:val="center"/>
              <w:rPr>
                <w:rFonts w:hint="eastAsia" w:ascii="Times New Roman" w:hAnsi="Times New Roman" w:eastAsia="宋体" w:cs="Times New Roman"/>
                <w:color w:val="000000" w:themeColor="text1"/>
                <w:sz w:val="21"/>
                <w:szCs w:val="21"/>
                <w:lang w:eastAsia="zh-CN"/>
              </w:rPr>
            </w:pPr>
            <w:r>
              <w:rPr>
                <w:rFonts w:hint="eastAsia" w:ascii="Times New Roman" w:hAnsi="Times New Roman" w:eastAsia="宋体" w:cs="Times New Roman"/>
                <w:b/>
                <w:color w:val="000000" w:themeColor="text1"/>
                <w:sz w:val="21"/>
                <w:szCs w:val="21"/>
                <w:lang w:val="en-US" w:eastAsia="zh-CN"/>
              </w:rPr>
              <w:t>台数</w:t>
            </w:r>
          </w:p>
        </w:tc>
        <w:tc>
          <w:tcPr>
            <w:tcW w:w="483" w:type="pct"/>
            <w:noWrap w:val="0"/>
            <w:vAlign w:val="center"/>
          </w:tcPr>
          <w:p w14:paraId="2507D9EA">
            <w:pPr>
              <w:jc w:val="center"/>
              <w:rPr>
                <w:rFonts w:hint="default" w:ascii="Times New Roman" w:hAnsi="Times New Roman" w:eastAsia="宋体" w:cs="Times New Roman"/>
                <w:color w:val="000000" w:themeColor="text1"/>
                <w:sz w:val="21"/>
                <w:szCs w:val="21"/>
                <w:lang w:eastAsia="zh-CN"/>
              </w:rPr>
            </w:pPr>
            <w:r>
              <w:rPr>
                <w:rFonts w:hint="default" w:ascii="Times New Roman" w:hAnsi="Times New Roman" w:eastAsia="宋体" w:cs="Times New Roman"/>
                <w:b/>
                <w:color w:val="000000" w:themeColor="text1"/>
                <w:sz w:val="21"/>
                <w:szCs w:val="21"/>
                <w:lang w:eastAsia="zh-CN"/>
              </w:rPr>
              <w:t>声源源强</w:t>
            </w:r>
          </w:p>
        </w:tc>
        <w:tc>
          <w:tcPr>
            <w:tcW w:w="223" w:type="pct"/>
            <w:vMerge w:val="restart"/>
            <w:noWrap w:val="0"/>
            <w:vAlign w:val="center"/>
          </w:tcPr>
          <w:p w14:paraId="3E93E65E">
            <w:pPr>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b/>
                <w:color w:val="000000" w:themeColor="text1"/>
                <w:sz w:val="21"/>
                <w:szCs w:val="21"/>
              </w:rPr>
              <w:t>声源控制措施</w:t>
            </w:r>
          </w:p>
        </w:tc>
        <w:tc>
          <w:tcPr>
            <w:tcW w:w="621" w:type="pct"/>
            <w:gridSpan w:val="3"/>
            <w:noWrap w:val="0"/>
            <w:vAlign w:val="center"/>
          </w:tcPr>
          <w:p w14:paraId="368E6B5E">
            <w:pPr>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b/>
                <w:color w:val="000000" w:themeColor="text1"/>
                <w:sz w:val="21"/>
                <w:szCs w:val="21"/>
              </w:rPr>
              <w:t>空间相对位置/m</w:t>
            </w:r>
          </w:p>
        </w:tc>
        <w:tc>
          <w:tcPr>
            <w:tcW w:w="829" w:type="pct"/>
            <w:gridSpan w:val="4"/>
            <w:noWrap w:val="0"/>
            <w:vAlign w:val="center"/>
          </w:tcPr>
          <w:p w14:paraId="2BE7C8DC">
            <w:pPr>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b/>
                <w:color w:val="000000" w:themeColor="text1"/>
                <w:sz w:val="21"/>
                <w:szCs w:val="21"/>
              </w:rPr>
              <w:t>距室内边界距离/m</w:t>
            </w:r>
          </w:p>
        </w:tc>
        <w:tc>
          <w:tcPr>
            <w:tcW w:w="829" w:type="pct"/>
            <w:gridSpan w:val="4"/>
            <w:noWrap w:val="0"/>
            <w:vAlign w:val="center"/>
          </w:tcPr>
          <w:p w14:paraId="70789BCB">
            <w:pPr>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b/>
                <w:color w:val="000000" w:themeColor="text1"/>
                <w:sz w:val="21"/>
                <w:szCs w:val="21"/>
              </w:rPr>
              <w:t>室内边界声级/dB(A)</w:t>
            </w:r>
          </w:p>
        </w:tc>
        <w:tc>
          <w:tcPr>
            <w:tcW w:w="153" w:type="pct"/>
            <w:vMerge w:val="restart"/>
            <w:noWrap w:val="0"/>
            <w:vAlign w:val="center"/>
          </w:tcPr>
          <w:p w14:paraId="207A4C2F">
            <w:pPr>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b/>
                <w:color w:val="000000" w:themeColor="text1"/>
                <w:sz w:val="21"/>
                <w:szCs w:val="21"/>
              </w:rPr>
              <w:t>运行时段</w:t>
            </w:r>
          </w:p>
        </w:tc>
        <w:tc>
          <w:tcPr>
            <w:tcW w:w="268" w:type="pct"/>
            <w:vMerge w:val="restart"/>
            <w:noWrap w:val="0"/>
            <w:vAlign w:val="center"/>
          </w:tcPr>
          <w:p w14:paraId="42D13017">
            <w:pPr>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b/>
                <w:color w:val="000000" w:themeColor="text1"/>
                <w:sz w:val="21"/>
                <w:szCs w:val="21"/>
              </w:rPr>
              <w:t>建筑物插入损失 / dB(A)</w:t>
            </w:r>
          </w:p>
        </w:tc>
        <w:tc>
          <w:tcPr>
            <w:tcW w:w="981" w:type="pct"/>
            <w:gridSpan w:val="5"/>
            <w:noWrap w:val="0"/>
            <w:vAlign w:val="center"/>
          </w:tcPr>
          <w:p w14:paraId="6E9A5238">
            <w:pPr>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b/>
                <w:color w:val="000000" w:themeColor="text1"/>
                <w:sz w:val="21"/>
                <w:szCs w:val="21"/>
              </w:rPr>
              <w:t>建筑物外噪声</w:t>
            </w:r>
            <w:r>
              <w:rPr>
                <w:rFonts w:hint="default" w:ascii="Times New Roman" w:hAnsi="Times New Roman" w:eastAsia="宋体" w:cs="Times New Roman"/>
                <w:b/>
                <w:bCs/>
                <w:color w:val="000000" w:themeColor="text1"/>
                <w:sz w:val="21"/>
                <w:szCs w:val="21"/>
              </w:rPr>
              <w:t>声压级/dB(A)</w:t>
            </w:r>
          </w:p>
        </w:tc>
      </w:tr>
      <w:tr w14:paraId="0A8035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1" w:type="pct"/>
            <w:vMerge w:val="continue"/>
            <w:shd w:val="clear" w:color="auto" w:fill="FFFFFF"/>
            <w:noWrap w:val="0"/>
            <w:vAlign w:val="center"/>
          </w:tcPr>
          <w:p w14:paraId="5EF47BCD">
            <w:pPr>
              <w:jc w:val="center"/>
              <w:rPr>
                <w:rFonts w:hint="default" w:ascii="Times New Roman" w:hAnsi="Times New Roman" w:eastAsia="宋体" w:cs="Times New Roman"/>
                <w:color w:val="000000" w:themeColor="text1"/>
                <w:sz w:val="21"/>
                <w:szCs w:val="21"/>
              </w:rPr>
            </w:pPr>
          </w:p>
        </w:tc>
        <w:tc>
          <w:tcPr>
            <w:tcW w:w="151" w:type="pct"/>
            <w:vMerge w:val="continue"/>
            <w:shd w:val="clear" w:color="auto" w:fill="FFFFFF"/>
            <w:noWrap w:val="0"/>
            <w:vAlign w:val="center"/>
          </w:tcPr>
          <w:p w14:paraId="595E3D13">
            <w:pPr>
              <w:jc w:val="center"/>
              <w:rPr>
                <w:rFonts w:hint="default" w:ascii="Times New Roman" w:hAnsi="Times New Roman" w:eastAsia="宋体" w:cs="Times New Roman"/>
                <w:color w:val="000000" w:themeColor="text1"/>
                <w:sz w:val="21"/>
                <w:szCs w:val="21"/>
              </w:rPr>
            </w:pPr>
          </w:p>
        </w:tc>
        <w:tc>
          <w:tcPr>
            <w:tcW w:w="152" w:type="pct"/>
            <w:vMerge w:val="continue"/>
            <w:shd w:val="clear" w:color="auto" w:fill="FFFFFF"/>
            <w:noWrap w:val="0"/>
            <w:vAlign w:val="center"/>
          </w:tcPr>
          <w:p w14:paraId="28BACF76">
            <w:pPr>
              <w:jc w:val="center"/>
              <w:rPr>
                <w:rFonts w:hint="default" w:ascii="Times New Roman" w:hAnsi="Times New Roman" w:eastAsia="宋体" w:cs="Times New Roman"/>
                <w:color w:val="000000" w:themeColor="text1"/>
                <w:sz w:val="21"/>
                <w:szCs w:val="21"/>
              </w:rPr>
            </w:pPr>
          </w:p>
        </w:tc>
        <w:tc>
          <w:tcPr>
            <w:tcW w:w="152" w:type="pct"/>
            <w:vMerge w:val="continue"/>
            <w:shd w:val="clear" w:color="auto" w:fill="FFFFFF"/>
            <w:noWrap w:val="0"/>
            <w:vAlign w:val="center"/>
          </w:tcPr>
          <w:p w14:paraId="3ED24EDF">
            <w:pPr>
              <w:jc w:val="center"/>
              <w:rPr>
                <w:rFonts w:hint="default" w:ascii="Times New Roman" w:hAnsi="Times New Roman" w:eastAsia="宋体" w:cs="Times New Roman"/>
                <w:color w:val="000000" w:themeColor="text1"/>
                <w:sz w:val="21"/>
                <w:szCs w:val="21"/>
              </w:rPr>
            </w:pPr>
          </w:p>
        </w:tc>
        <w:tc>
          <w:tcPr>
            <w:tcW w:w="483" w:type="pct"/>
            <w:shd w:val="clear" w:color="auto" w:fill="FFFFFF"/>
            <w:noWrap w:val="0"/>
            <w:vAlign w:val="center"/>
          </w:tcPr>
          <w:p w14:paraId="4508FA87">
            <w:pPr>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（声压级/距声源距离）/（dB(A)/m）</w:t>
            </w:r>
          </w:p>
        </w:tc>
        <w:tc>
          <w:tcPr>
            <w:tcW w:w="223" w:type="pct"/>
            <w:vMerge w:val="continue"/>
            <w:shd w:val="clear" w:color="auto" w:fill="FFFFFF"/>
            <w:noWrap w:val="0"/>
            <w:vAlign w:val="center"/>
          </w:tcPr>
          <w:p w14:paraId="73172575">
            <w:pPr>
              <w:jc w:val="center"/>
              <w:rPr>
                <w:rFonts w:hint="default" w:ascii="Times New Roman" w:hAnsi="Times New Roman" w:eastAsia="宋体" w:cs="Times New Roman"/>
                <w:color w:val="000000" w:themeColor="text1"/>
                <w:sz w:val="21"/>
                <w:szCs w:val="21"/>
              </w:rPr>
            </w:pPr>
          </w:p>
        </w:tc>
        <w:tc>
          <w:tcPr>
            <w:tcW w:w="207" w:type="pct"/>
            <w:shd w:val="clear" w:color="auto" w:fill="FFFFFF"/>
            <w:noWrap w:val="0"/>
            <w:vAlign w:val="center"/>
          </w:tcPr>
          <w:p w14:paraId="7B54D2CD">
            <w:pPr>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X</w:t>
            </w:r>
          </w:p>
        </w:tc>
        <w:tc>
          <w:tcPr>
            <w:tcW w:w="242" w:type="pct"/>
            <w:shd w:val="clear" w:color="auto" w:fill="FFFFFF"/>
            <w:noWrap w:val="0"/>
            <w:vAlign w:val="center"/>
          </w:tcPr>
          <w:p w14:paraId="7E2D9665">
            <w:pPr>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Y</w:t>
            </w:r>
          </w:p>
        </w:tc>
        <w:tc>
          <w:tcPr>
            <w:tcW w:w="171" w:type="pct"/>
            <w:shd w:val="clear" w:color="auto" w:fill="FFFFFF"/>
            <w:noWrap w:val="0"/>
            <w:vAlign w:val="center"/>
          </w:tcPr>
          <w:p w14:paraId="0909242D">
            <w:pPr>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Z</w:t>
            </w:r>
          </w:p>
        </w:tc>
        <w:tc>
          <w:tcPr>
            <w:tcW w:w="207" w:type="pct"/>
            <w:shd w:val="clear" w:color="auto" w:fill="FFFFFF"/>
            <w:noWrap w:val="0"/>
            <w:vAlign w:val="center"/>
          </w:tcPr>
          <w:p w14:paraId="51CA6DC4">
            <w:pPr>
              <w:jc w:val="center"/>
              <w:rPr>
                <w:rFonts w:hint="eastAsia"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东</w:t>
            </w:r>
          </w:p>
        </w:tc>
        <w:tc>
          <w:tcPr>
            <w:tcW w:w="207" w:type="pct"/>
            <w:shd w:val="clear" w:color="auto" w:fill="FFFFFF"/>
            <w:noWrap w:val="0"/>
            <w:vAlign w:val="center"/>
          </w:tcPr>
          <w:p w14:paraId="5533D467">
            <w:pPr>
              <w:jc w:val="center"/>
              <w:rPr>
                <w:rFonts w:hint="eastAsia"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南</w:t>
            </w:r>
          </w:p>
        </w:tc>
        <w:tc>
          <w:tcPr>
            <w:tcW w:w="207" w:type="pct"/>
            <w:shd w:val="clear" w:color="auto" w:fill="FFFFFF"/>
            <w:noWrap w:val="0"/>
            <w:vAlign w:val="center"/>
          </w:tcPr>
          <w:p w14:paraId="643340EF">
            <w:pPr>
              <w:jc w:val="center"/>
              <w:rPr>
                <w:rFonts w:hint="eastAsia"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西</w:t>
            </w:r>
          </w:p>
        </w:tc>
        <w:tc>
          <w:tcPr>
            <w:tcW w:w="207" w:type="pct"/>
            <w:shd w:val="clear" w:color="auto" w:fill="FFFFFF"/>
            <w:noWrap w:val="0"/>
            <w:vAlign w:val="center"/>
          </w:tcPr>
          <w:p w14:paraId="4B94E0AB">
            <w:pPr>
              <w:jc w:val="center"/>
              <w:rPr>
                <w:rFonts w:hint="eastAsia"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北</w:t>
            </w:r>
          </w:p>
        </w:tc>
        <w:tc>
          <w:tcPr>
            <w:tcW w:w="207" w:type="pct"/>
            <w:shd w:val="clear" w:color="auto" w:fill="FFFFFF"/>
            <w:noWrap w:val="0"/>
            <w:vAlign w:val="center"/>
          </w:tcPr>
          <w:p w14:paraId="229C2B39">
            <w:pPr>
              <w:jc w:val="center"/>
              <w:rPr>
                <w:rFonts w:hint="default" w:ascii="Times New Roman" w:hAnsi="Times New Roman" w:eastAsia="宋体" w:cs="Times New Roman"/>
                <w:color w:val="000000" w:themeColor="text1"/>
                <w:sz w:val="21"/>
                <w:szCs w:val="21"/>
              </w:rPr>
            </w:pPr>
            <w:r>
              <w:rPr>
                <w:rFonts w:hint="eastAsia" w:ascii="Times New Roman" w:hAnsi="Times New Roman" w:eastAsia="宋体" w:cs="Times New Roman"/>
                <w:color w:val="000000" w:themeColor="text1"/>
                <w:sz w:val="21"/>
                <w:szCs w:val="21"/>
                <w:lang w:val="en-US" w:eastAsia="zh-CN"/>
              </w:rPr>
              <w:t>东</w:t>
            </w:r>
          </w:p>
        </w:tc>
        <w:tc>
          <w:tcPr>
            <w:tcW w:w="207" w:type="pct"/>
            <w:shd w:val="clear" w:color="auto" w:fill="FFFFFF"/>
            <w:noWrap w:val="0"/>
            <w:vAlign w:val="center"/>
          </w:tcPr>
          <w:p w14:paraId="3B07CF9B">
            <w:pPr>
              <w:jc w:val="center"/>
              <w:rPr>
                <w:rFonts w:hint="default" w:ascii="Times New Roman" w:hAnsi="Times New Roman" w:eastAsia="宋体" w:cs="Times New Roman"/>
                <w:color w:val="000000" w:themeColor="text1"/>
                <w:sz w:val="21"/>
                <w:szCs w:val="21"/>
              </w:rPr>
            </w:pPr>
            <w:r>
              <w:rPr>
                <w:rFonts w:hint="eastAsia" w:ascii="Times New Roman" w:hAnsi="Times New Roman" w:eastAsia="宋体" w:cs="Times New Roman"/>
                <w:color w:val="000000" w:themeColor="text1"/>
                <w:sz w:val="21"/>
                <w:szCs w:val="21"/>
                <w:lang w:val="en-US" w:eastAsia="zh-CN"/>
              </w:rPr>
              <w:t>南</w:t>
            </w:r>
          </w:p>
        </w:tc>
        <w:tc>
          <w:tcPr>
            <w:tcW w:w="207" w:type="pct"/>
            <w:shd w:val="clear" w:color="auto" w:fill="FFFFFF"/>
            <w:noWrap w:val="0"/>
            <w:vAlign w:val="center"/>
          </w:tcPr>
          <w:p w14:paraId="4B432933">
            <w:pPr>
              <w:jc w:val="center"/>
              <w:rPr>
                <w:rFonts w:hint="default" w:ascii="Times New Roman" w:hAnsi="Times New Roman" w:eastAsia="宋体" w:cs="Times New Roman"/>
                <w:color w:val="000000" w:themeColor="text1"/>
                <w:sz w:val="21"/>
                <w:szCs w:val="21"/>
              </w:rPr>
            </w:pPr>
            <w:r>
              <w:rPr>
                <w:rFonts w:hint="eastAsia" w:ascii="Times New Roman" w:hAnsi="Times New Roman" w:eastAsia="宋体" w:cs="Times New Roman"/>
                <w:color w:val="000000" w:themeColor="text1"/>
                <w:sz w:val="21"/>
                <w:szCs w:val="21"/>
                <w:lang w:val="en-US" w:eastAsia="zh-CN"/>
              </w:rPr>
              <w:t>西</w:t>
            </w:r>
          </w:p>
        </w:tc>
        <w:tc>
          <w:tcPr>
            <w:tcW w:w="207" w:type="pct"/>
            <w:shd w:val="clear" w:color="auto" w:fill="FFFFFF"/>
            <w:noWrap w:val="0"/>
            <w:vAlign w:val="center"/>
          </w:tcPr>
          <w:p w14:paraId="741E9811">
            <w:pPr>
              <w:jc w:val="center"/>
              <w:rPr>
                <w:rFonts w:hint="default" w:ascii="Times New Roman" w:hAnsi="Times New Roman" w:eastAsia="宋体" w:cs="Times New Roman"/>
                <w:color w:val="000000" w:themeColor="text1"/>
                <w:sz w:val="21"/>
                <w:szCs w:val="21"/>
              </w:rPr>
            </w:pPr>
            <w:r>
              <w:rPr>
                <w:rFonts w:hint="eastAsia" w:ascii="Times New Roman" w:hAnsi="Times New Roman" w:eastAsia="宋体" w:cs="Times New Roman"/>
                <w:color w:val="000000" w:themeColor="text1"/>
                <w:sz w:val="21"/>
                <w:szCs w:val="21"/>
                <w:lang w:val="en-US" w:eastAsia="zh-CN"/>
              </w:rPr>
              <w:t>北</w:t>
            </w:r>
          </w:p>
        </w:tc>
        <w:tc>
          <w:tcPr>
            <w:tcW w:w="153" w:type="pct"/>
            <w:vMerge w:val="continue"/>
            <w:shd w:val="clear" w:color="auto" w:fill="FFFFFF"/>
            <w:noWrap w:val="0"/>
            <w:vAlign w:val="center"/>
          </w:tcPr>
          <w:p w14:paraId="2900546E">
            <w:pPr>
              <w:jc w:val="center"/>
              <w:rPr>
                <w:rFonts w:hint="default" w:ascii="Times New Roman" w:hAnsi="Times New Roman" w:eastAsia="宋体" w:cs="Times New Roman"/>
                <w:color w:val="000000" w:themeColor="text1"/>
                <w:sz w:val="21"/>
                <w:szCs w:val="21"/>
              </w:rPr>
            </w:pPr>
          </w:p>
        </w:tc>
        <w:tc>
          <w:tcPr>
            <w:tcW w:w="268" w:type="pct"/>
            <w:vMerge w:val="continue"/>
            <w:shd w:val="clear" w:color="auto" w:fill="FFFFFF"/>
            <w:noWrap w:val="0"/>
            <w:vAlign w:val="center"/>
          </w:tcPr>
          <w:p w14:paraId="5CFB84EB">
            <w:pPr>
              <w:jc w:val="center"/>
              <w:rPr>
                <w:rFonts w:hint="default" w:ascii="Times New Roman" w:hAnsi="Times New Roman" w:eastAsia="宋体" w:cs="Times New Roman"/>
                <w:color w:val="000000" w:themeColor="text1"/>
                <w:sz w:val="21"/>
                <w:szCs w:val="21"/>
              </w:rPr>
            </w:pPr>
          </w:p>
        </w:tc>
        <w:tc>
          <w:tcPr>
            <w:tcW w:w="207" w:type="pct"/>
            <w:shd w:val="clear" w:color="auto" w:fill="FFFFFF"/>
            <w:noWrap w:val="0"/>
            <w:vAlign w:val="center"/>
          </w:tcPr>
          <w:p w14:paraId="62E2ABDA">
            <w:pPr>
              <w:jc w:val="center"/>
              <w:rPr>
                <w:rFonts w:hint="default" w:ascii="Times New Roman" w:hAnsi="Times New Roman" w:eastAsia="宋体" w:cs="Times New Roman"/>
                <w:color w:val="000000" w:themeColor="text1"/>
                <w:sz w:val="21"/>
                <w:szCs w:val="21"/>
              </w:rPr>
            </w:pPr>
            <w:r>
              <w:rPr>
                <w:rFonts w:hint="eastAsia" w:ascii="Times New Roman" w:hAnsi="Times New Roman" w:eastAsia="宋体" w:cs="Times New Roman"/>
                <w:color w:val="000000" w:themeColor="text1"/>
                <w:sz w:val="21"/>
                <w:szCs w:val="21"/>
                <w:lang w:val="en-US" w:eastAsia="zh-CN"/>
              </w:rPr>
              <w:t>东</w:t>
            </w:r>
          </w:p>
        </w:tc>
        <w:tc>
          <w:tcPr>
            <w:tcW w:w="207" w:type="pct"/>
            <w:shd w:val="clear" w:color="auto" w:fill="FFFFFF"/>
            <w:noWrap w:val="0"/>
            <w:vAlign w:val="center"/>
          </w:tcPr>
          <w:p w14:paraId="70592643">
            <w:pPr>
              <w:jc w:val="center"/>
              <w:rPr>
                <w:rFonts w:hint="default" w:ascii="Times New Roman" w:hAnsi="Times New Roman" w:eastAsia="宋体" w:cs="Times New Roman"/>
                <w:color w:val="000000" w:themeColor="text1"/>
                <w:sz w:val="21"/>
                <w:szCs w:val="21"/>
              </w:rPr>
            </w:pPr>
            <w:r>
              <w:rPr>
                <w:rFonts w:hint="eastAsia" w:ascii="Times New Roman" w:hAnsi="Times New Roman" w:eastAsia="宋体" w:cs="Times New Roman"/>
                <w:color w:val="000000" w:themeColor="text1"/>
                <w:sz w:val="21"/>
                <w:szCs w:val="21"/>
                <w:lang w:val="en-US" w:eastAsia="zh-CN"/>
              </w:rPr>
              <w:t>南</w:t>
            </w:r>
          </w:p>
        </w:tc>
        <w:tc>
          <w:tcPr>
            <w:tcW w:w="207" w:type="pct"/>
            <w:shd w:val="clear" w:color="auto" w:fill="FFFFFF"/>
            <w:noWrap w:val="0"/>
            <w:vAlign w:val="center"/>
          </w:tcPr>
          <w:p w14:paraId="689ABE69">
            <w:pPr>
              <w:jc w:val="center"/>
              <w:rPr>
                <w:rFonts w:hint="default" w:ascii="Times New Roman" w:hAnsi="Times New Roman" w:eastAsia="宋体" w:cs="Times New Roman"/>
                <w:color w:val="000000" w:themeColor="text1"/>
                <w:sz w:val="21"/>
                <w:szCs w:val="21"/>
              </w:rPr>
            </w:pPr>
            <w:r>
              <w:rPr>
                <w:rFonts w:hint="eastAsia" w:ascii="Times New Roman" w:hAnsi="Times New Roman" w:eastAsia="宋体" w:cs="Times New Roman"/>
                <w:color w:val="000000" w:themeColor="text1"/>
                <w:sz w:val="21"/>
                <w:szCs w:val="21"/>
                <w:lang w:val="en-US" w:eastAsia="zh-CN"/>
              </w:rPr>
              <w:t>西</w:t>
            </w:r>
          </w:p>
        </w:tc>
        <w:tc>
          <w:tcPr>
            <w:tcW w:w="207" w:type="pct"/>
            <w:shd w:val="clear" w:color="auto" w:fill="FFFFFF"/>
            <w:noWrap w:val="0"/>
            <w:vAlign w:val="center"/>
          </w:tcPr>
          <w:p w14:paraId="0350D47B">
            <w:pPr>
              <w:jc w:val="center"/>
              <w:rPr>
                <w:rFonts w:hint="default" w:ascii="Times New Roman" w:hAnsi="Times New Roman" w:eastAsia="宋体" w:cs="Times New Roman"/>
                <w:color w:val="000000" w:themeColor="text1"/>
                <w:sz w:val="21"/>
                <w:szCs w:val="21"/>
              </w:rPr>
            </w:pPr>
            <w:r>
              <w:rPr>
                <w:rFonts w:hint="eastAsia" w:ascii="Times New Roman" w:hAnsi="Times New Roman" w:eastAsia="宋体" w:cs="Times New Roman"/>
                <w:color w:val="000000" w:themeColor="text1"/>
                <w:sz w:val="21"/>
                <w:szCs w:val="21"/>
                <w:lang w:val="en-US" w:eastAsia="zh-CN"/>
              </w:rPr>
              <w:t>北</w:t>
            </w:r>
          </w:p>
        </w:tc>
        <w:tc>
          <w:tcPr>
            <w:tcW w:w="152" w:type="pct"/>
            <w:shd w:val="clear" w:color="auto" w:fill="FFFFFF"/>
            <w:noWrap w:val="0"/>
            <w:vAlign w:val="center"/>
          </w:tcPr>
          <w:p w14:paraId="7C17B96A">
            <w:pPr>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建筑物外距离</w:t>
            </w:r>
          </w:p>
        </w:tc>
      </w:tr>
      <w:tr w14:paraId="0C9E05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1" w:type="pct"/>
            <w:shd w:val="clear" w:color="auto" w:fill="FFFFFF"/>
            <w:noWrap w:val="0"/>
            <w:vAlign w:val="center"/>
          </w:tcPr>
          <w:p w14:paraId="08596412">
            <w:pPr>
              <w:jc w:val="center"/>
              <w:rPr>
                <w:rFonts w:hint="eastAsia"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1</w:t>
            </w:r>
          </w:p>
        </w:tc>
        <w:tc>
          <w:tcPr>
            <w:tcW w:w="151" w:type="pct"/>
            <w:vMerge w:val="restart"/>
            <w:shd w:val="clear" w:color="auto" w:fill="FFFFFF"/>
            <w:noWrap w:val="0"/>
            <w:vAlign w:val="center"/>
          </w:tcPr>
          <w:p w14:paraId="0764B417">
            <w:pPr>
              <w:jc w:val="center"/>
              <w:rPr>
                <w:rFonts w:hint="default" w:ascii="Times New Roman" w:hAnsi="Times New Roman" w:eastAsia="宋体" w:cs="Times New Roman"/>
                <w:color w:val="000000" w:themeColor="text1"/>
                <w:sz w:val="21"/>
                <w:szCs w:val="21"/>
              </w:rPr>
            </w:pPr>
            <w:r>
              <w:rPr>
                <w:rFonts w:hint="eastAsia" w:ascii="Times New Roman" w:hAnsi="Times New Roman" w:eastAsia="宋体" w:cs="Times New Roman"/>
                <w:color w:val="000000" w:themeColor="text1"/>
                <w:sz w:val="21"/>
                <w:szCs w:val="21"/>
                <w:lang w:val="en-US" w:eastAsia="zh-CN"/>
              </w:rPr>
              <w:t>生产车间</w:t>
            </w:r>
          </w:p>
        </w:tc>
        <w:tc>
          <w:tcPr>
            <w:tcW w:w="152" w:type="pct"/>
            <w:shd w:val="clear" w:color="auto" w:fill="FFFFFF"/>
            <w:noWrap w:val="0"/>
            <w:vAlign w:val="center"/>
          </w:tcPr>
          <w:p w14:paraId="779FA945">
            <w:pPr>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i w:val="0"/>
                <w:iCs w:val="0"/>
                <w:color w:val="000000" w:themeColor="text1"/>
                <w:kern w:val="0"/>
                <w:sz w:val="21"/>
                <w:szCs w:val="21"/>
                <w:u w:val="none"/>
                <w:lang w:val="en-US" w:eastAsia="zh-CN" w:bidi="ar"/>
              </w:rPr>
              <w:t>箔绕机</w:t>
            </w:r>
          </w:p>
        </w:tc>
        <w:tc>
          <w:tcPr>
            <w:tcW w:w="152" w:type="pct"/>
            <w:shd w:val="clear" w:color="auto" w:fill="FFFFFF"/>
            <w:noWrap w:val="0"/>
            <w:vAlign w:val="center"/>
          </w:tcPr>
          <w:p w14:paraId="60AE8333">
            <w:pPr>
              <w:jc w:val="center"/>
              <w:rPr>
                <w:rFonts w:hint="eastAsia"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1</w:t>
            </w:r>
          </w:p>
        </w:tc>
        <w:tc>
          <w:tcPr>
            <w:tcW w:w="483" w:type="pct"/>
            <w:shd w:val="clear" w:color="auto" w:fill="FFFFFF"/>
            <w:noWrap w:val="0"/>
            <w:vAlign w:val="center"/>
          </w:tcPr>
          <w:p w14:paraId="47C3CF7F">
            <w:pPr>
              <w:jc w:val="center"/>
              <w:rPr>
                <w:rFonts w:hint="default" w:ascii="Times New Roman" w:hAnsi="Times New Roman" w:eastAsia="宋体" w:cs="Times New Roman"/>
                <w:color w:val="000000" w:themeColor="text1"/>
                <w:sz w:val="21"/>
                <w:szCs w:val="21"/>
              </w:rPr>
            </w:pPr>
            <w:r>
              <w:rPr>
                <w:rFonts w:hint="eastAsia" w:ascii="Times New Roman" w:hAnsi="Times New Roman" w:eastAsia="宋体" w:cs="Times New Roman"/>
                <w:color w:val="000000" w:themeColor="text1"/>
                <w:sz w:val="21"/>
                <w:szCs w:val="21"/>
                <w:lang w:val="en-US" w:eastAsia="zh-CN"/>
              </w:rPr>
              <w:t>65/1</w:t>
            </w:r>
          </w:p>
        </w:tc>
        <w:tc>
          <w:tcPr>
            <w:tcW w:w="223" w:type="pct"/>
            <w:vMerge w:val="restart"/>
            <w:shd w:val="clear" w:color="auto" w:fill="FFFFFF"/>
            <w:noWrap w:val="0"/>
            <w:vAlign w:val="center"/>
          </w:tcPr>
          <w:p w14:paraId="6D92826C">
            <w:pPr>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基础</w:t>
            </w:r>
          </w:p>
          <w:p w14:paraId="4FFE11C0">
            <w:pPr>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减振</w:t>
            </w:r>
          </w:p>
          <w:p w14:paraId="46CE6AC4">
            <w:pPr>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；位</w:t>
            </w:r>
          </w:p>
          <w:p w14:paraId="2F145D45">
            <w:pPr>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于密</w:t>
            </w:r>
          </w:p>
          <w:p w14:paraId="0F8651F4">
            <w:pPr>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闭车</w:t>
            </w:r>
          </w:p>
          <w:p w14:paraId="40C40BA9">
            <w:pPr>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间内</w:t>
            </w:r>
          </w:p>
          <w:p w14:paraId="29D0AE29">
            <w:pPr>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，车</w:t>
            </w:r>
          </w:p>
          <w:p w14:paraId="6C5254A0">
            <w:pPr>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间设</w:t>
            </w:r>
          </w:p>
          <w:p w14:paraId="3A5E24CD">
            <w:pPr>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隔声</w:t>
            </w:r>
          </w:p>
          <w:p w14:paraId="6CF76E9E">
            <w:pPr>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门、</w:t>
            </w:r>
          </w:p>
          <w:p w14:paraId="7692D770">
            <w:pPr>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隔声</w:t>
            </w:r>
          </w:p>
          <w:p w14:paraId="643424F3">
            <w:pPr>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窗</w:t>
            </w:r>
          </w:p>
        </w:tc>
        <w:tc>
          <w:tcPr>
            <w:tcW w:w="207" w:type="pct"/>
            <w:shd w:val="clear" w:color="auto" w:fill="FFFFFF"/>
            <w:noWrap w:val="0"/>
            <w:vAlign w:val="center"/>
          </w:tcPr>
          <w:p w14:paraId="0E665F07">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99.4</w:t>
            </w:r>
          </w:p>
        </w:tc>
        <w:tc>
          <w:tcPr>
            <w:tcW w:w="242" w:type="pct"/>
            <w:shd w:val="clear" w:color="auto" w:fill="FFFFFF"/>
            <w:noWrap w:val="0"/>
            <w:vAlign w:val="center"/>
          </w:tcPr>
          <w:p w14:paraId="05A41B52">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30.5</w:t>
            </w:r>
          </w:p>
        </w:tc>
        <w:tc>
          <w:tcPr>
            <w:tcW w:w="171" w:type="pct"/>
            <w:shd w:val="clear" w:color="auto" w:fill="FFFFFF"/>
            <w:noWrap w:val="0"/>
            <w:vAlign w:val="center"/>
          </w:tcPr>
          <w:p w14:paraId="25C4FD04">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1</w:t>
            </w:r>
          </w:p>
        </w:tc>
        <w:tc>
          <w:tcPr>
            <w:tcW w:w="207" w:type="pct"/>
            <w:shd w:val="clear" w:color="auto" w:fill="FFFFFF"/>
            <w:noWrap w:val="0"/>
            <w:vAlign w:val="center"/>
          </w:tcPr>
          <w:p w14:paraId="473DE52E">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55.0</w:t>
            </w:r>
          </w:p>
        </w:tc>
        <w:tc>
          <w:tcPr>
            <w:tcW w:w="207" w:type="pct"/>
            <w:shd w:val="clear" w:color="auto" w:fill="FFFFFF"/>
            <w:noWrap w:val="0"/>
            <w:vAlign w:val="center"/>
          </w:tcPr>
          <w:p w14:paraId="2792A890">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5.0</w:t>
            </w:r>
          </w:p>
        </w:tc>
        <w:tc>
          <w:tcPr>
            <w:tcW w:w="207" w:type="pct"/>
            <w:shd w:val="clear" w:color="auto" w:fill="FFFFFF"/>
            <w:noWrap w:val="0"/>
            <w:vAlign w:val="center"/>
          </w:tcPr>
          <w:p w14:paraId="792984BD">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75.7</w:t>
            </w:r>
          </w:p>
        </w:tc>
        <w:tc>
          <w:tcPr>
            <w:tcW w:w="207" w:type="pct"/>
            <w:shd w:val="clear" w:color="auto" w:fill="FFFFFF"/>
            <w:noWrap w:val="0"/>
            <w:vAlign w:val="center"/>
          </w:tcPr>
          <w:p w14:paraId="18BAB5DF">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13.0</w:t>
            </w:r>
          </w:p>
        </w:tc>
        <w:tc>
          <w:tcPr>
            <w:tcW w:w="207" w:type="pct"/>
            <w:shd w:val="clear" w:color="auto" w:fill="FFFFFF"/>
            <w:noWrap w:val="0"/>
            <w:vAlign w:val="center"/>
          </w:tcPr>
          <w:p w14:paraId="022DDB78">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5</w:t>
            </w:r>
            <w:r>
              <w:rPr>
                <w:rFonts w:hint="eastAsia" w:cs="Times New Roman"/>
                <w:color w:val="000000" w:themeColor="text1"/>
                <w:sz w:val="21"/>
                <w:szCs w:val="21"/>
                <w:lang w:val="en-US" w:eastAsia="zh-CN"/>
              </w:rPr>
              <w:t>6.4</w:t>
            </w:r>
          </w:p>
        </w:tc>
        <w:tc>
          <w:tcPr>
            <w:tcW w:w="207" w:type="pct"/>
            <w:shd w:val="clear" w:color="auto" w:fill="FFFFFF"/>
            <w:noWrap w:val="0"/>
            <w:vAlign w:val="center"/>
          </w:tcPr>
          <w:p w14:paraId="4EFB1A80">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56.</w:t>
            </w:r>
            <w:r>
              <w:rPr>
                <w:rFonts w:hint="eastAsia" w:cs="Times New Roman"/>
                <w:color w:val="000000" w:themeColor="text1"/>
                <w:sz w:val="21"/>
                <w:szCs w:val="21"/>
                <w:lang w:val="en-US" w:eastAsia="zh-CN"/>
              </w:rPr>
              <w:t>5</w:t>
            </w:r>
          </w:p>
        </w:tc>
        <w:tc>
          <w:tcPr>
            <w:tcW w:w="207" w:type="pct"/>
            <w:shd w:val="clear" w:color="auto" w:fill="FFFFFF"/>
            <w:noWrap w:val="0"/>
            <w:vAlign w:val="center"/>
          </w:tcPr>
          <w:p w14:paraId="1F5ED938">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5</w:t>
            </w:r>
            <w:r>
              <w:rPr>
                <w:rFonts w:hint="eastAsia" w:cs="Times New Roman"/>
                <w:color w:val="000000" w:themeColor="text1"/>
                <w:sz w:val="21"/>
                <w:szCs w:val="21"/>
                <w:lang w:val="en-US" w:eastAsia="zh-CN"/>
              </w:rPr>
              <w:t>6.4</w:t>
            </w:r>
          </w:p>
        </w:tc>
        <w:tc>
          <w:tcPr>
            <w:tcW w:w="207" w:type="pct"/>
            <w:shd w:val="clear" w:color="auto" w:fill="FFFFFF"/>
            <w:noWrap w:val="0"/>
            <w:vAlign w:val="center"/>
          </w:tcPr>
          <w:p w14:paraId="2C2D1C15">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5</w:t>
            </w:r>
            <w:r>
              <w:rPr>
                <w:rFonts w:hint="eastAsia" w:cs="Times New Roman"/>
                <w:color w:val="000000" w:themeColor="text1"/>
                <w:sz w:val="21"/>
                <w:szCs w:val="21"/>
                <w:lang w:val="en-US" w:eastAsia="zh-CN"/>
              </w:rPr>
              <w:t>6.4</w:t>
            </w:r>
          </w:p>
        </w:tc>
        <w:tc>
          <w:tcPr>
            <w:tcW w:w="153" w:type="pct"/>
            <w:vMerge w:val="restart"/>
            <w:shd w:val="clear" w:color="auto" w:fill="FFFFFF"/>
            <w:noWrap w:val="0"/>
            <w:vAlign w:val="center"/>
          </w:tcPr>
          <w:p w14:paraId="1198A6F8">
            <w:pPr>
              <w:jc w:val="center"/>
              <w:rPr>
                <w:rFonts w:hint="eastAsia"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昼间</w:t>
            </w:r>
          </w:p>
        </w:tc>
        <w:tc>
          <w:tcPr>
            <w:tcW w:w="268" w:type="pct"/>
            <w:shd w:val="clear" w:color="auto" w:fill="FFFFFF"/>
            <w:noWrap w:val="0"/>
            <w:vAlign w:val="center"/>
          </w:tcPr>
          <w:p w14:paraId="716F5E61">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20</w:t>
            </w:r>
          </w:p>
        </w:tc>
        <w:tc>
          <w:tcPr>
            <w:tcW w:w="207" w:type="pct"/>
            <w:shd w:val="clear" w:color="auto" w:fill="FFFFFF"/>
            <w:noWrap w:val="0"/>
            <w:vAlign w:val="center"/>
          </w:tcPr>
          <w:p w14:paraId="749B0FC9">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30.4</w:t>
            </w:r>
          </w:p>
        </w:tc>
        <w:tc>
          <w:tcPr>
            <w:tcW w:w="207" w:type="pct"/>
            <w:shd w:val="clear" w:color="auto" w:fill="FFFFFF"/>
            <w:noWrap w:val="0"/>
            <w:vAlign w:val="center"/>
          </w:tcPr>
          <w:p w14:paraId="28EBFD6E">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30.</w:t>
            </w:r>
            <w:r>
              <w:rPr>
                <w:rFonts w:hint="eastAsia" w:cs="Times New Roman"/>
                <w:color w:val="000000" w:themeColor="text1"/>
                <w:sz w:val="21"/>
                <w:szCs w:val="21"/>
                <w:lang w:val="en-US" w:eastAsia="zh-CN"/>
              </w:rPr>
              <w:t>5</w:t>
            </w:r>
          </w:p>
        </w:tc>
        <w:tc>
          <w:tcPr>
            <w:tcW w:w="207" w:type="pct"/>
            <w:shd w:val="clear" w:color="auto" w:fill="FFFFFF"/>
            <w:noWrap w:val="0"/>
            <w:vAlign w:val="center"/>
          </w:tcPr>
          <w:p w14:paraId="0B510312">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30.4</w:t>
            </w:r>
          </w:p>
        </w:tc>
        <w:tc>
          <w:tcPr>
            <w:tcW w:w="207" w:type="pct"/>
            <w:shd w:val="clear" w:color="auto" w:fill="FFFFFF"/>
            <w:noWrap w:val="0"/>
            <w:vAlign w:val="center"/>
          </w:tcPr>
          <w:p w14:paraId="153A3682">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30.4</w:t>
            </w:r>
          </w:p>
        </w:tc>
        <w:tc>
          <w:tcPr>
            <w:tcW w:w="152" w:type="pct"/>
            <w:shd w:val="clear" w:color="auto" w:fill="FFFFFF"/>
            <w:noWrap w:val="0"/>
            <w:vAlign w:val="center"/>
          </w:tcPr>
          <w:p w14:paraId="0FD8F418">
            <w:pPr>
              <w:jc w:val="center"/>
              <w:rPr>
                <w:rFonts w:hint="eastAsia"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1</w:t>
            </w:r>
          </w:p>
        </w:tc>
      </w:tr>
      <w:tr w14:paraId="0D7DEC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1" w:type="pct"/>
            <w:shd w:val="clear" w:color="auto" w:fill="FFFFFF"/>
            <w:noWrap w:val="0"/>
            <w:vAlign w:val="center"/>
          </w:tcPr>
          <w:p w14:paraId="3A78FCCB">
            <w:pPr>
              <w:jc w:val="center"/>
              <w:rPr>
                <w:rFonts w:hint="eastAsia"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2</w:t>
            </w:r>
          </w:p>
        </w:tc>
        <w:tc>
          <w:tcPr>
            <w:tcW w:w="151" w:type="pct"/>
            <w:vMerge w:val="continue"/>
            <w:shd w:val="clear" w:color="auto" w:fill="FFFFFF"/>
            <w:noWrap w:val="0"/>
            <w:vAlign w:val="center"/>
          </w:tcPr>
          <w:p w14:paraId="229E24E6">
            <w:pPr>
              <w:jc w:val="center"/>
              <w:rPr>
                <w:rFonts w:hint="default" w:ascii="Times New Roman" w:hAnsi="Times New Roman" w:eastAsia="宋体" w:cs="Times New Roman"/>
                <w:color w:val="000000" w:themeColor="text1"/>
                <w:sz w:val="21"/>
                <w:szCs w:val="21"/>
              </w:rPr>
            </w:pPr>
          </w:p>
        </w:tc>
        <w:tc>
          <w:tcPr>
            <w:tcW w:w="152" w:type="pct"/>
            <w:shd w:val="clear" w:color="auto" w:fill="FFFFFF"/>
            <w:noWrap w:val="0"/>
            <w:vAlign w:val="center"/>
          </w:tcPr>
          <w:p w14:paraId="6A7D8BFD">
            <w:pPr>
              <w:jc w:val="center"/>
              <w:rPr>
                <w:rFonts w:hint="default" w:ascii="Times New Roman" w:hAnsi="Times New Roman" w:eastAsia="宋体" w:cs="Times New Roman"/>
                <w:color w:val="000000" w:themeColor="text1"/>
                <w:sz w:val="21"/>
                <w:szCs w:val="21"/>
              </w:rPr>
            </w:pPr>
            <w:r>
              <w:rPr>
                <w:rFonts w:hint="eastAsia" w:ascii="Times New Roman" w:hAnsi="Times New Roman" w:eastAsia="宋体" w:cs="Times New Roman"/>
                <w:i w:val="0"/>
                <w:iCs w:val="0"/>
                <w:color w:val="000000" w:themeColor="text1"/>
                <w:kern w:val="0"/>
                <w:sz w:val="21"/>
                <w:szCs w:val="21"/>
                <w:u w:val="none"/>
                <w:lang w:val="en-US" w:eastAsia="zh-CN" w:bidi="ar"/>
              </w:rPr>
              <w:t>绕线机</w:t>
            </w:r>
          </w:p>
        </w:tc>
        <w:tc>
          <w:tcPr>
            <w:tcW w:w="152" w:type="pct"/>
            <w:shd w:val="clear" w:color="auto" w:fill="FFFFFF"/>
            <w:noWrap w:val="0"/>
            <w:vAlign w:val="center"/>
          </w:tcPr>
          <w:p w14:paraId="48EE3C97">
            <w:pPr>
              <w:jc w:val="center"/>
              <w:rPr>
                <w:rFonts w:hint="default" w:ascii="Times New Roman" w:hAnsi="Times New Roman" w:eastAsia="宋体" w:cs="Times New Roman"/>
                <w:color w:val="000000" w:themeColor="text1"/>
                <w:sz w:val="21"/>
                <w:szCs w:val="21"/>
              </w:rPr>
            </w:pPr>
            <w:r>
              <w:rPr>
                <w:rFonts w:hint="eastAsia" w:ascii="Times New Roman" w:hAnsi="Times New Roman" w:eastAsia="宋体" w:cs="Times New Roman"/>
                <w:color w:val="000000" w:themeColor="text1"/>
                <w:sz w:val="21"/>
                <w:szCs w:val="21"/>
                <w:lang w:val="en-US" w:eastAsia="zh-CN"/>
              </w:rPr>
              <w:t>3</w:t>
            </w:r>
          </w:p>
        </w:tc>
        <w:tc>
          <w:tcPr>
            <w:tcW w:w="483" w:type="pct"/>
            <w:shd w:val="clear" w:color="auto" w:fill="FFFFFF"/>
            <w:noWrap w:val="0"/>
            <w:vAlign w:val="center"/>
          </w:tcPr>
          <w:p w14:paraId="69063D13">
            <w:pPr>
              <w:jc w:val="center"/>
              <w:rPr>
                <w:rFonts w:hint="default" w:ascii="Times New Roman" w:hAnsi="Times New Roman" w:eastAsia="宋体" w:cs="Times New Roman"/>
                <w:color w:val="000000" w:themeColor="text1"/>
                <w:sz w:val="21"/>
                <w:szCs w:val="21"/>
              </w:rPr>
            </w:pPr>
            <w:r>
              <w:rPr>
                <w:rFonts w:hint="eastAsia" w:ascii="Times New Roman" w:hAnsi="Times New Roman" w:eastAsia="宋体" w:cs="Times New Roman"/>
                <w:color w:val="000000" w:themeColor="text1"/>
                <w:sz w:val="21"/>
                <w:szCs w:val="21"/>
                <w:lang w:val="en-US" w:eastAsia="zh-CN"/>
              </w:rPr>
              <w:t>65/1</w:t>
            </w:r>
          </w:p>
        </w:tc>
        <w:tc>
          <w:tcPr>
            <w:tcW w:w="223" w:type="pct"/>
            <w:vMerge w:val="continue"/>
            <w:shd w:val="clear" w:color="auto" w:fill="FFFFFF"/>
            <w:noWrap w:val="0"/>
            <w:vAlign w:val="center"/>
          </w:tcPr>
          <w:p w14:paraId="1FF17385">
            <w:pPr>
              <w:jc w:val="center"/>
              <w:rPr>
                <w:rFonts w:hint="default" w:ascii="Times New Roman" w:hAnsi="Times New Roman" w:eastAsia="宋体" w:cs="Times New Roman"/>
                <w:color w:val="000000" w:themeColor="text1"/>
                <w:sz w:val="21"/>
                <w:szCs w:val="21"/>
              </w:rPr>
            </w:pPr>
          </w:p>
        </w:tc>
        <w:tc>
          <w:tcPr>
            <w:tcW w:w="207" w:type="pct"/>
            <w:shd w:val="clear" w:color="auto" w:fill="FFFFFF"/>
            <w:noWrap w:val="0"/>
            <w:vAlign w:val="center"/>
          </w:tcPr>
          <w:p w14:paraId="0B379A9B">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93.</w:t>
            </w:r>
            <w:r>
              <w:rPr>
                <w:rFonts w:hint="eastAsia" w:cs="Times New Roman"/>
                <w:color w:val="000000" w:themeColor="text1"/>
                <w:sz w:val="21"/>
                <w:szCs w:val="21"/>
                <w:lang w:val="en-US" w:eastAsia="zh-CN"/>
              </w:rPr>
              <w:t>6</w:t>
            </w:r>
          </w:p>
        </w:tc>
        <w:tc>
          <w:tcPr>
            <w:tcW w:w="242" w:type="pct"/>
            <w:shd w:val="clear" w:color="auto" w:fill="FFFFFF"/>
            <w:noWrap w:val="0"/>
            <w:vAlign w:val="center"/>
          </w:tcPr>
          <w:p w14:paraId="0C4549AD">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30.6</w:t>
            </w:r>
          </w:p>
        </w:tc>
        <w:tc>
          <w:tcPr>
            <w:tcW w:w="171" w:type="pct"/>
            <w:shd w:val="clear" w:color="auto" w:fill="FFFFFF"/>
            <w:noWrap w:val="0"/>
            <w:vAlign w:val="center"/>
          </w:tcPr>
          <w:p w14:paraId="584CDB2E">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1</w:t>
            </w:r>
          </w:p>
        </w:tc>
        <w:tc>
          <w:tcPr>
            <w:tcW w:w="207" w:type="pct"/>
            <w:shd w:val="clear" w:color="auto" w:fill="FFFFFF"/>
            <w:noWrap w:val="0"/>
            <w:vAlign w:val="center"/>
          </w:tcPr>
          <w:p w14:paraId="1A205CBC">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6</w:t>
            </w:r>
            <w:r>
              <w:rPr>
                <w:rFonts w:hint="eastAsia" w:cs="Times New Roman"/>
                <w:color w:val="000000" w:themeColor="text1"/>
                <w:sz w:val="21"/>
                <w:szCs w:val="21"/>
                <w:lang w:val="en-US" w:eastAsia="zh-CN"/>
              </w:rPr>
              <w:t>0.8</w:t>
            </w:r>
          </w:p>
        </w:tc>
        <w:tc>
          <w:tcPr>
            <w:tcW w:w="207" w:type="pct"/>
            <w:shd w:val="clear" w:color="auto" w:fill="FFFFFF"/>
            <w:noWrap w:val="0"/>
            <w:vAlign w:val="center"/>
          </w:tcPr>
          <w:p w14:paraId="17D9DA1E">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5.1</w:t>
            </w:r>
          </w:p>
        </w:tc>
        <w:tc>
          <w:tcPr>
            <w:tcW w:w="207" w:type="pct"/>
            <w:shd w:val="clear" w:color="auto" w:fill="FFFFFF"/>
            <w:noWrap w:val="0"/>
            <w:vAlign w:val="center"/>
          </w:tcPr>
          <w:p w14:paraId="5C3172EB">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6</w:t>
            </w:r>
            <w:r>
              <w:rPr>
                <w:rFonts w:hint="eastAsia" w:cs="Times New Roman"/>
                <w:color w:val="000000" w:themeColor="text1"/>
                <w:sz w:val="21"/>
                <w:szCs w:val="21"/>
                <w:lang w:val="en-US" w:eastAsia="zh-CN"/>
              </w:rPr>
              <w:t>9.9</w:t>
            </w:r>
          </w:p>
        </w:tc>
        <w:tc>
          <w:tcPr>
            <w:tcW w:w="207" w:type="pct"/>
            <w:shd w:val="clear" w:color="auto" w:fill="FFFFFF"/>
            <w:noWrap w:val="0"/>
            <w:vAlign w:val="center"/>
          </w:tcPr>
          <w:p w14:paraId="566EEE48">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13.0</w:t>
            </w:r>
          </w:p>
        </w:tc>
        <w:tc>
          <w:tcPr>
            <w:tcW w:w="207" w:type="pct"/>
            <w:shd w:val="clear" w:color="auto" w:fill="FFFFFF"/>
            <w:noWrap w:val="0"/>
            <w:vAlign w:val="center"/>
          </w:tcPr>
          <w:p w14:paraId="49FCDE89">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56.4</w:t>
            </w:r>
          </w:p>
        </w:tc>
        <w:tc>
          <w:tcPr>
            <w:tcW w:w="207" w:type="pct"/>
            <w:shd w:val="clear" w:color="auto" w:fill="FFFFFF"/>
            <w:noWrap w:val="0"/>
            <w:vAlign w:val="center"/>
          </w:tcPr>
          <w:p w14:paraId="1C18F911">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5</w:t>
            </w:r>
            <w:r>
              <w:rPr>
                <w:rFonts w:hint="eastAsia" w:cs="Times New Roman"/>
                <w:color w:val="000000" w:themeColor="text1"/>
                <w:sz w:val="21"/>
                <w:szCs w:val="21"/>
                <w:lang w:val="en-US" w:eastAsia="zh-CN"/>
              </w:rPr>
              <w:t>6.5</w:t>
            </w:r>
          </w:p>
        </w:tc>
        <w:tc>
          <w:tcPr>
            <w:tcW w:w="207" w:type="pct"/>
            <w:shd w:val="clear" w:color="auto" w:fill="FFFFFF"/>
            <w:noWrap w:val="0"/>
            <w:vAlign w:val="center"/>
          </w:tcPr>
          <w:p w14:paraId="51DF5D69">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5</w:t>
            </w:r>
            <w:r>
              <w:rPr>
                <w:rFonts w:hint="eastAsia" w:cs="Times New Roman"/>
                <w:color w:val="000000" w:themeColor="text1"/>
                <w:sz w:val="21"/>
                <w:szCs w:val="21"/>
                <w:lang w:val="en-US" w:eastAsia="zh-CN"/>
              </w:rPr>
              <w:t>6.4</w:t>
            </w:r>
          </w:p>
        </w:tc>
        <w:tc>
          <w:tcPr>
            <w:tcW w:w="207" w:type="pct"/>
            <w:shd w:val="clear" w:color="auto" w:fill="FFFFFF"/>
            <w:noWrap w:val="0"/>
            <w:vAlign w:val="center"/>
          </w:tcPr>
          <w:p w14:paraId="45B90C04">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5</w:t>
            </w:r>
            <w:r>
              <w:rPr>
                <w:rFonts w:hint="eastAsia" w:cs="Times New Roman"/>
                <w:color w:val="000000" w:themeColor="text1"/>
                <w:sz w:val="21"/>
                <w:szCs w:val="21"/>
                <w:lang w:val="en-US" w:eastAsia="zh-CN"/>
              </w:rPr>
              <w:t>6.4</w:t>
            </w:r>
          </w:p>
        </w:tc>
        <w:tc>
          <w:tcPr>
            <w:tcW w:w="153" w:type="pct"/>
            <w:vMerge w:val="continue"/>
            <w:shd w:val="clear" w:color="auto" w:fill="FFFFFF"/>
            <w:noWrap w:val="0"/>
            <w:vAlign w:val="center"/>
          </w:tcPr>
          <w:p w14:paraId="33A21112">
            <w:pPr>
              <w:jc w:val="center"/>
              <w:rPr>
                <w:rFonts w:hint="default" w:ascii="Times New Roman" w:hAnsi="Times New Roman" w:eastAsia="宋体" w:cs="Times New Roman"/>
                <w:color w:val="000000" w:themeColor="text1"/>
                <w:sz w:val="21"/>
                <w:szCs w:val="21"/>
              </w:rPr>
            </w:pPr>
          </w:p>
        </w:tc>
        <w:tc>
          <w:tcPr>
            <w:tcW w:w="268" w:type="pct"/>
            <w:shd w:val="clear" w:color="auto" w:fill="FFFFFF"/>
            <w:noWrap w:val="0"/>
            <w:vAlign w:val="center"/>
          </w:tcPr>
          <w:p w14:paraId="5BCEBC7C">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20</w:t>
            </w:r>
          </w:p>
        </w:tc>
        <w:tc>
          <w:tcPr>
            <w:tcW w:w="207" w:type="pct"/>
            <w:shd w:val="clear" w:color="auto" w:fill="FFFFFF"/>
            <w:noWrap w:val="0"/>
            <w:vAlign w:val="center"/>
          </w:tcPr>
          <w:p w14:paraId="635A98F7">
            <w:pPr>
              <w:jc w:val="center"/>
              <w:rPr>
                <w:rFonts w:hint="default" w:ascii="Times New Roman" w:hAnsi="Times New Roman" w:eastAsia="宋体" w:cs="Times New Roman"/>
                <w:color w:val="000000" w:themeColor="text1"/>
                <w:sz w:val="21"/>
                <w:szCs w:val="21"/>
                <w:lang w:val="en-US"/>
              </w:rPr>
            </w:pPr>
            <w:r>
              <w:rPr>
                <w:rFonts w:hint="eastAsia" w:cs="Times New Roman"/>
                <w:color w:val="000000" w:themeColor="text1"/>
                <w:sz w:val="21"/>
                <w:szCs w:val="21"/>
                <w:lang w:val="en-US" w:eastAsia="zh-CN"/>
              </w:rPr>
              <w:t>30.4</w:t>
            </w:r>
          </w:p>
        </w:tc>
        <w:tc>
          <w:tcPr>
            <w:tcW w:w="207" w:type="pct"/>
            <w:shd w:val="clear" w:color="auto" w:fill="FFFFFF"/>
            <w:noWrap w:val="0"/>
            <w:vAlign w:val="center"/>
          </w:tcPr>
          <w:p w14:paraId="34BEE36A">
            <w:pPr>
              <w:jc w:val="center"/>
              <w:rPr>
                <w:rFonts w:hint="default" w:ascii="Times New Roman" w:hAnsi="Times New Roman" w:eastAsia="宋体" w:cs="Times New Roman"/>
                <w:color w:val="000000" w:themeColor="text1"/>
                <w:sz w:val="21"/>
                <w:szCs w:val="21"/>
                <w:lang w:val="en-US"/>
              </w:rPr>
            </w:pPr>
            <w:r>
              <w:rPr>
                <w:rFonts w:hint="eastAsia" w:cs="Times New Roman"/>
                <w:color w:val="000000" w:themeColor="text1"/>
                <w:sz w:val="21"/>
                <w:szCs w:val="21"/>
                <w:lang w:val="en-US" w:eastAsia="zh-CN"/>
              </w:rPr>
              <w:t>30.5</w:t>
            </w:r>
          </w:p>
        </w:tc>
        <w:tc>
          <w:tcPr>
            <w:tcW w:w="207" w:type="pct"/>
            <w:shd w:val="clear" w:color="auto" w:fill="FFFFFF"/>
            <w:noWrap w:val="0"/>
            <w:vAlign w:val="center"/>
          </w:tcPr>
          <w:p w14:paraId="6B58B322">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30.4</w:t>
            </w:r>
          </w:p>
        </w:tc>
        <w:tc>
          <w:tcPr>
            <w:tcW w:w="207" w:type="pct"/>
            <w:shd w:val="clear" w:color="auto" w:fill="FFFFFF"/>
            <w:noWrap w:val="0"/>
            <w:vAlign w:val="center"/>
          </w:tcPr>
          <w:p w14:paraId="1208BB31">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30.4</w:t>
            </w:r>
          </w:p>
        </w:tc>
        <w:tc>
          <w:tcPr>
            <w:tcW w:w="152" w:type="pct"/>
            <w:shd w:val="clear" w:color="auto" w:fill="FFFFFF"/>
            <w:noWrap w:val="0"/>
            <w:vAlign w:val="center"/>
          </w:tcPr>
          <w:p w14:paraId="61D855C6">
            <w:pPr>
              <w:jc w:val="center"/>
              <w:rPr>
                <w:rFonts w:hint="eastAsia"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1</w:t>
            </w:r>
          </w:p>
        </w:tc>
      </w:tr>
      <w:tr w14:paraId="17CCE6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1" w:type="pct"/>
            <w:shd w:val="clear" w:color="auto" w:fill="FFFFFF"/>
            <w:noWrap w:val="0"/>
            <w:vAlign w:val="center"/>
          </w:tcPr>
          <w:p w14:paraId="098BEBE0">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3</w:t>
            </w:r>
          </w:p>
        </w:tc>
        <w:tc>
          <w:tcPr>
            <w:tcW w:w="151" w:type="pct"/>
            <w:vMerge w:val="continue"/>
            <w:shd w:val="clear" w:color="auto" w:fill="FFFFFF"/>
            <w:noWrap w:val="0"/>
            <w:vAlign w:val="center"/>
          </w:tcPr>
          <w:p w14:paraId="5F9CF4BC">
            <w:pPr>
              <w:jc w:val="center"/>
              <w:rPr>
                <w:rFonts w:hint="default" w:ascii="Times New Roman" w:hAnsi="Times New Roman" w:eastAsia="宋体" w:cs="Times New Roman"/>
                <w:color w:val="000000" w:themeColor="text1"/>
                <w:sz w:val="21"/>
                <w:szCs w:val="21"/>
              </w:rPr>
            </w:pPr>
          </w:p>
        </w:tc>
        <w:tc>
          <w:tcPr>
            <w:tcW w:w="152" w:type="pct"/>
            <w:shd w:val="clear" w:color="auto" w:fill="FFFFFF"/>
            <w:noWrap w:val="0"/>
            <w:vAlign w:val="center"/>
          </w:tcPr>
          <w:p w14:paraId="54D29738">
            <w:pPr>
              <w:jc w:val="center"/>
              <w:rPr>
                <w:rFonts w:hint="default" w:ascii="Times New Roman" w:hAnsi="Times New Roman" w:eastAsia="宋体" w:cs="Times New Roman"/>
                <w:color w:val="000000" w:themeColor="text1"/>
                <w:sz w:val="21"/>
                <w:szCs w:val="21"/>
              </w:rPr>
            </w:pPr>
            <w:r>
              <w:rPr>
                <w:rFonts w:hint="eastAsia" w:ascii="Times New Roman" w:hAnsi="Times New Roman" w:eastAsia="宋体" w:cs="Times New Roman"/>
                <w:i w:val="0"/>
                <w:iCs w:val="0"/>
                <w:color w:val="000000" w:themeColor="text1"/>
                <w:kern w:val="0"/>
                <w:sz w:val="21"/>
                <w:szCs w:val="21"/>
                <w:u w:val="none"/>
                <w:lang w:val="en-US" w:eastAsia="zh-CN" w:bidi="ar"/>
              </w:rPr>
              <w:t>电焊机</w:t>
            </w:r>
          </w:p>
        </w:tc>
        <w:tc>
          <w:tcPr>
            <w:tcW w:w="152" w:type="pct"/>
            <w:shd w:val="clear" w:color="auto" w:fill="FFFFFF"/>
            <w:noWrap w:val="0"/>
            <w:vAlign w:val="center"/>
          </w:tcPr>
          <w:p w14:paraId="4946AC29">
            <w:pPr>
              <w:jc w:val="center"/>
              <w:rPr>
                <w:rFonts w:hint="default" w:ascii="Times New Roman" w:hAnsi="Times New Roman" w:eastAsia="宋体" w:cs="Times New Roman"/>
                <w:color w:val="000000" w:themeColor="text1"/>
                <w:sz w:val="21"/>
                <w:szCs w:val="21"/>
              </w:rPr>
            </w:pPr>
            <w:r>
              <w:rPr>
                <w:rFonts w:hint="eastAsia" w:ascii="Times New Roman" w:hAnsi="Times New Roman" w:eastAsia="宋体" w:cs="Times New Roman"/>
                <w:color w:val="000000" w:themeColor="text1"/>
                <w:sz w:val="21"/>
                <w:szCs w:val="21"/>
                <w:lang w:val="en-US" w:eastAsia="zh-CN"/>
              </w:rPr>
              <w:t>4</w:t>
            </w:r>
          </w:p>
        </w:tc>
        <w:tc>
          <w:tcPr>
            <w:tcW w:w="483" w:type="pct"/>
            <w:shd w:val="clear" w:color="auto" w:fill="FFFFFF"/>
            <w:noWrap w:val="0"/>
            <w:vAlign w:val="center"/>
          </w:tcPr>
          <w:p w14:paraId="6595E616">
            <w:pPr>
              <w:jc w:val="center"/>
              <w:rPr>
                <w:rFonts w:hint="default" w:ascii="Times New Roman" w:hAnsi="Times New Roman" w:eastAsia="宋体" w:cs="Times New Roman"/>
                <w:color w:val="000000" w:themeColor="text1"/>
                <w:sz w:val="21"/>
                <w:szCs w:val="21"/>
              </w:rPr>
            </w:pPr>
            <w:r>
              <w:rPr>
                <w:rFonts w:hint="eastAsia" w:ascii="Times New Roman" w:hAnsi="Times New Roman" w:eastAsia="宋体" w:cs="Times New Roman"/>
                <w:color w:val="000000" w:themeColor="text1"/>
                <w:sz w:val="21"/>
                <w:szCs w:val="21"/>
                <w:lang w:val="en-US" w:eastAsia="zh-CN"/>
              </w:rPr>
              <w:t>75/1</w:t>
            </w:r>
          </w:p>
        </w:tc>
        <w:tc>
          <w:tcPr>
            <w:tcW w:w="223" w:type="pct"/>
            <w:vMerge w:val="continue"/>
            <w:shd w:val="clear" w:color="auto" w:fill="FFFFFF"/>
            <w:noWrap w:val="0"/>
            <w:vAlign w:val="center"/>
          </w:tcPr>
          <w:p w14:paraId="0620FB94">
            <w:pPr>
              <w:jc w:val="center"/>
              <w:rPr>
                <w:rFonts w:hint="default" w:ascii="Times New Roman" w:hAnsi="Times New Roman" w:eastAsia="宋体" w:cs="Times New Roman"/>
                <w:color w:val="000000" w:themeColor="text1"/>
                <w:sz w:val="21"/>
                <w:szCs w:val="21"/>
              </w:rPr>
            </w:pPr>
          </w:p>
        </w:tc>
        <w:tc>
          <w:tcPr>
            <w:tcW w:w="207" w:type="pct"/>
            <w:shd w:val="clear" w:color="auto" w:fill="FFFFFF"/>
            <w:noWrap w:val="0"/>
            <w:vAlign w:val="center"/>
          </w:tcPr>
          <w:p w14:paraId="1B24BDFD">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79.2</w:t>
            </w:r>
          </w:p>
        </w:tc>
        <w:tc>
          <w:tcPr>
            <w:tcW w:w="242" w:type="pct"/>
            <w:shd w:val="clear" w:color="auto" w:fill="FFFFFF"/>
            <w:noWrap w:val="0"/>
            <w:vAlign w:val="center"/>
          </w:tcPr>
          <w:p w14:paraId="3F4B1069">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30.9</w:t>
            </w:r>
          </w:p>
        </w:tc>
        <w:tc>
          <w:tcPr>
            <w:tcW w:w="171" w:type="pct"/>
            <w:shd w:val="clear" w:color="auto" w:fill="FFFFFF"/>
            <w:noWrap w:val="0"/>
            <w:vAlign w:val="center"/>
          </w:tcPr>
          <w:p w14:paraId="6FC2F592">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1</w:t>
            </w:r>
          </w:p>
        </w:tc>
        <w:tc>
          <w:tcPr>
            <w:tcW w:w="207" w:type="pct"/>
            <w:shd w:val="clear" w:color="auto" w:fill="FFFFFF"/>
            <w:noWrap w:val="0"/>
            <w:vAlign w:val="center"/>
          </w:tcPr>
          <w:p w14:paraId="02743DB4">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75.2</w:t>
            </w:r>
          </w:p>
        </w:tc>
        <w:tc>
          <w:tcPr>
            <w:tcW w:w="207" w:type="pct"/>
            <w:shd w:val="clear" w:color="auto" w:fill="FFFFFF"/>
            <w:noWrap w:val="0"/>
            <w:vAlign w:val="center"/>
          </w:tcPr>
          <w:p w14:paraId="157D1B0B">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5.5</w:t>
            </w:r>
          </w:p>
        </w:tc>
        <w:tc>
          <w:tcPr>
            <w:tcW w:w="207" w:type="pct"/>
            <w:shd w:val="clear" w:color="auto" w:fill="FFFFFF"/>
            <w:noWrap w:val="0"/>
            <w:vAlign w:val="center"/>
          </w:tcPr>
          <w:p w14:paraId="033B9E1D">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55.5</w:t>
            </w:r>
          </w:p>
        </w:tc>
        <w:tc>
          <w:tcPr>
            <w:tcW w:w="207" w:type="pct"/>
            <w:shd w:val="clear" w:color="auto" w:fill="FFFFFF"/>
            <w:noWrap w:val="0"/>
            <w:vAlign w:val="center"/>
          </w:tcPr>
          <w:p w14:paraId="3278113E">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12.6</w:t>
            </w:r>
          </w:p>
        </w:tc>
        <w:tc>
          <w:tcPr>
            <w:tcW w:w="207" w:type="pct"/>
            <w:shd w:val="clear" w:color="auto" w:fill="FFFFFF"/>
            <w:noWrap w:val="0"/>
            <w:vAlign w:val="center"/>
          </w:tcPr>
          <w:p w14:paraId="593CAAED">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66.4</w:t>
            </w:r>
          </w:p>
        </w:tc>
        <w:tc>
          <w:tcPr>
            <w:tcW w:w="207" w:type="pct"/>
            <w:shd w:val="clear" w:color="auto" w:fill="FFFFFF"/>
            <w:noWrap w:val="0"/>
            <w:vAlign w:val="center"/>
          </w:tcPr>
          <w:p w14:paraId="10B488B3">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6</w:t>
            </w:r>
            <w:r>
              <w:rPr>
                <w:rFonts w:hint="eastAsia" w:cs="Times New Roman"/>
                <w:color w:val="000000" w:themeColor="text1"/>
                <w:sz w:val="21"/>
                <w:szCs w:val="21"/>
                <w:lang w:val="en-US" w:eastAsia="zh-CN"/>
              </w:rPr>
              <w:t>6.5</w:t>
            </w:r>
          </w:p>
        </w:tc>
        <w:tc>
          <w:tcPr>
            <w:tcW w:w="207" w:type="pct"/>
            <w:shd w:val="clear" w:color="auto" w:fill="FFFFFF"/>
            <w:noWrap w:val="0"/>
            <w:vAlign w:val="center"/>
          </w:tcPr>
          <w:p w14:paraId="61BEE418">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66.4</w:t>
            </w:r>
          </w:p>
        </w:tc>
        <w:tc>
          <w:tcPr>
            <w:tcW w:w="207" w:type="pct"/>
            <w:shd w:val="clear" w:color="auto" w:fill="FFFFFF"/>
            <w:noWrap w:val="0"/>
            <w:vAlign w:val="center"/>
          </w:tcPr>
          <w:p w14:paraId="59E5CD41">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6</w:t>
            </w:r>
            <w:r>
              <w:rPr>
                <w:rFonts w:hint="eastAsia" w:cs="Times New Roman"/>
                <w:color w:val="000000" w:themeColor="text1"/>
                <w:sz w:val="21"/>
                <w:szCs w:val="21"/>
                <w:lang w:val="en-US" w:eastAsia="zh-CN"/>
              </w:rPr>
              <w:t>6.4</w:t>
            </w:r>
          </w:p>
        </w:tc>
        <w:tc>
          <w:tcPr>
            <w:tcW w:w="153" w:type="pct"/>
            <w:vMerge w:val="continue"/>
            <w:shd w:val="clear" w:color="auto" w:fill="FFFFFF"/>
            <w:noWrap w:val="0"/>
            <w:vAlign w:val="center"/>
          </w:tcPr>
          <w:p w14:paraId="1A3DACFE">
            <w:pPr>
              <w:jc w:val="center"/>
              <w:rPr>
                <w:rFonts w:hint="default" w:ascii="Times New Roman" w:hAnsi="Times New Roman" w:eastAsia="宋体" w:cs="Times New Roman"/>
                <w:color w:val="000000" w:themeColor="text1"/>
                <w:sz w:val="21"/>
                <w:szCs w:val="21"/>
              </w:rPr>
            </w:pPr>
          </w:p>
        </w:tc>
        <w:tc>
          <w:tcPr>
            <w:tcW w:w="268" w:type="pct"/>
            <w:shd w:val="clear" w:color="auto" w:fill="FFFFFF"/>
            <w:noWrap w:val="0"/>
            <w:vAlign w:val="center"/>
          </w:tcPr>
          <w:p w14:paraId="46F8FED8">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20</w:t>
            </w:r>
          </w:p>
        </w:tc>
        <w:tc>
          <w:tcPr>
            <w:tcW w:w="207" w:type="pct"/>
            <w:shd w:val="clear" w:color="auto" w:fill="FFFFFF"/>
            <w:noWrap w:val="0"/>
            <w:vAlign w:val="center"/>
          </w:tcPr>
          <w:p w14:paraId="1B6647F4">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40.4</w:t>
            </w:r>
          </w:p>
        </w:tc>
        <w:tc>
          <w:tcPr>
            <w:tcW w:w="207" w:type="pct"/>
            <w:shd w:val="clear" w:color="auto" w:fill="FFFFFF"/>
            <w:noWrap w:val="0"/>
            <w:vAlign w:val="center"/>
          </w:tcPr>
          <w:p w14:paraId="1CD192CA">
            <w:pPr>
              <w:jc w:val="center"/>
              <w:rPr>
                <w:rFonts w:hint="default" w:ascii="Times New Roman" w:hAnsi="Times New Roman" w:eastAsia="宋体" w:cs="Times New Roman"/>
                <w:color w:val="000000" w:themeColor="text1"/>
                <w:sz w:val="21"/>
                <w:szCs w:val="21"/>
                <w:lang w:val="en-US"/>
              </w:rPr>
            </w:pPr>
            <w:r>
              <w:rPr>
                <w:rFonts w:hint="eastAsia" w:cs="Times New Roman"/>
                <w:color w:val="000000" w:themeColor="text1"/>
                <w:sz w:val="21"/>
                <w:szCs w:val="21"/>
                <w:lang w:val="en-US" w:eastAsia="zh-CN"/>
              </w:rPr>
              <w:t>40</w:t>
            </w:r>
            <w:r>
              <w:rPr>
                <w:rFonts w:hint="eastAsia" w:ascii="Times New Roman" w:hAnsi="Times New Roman" w:eastAsia="宋体" w:cs="Times New Roman"/>
                <w:color w:val="000000" w:themeColor="text1"/>
                <w:sz w:val="21"/>
                <w:szCs w:val="21"/>
                <w:lang w:val="en-US" w:eastAsia="zh-CN"/>
              </w:rPr>
              <w:t>.5</w:t>
            </w:r>
          </w:p>
        </w:tc>
        <w:tc>
          <w:tcPr>
            <w:tcW w:w="207" w:type="pct"/>
            <w:shd w:val="clear" w:color="auto" w:fill="FFFFFF"/>
            <w:noWrap w:val="0"/>
            <w:vAlign w:val="center"/>
          </w:tcPr>
          <w:p w14:paraId="60160A35">
            <w:pPr>
              <w:jc w:val="center"/>
              <w:rPr>
                <w:rFonts w:hint="default" w:ascii="Times New Roman" w:hAnsi="Times New Roman" w:eastAsia="宋体" w:cs="Times New Roman"/>
                <w:color w:val="000000" w:themeColor="text1"/>
                <w:sz w:val="21"/>
                <w:szCs w:val="21"/>
                <w:lang w:val="en-US"/>
              </w:rPr>
            </w:pPr>
            <w:r>
              <w:rPr>
                <w:rFonts w:hint="eastAsia" w:cs="Times New Roman"/>
                <w:color w:val="000000" w:themeColor="text1"/>
                <w:sz w:val="21"/>
                <w:szCs w:val="21"/>
                <w:lang w:val="en-US" w:eastAsia="zh-CN"/>
              </w:rPr>
              <w:t>40.4</w:t>
            </w:r>
          </w:p>
        </w:tc>
        <w:tc>
          <w:tcPr>
            <w:tcW w:w="207" w:type="pct"/>
            <w:shd w:val="clear" w:color="auto" w:fill="FFFFFF"/>
            <w:noWrap w:val="0"/>
            <w:vAlign w:val="center"/>
          </w:tcPr>
          <w:p w14:paraId="445BC4F4">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40.4</w:t>
            </w:r>
          </w:p>
        </w:tc>
        <w:tc>
          <w:tcPr>
            <w:tcW w:w="152" w:type="pct"/>
            <w:shd w:val="clear" w:color="auto" w:fill="FFFFFF"/>
            <w:noWrap w:val="0"/>
            <w:vAlign w:val="center"/>
          </w:tcPr>
          <w:p w14:paraId="061A94D0">
            <w:pPr>
              <w:jc w:val="center"/>
              <w:rPr>
                <w:rFonts w:hint="eastAsia"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1</w:t>
            </w:r>
          </w:p>
        </w:tc>
      </w:tr>
      <w:tr w14:paraId="265797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1" w:type="pct"/>
            <w:shd w:val="clear" w:color="auto" w:fill="FFFFFF"/>
            <w:noWrap w:val="0"/>
            <w:vAlign w:val="center"/>
          </w:tcPr>
          <w:p w14:paraId="753F8925">
            <w:pPr>
              <w:jc w:val="center"/>
              <w:rPr>
                <w:rFonts w:hint="eastAsia"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4</w:t>
            </w:r>
          </w:p>
        </w:tc>
        <w:tc>
          <w:tcPr>
            <w:tcW w:w="151" w:type="pct"/>
            <w:vMerge w:val="continue"/>
            <w:shd w:val="clear" w:color="auto" w:fill="FFFFFF"/>
            <w:noWrap w:val="0"/>
            <w:vAlign w:val="center"/>
          </w:tcPr>
          <w:p w14:paraId="76C28D81">
            <w:pPr>
              <w:jc w:val="center"/>
              <w:rPr>
                <w:rFonts w:hint="default" w:ascii="Times New Roman" w:hAnsi="Times New Roman" w:eastAsia="宋体" w:cs="Times New Roman"/>
                <w:color w:val="000000" w:themeColor="text1"/>
                <w:sz w:val="21"/>
                <w:szCs w:val="21"/>
              </w:rPr>
            </w:pPr>
          </w:p>
        </w:tc>
        <w:tc>
          <w:tcPr>
            <w:tcW w:w="152" w:type="pct"/>
            <w:shd w:val="clear" w:color="auto" w:fill="FFFFFF"/>
            <w:noWrap w:val="0"/>
            <w:vAlign w:val="center"/>
          </w:tcPr>
          <w:p w14:paraId="457D94F0">
            <w:pPr>
              <w:jc w:val="center"/>
              <w:rPr>
                <w:rFonts w:hint="default" w:ascii="Times New Roman" w:hAnsi="Times New Roman" w:eastAsia="宋体" w:cs="Times New Roman"/>
                <w:color w:val="000000" w:themeColor="text1"/>
                <w:sz w:val="21"/>
                <w:szCs w:val="21"/>
              </w:rPr>
            </w:pPr>
            <w:r>
              <w:rPr>
                <w:color w:val="000000" w:themeColor="text1"/>
                <w:spacing w:val="7"/>
                <w:sz w:val="21"/>
                <w:szCs w:val="21"/>
              </w:rPr>
              <w:t>真空浇注罐</w:t>
            </w:r>
          </w:p>
        </w:tc>
        <w:tc>
          <w:tcPr>
            <w:tcW w:w="152" w:type="pct"/>
            <w:shd w:val="clear" w:color="auto" w:fill="FFFFFF"/>
            <w:noWrap w:val="0"/>
            <w:vAlign w:val="center"/>
          </w:tcPr>
          <w:p w14:paraId="02B37C10">
            <w:pPr>
              <w:jc w:val="center"/>
              <w:rPr>
                <w:rFonts w:hint="default" w:ascii="Times New Roman" w:hAnsi="Times New Roman" w:eastAsia="宋体" w:cs="Times New Roman"/>
                <w:color w:val="000000" w:themeColor="text1"/>
                <w:sz w:val="21"/>
                <w:szCs w:val="21"/>
              </w:rPr>
            </w:pPr>
            <w:r>
              <w:rPr>
                <w:rFonts w:hint="eastAsia" w:ascii="Times New Roman" w:hAnsi="Times New Roman" w:eastAsia="宋体" w:cs="Times New Roman"/>
                <w:color w:val="000000" w:themeColor="text1"/>
                <w:sz w:val="21"/>
                <w:szCs w:val="21"/>
                <w:lang w:val="en-US" w:eastAsia="zh-CN"/>
              </w:rPr>
              <w:t>1</w:t>
            </w:r>
          </w:p>
        </w:tc>
        <w:tc>
          <w:tcPr>
            <w:tcW w:w="483" w:type="pct"/>
            <w:shd w:val="clear" w:color="auto" w:fill="FFFFFF"/>
            <w:noWrap w:val="0"/>
            <w:vAlign w:val="center"/>
          </w:tcPr>
          <w:p w14:paraId="11EFE210">
            <w:pPr>
              <w:jc w:val="center"/>
              <w:rPr>
                <w:rFonts w:hint="default" w:ascii="Times New Roman" w:hAnsi="Times New Roman" w:eastAsia="宋体" w:cs="Times New Roman"/>
                <w:color w:val="000000" w:themeColor="text1"/>
                <w:sz w:val="21"/>
                <w:szCs w:val="21"/>
              </w:rPr>
            </w:pPr>
            <w:r>
              <w:rPr>
                <w:rFonts w:hint="eastAsia" w:ascii="Times New Roman" w:hAnsi="Times New Roman" w:eastAsia="宋体" w:cs="Times New Roman"/>
                <w:color w:val="000000" w:themeColor="text1"/>
                <w:sz w:val="21"/>
                <w:szCs w:val="21"/>
                <w:lang w:val="en-US" w:eastAsia="zh-CN"/>
              </w:rPr>
              <w:t>70/1</w:t>
            </w:r>
          </w:p>
        </w:tc>
        <w:tc>
          <w:tcPr>
            <w:tcW w:w="223" w:type="pct"/>
            <w:vMerge w:val="continue"/>
            <w:shd w:val="clear" w:color="auto" w:fill="FFFFFF"/>
            <w:noWrap w:val="0"/>
            <w:vAlign w:val="center"/>
          </w:tcPr>
          <w:p w14:paraId="5808056D">
            <w:pPr>
              <w:jc w:val="center"/>
              <w:rPr>
                <w:rFonts w:hint="default" w:ascii="Times New Roman" w:hAnsi="Times New Roman" w:eastAsia="宋体" w:cs="Times New Roman"/>
                <w:color w:val="000000" w:themeColor="text1"/>
                <w:sz w:val="21"/>
                <w:szCs w:val="21"/>
              </w:rPr>
            </w:pPr>
          </w:p>
        </w:tc>
        <w:tc>
          <w:tcPr>
            <w:tcW w:w="207" w:type="pct"/>
            <w:shd w:val="clear" w:color="auto" w:fill="FFFFFF"/>
            <w:noWrap w:val="0"/>
            <w:vAlign w:val="center"/>
          </w:tcPr>
          <w:p w14:paraId="495F68C5">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57.7</w:t>
            </w:r>
          </w:p>
        </w:tc>
        <w:tc>
          <w:tcPr>
            <w:tcW w:w="242" w:type="pct"/>
            <w:shd w:val="clear" w:color="auto" w:fill="FFFFFF"/>
            <w:noWrap w:val="0"/>
            <w:vAlign w:val="center"/>
          </w:tcPr>
          <w:p w14:paraId="662A3B82">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29.4</w:t>
            </w:r>
          </w:p>
        </w:tc>
        <w:tc>
          <w:tcPr>
            <w:tcW w:w="171" w:type="pct"/>
            <w:shd w:val="clear" w:color="auto" w:fill="FFFFFF"/>
            <w:noWrap w:val="0"/>
            <w:vAlign w:val="center"/>
          </w:tcPr>
          <w:p w14:paraId="2EA6B3CF">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2</w:t>
            </w:r>
          </w:p>
        </w:tc>
        <w:tc>
          <w:tcPr>
            <w:tcW w:w="207" w:type="pct"/>
            <w:shd w:val="clear" w:color="auto" w:fill="FFFFFF"/>
            <w:noWrap w:val="0"/>
            <w:vAlign w:val="center"/>
          </w:tcPr>
          <w:p w14:paraId="1404EE52">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96.7</w:t>
            </w:r>
          </w:p>
        </w:tc>
        <w:tc>
          <w:tcPr>
            <w:tcW w:w="207" w:type="pct"/>
            <w:shd w:val="clear" w:color="auto" w:fill="FFFFFF"/>
            <w:noWrap w:val="0"/>
            <w:vAlign w:val="center"/>
          </w:tcPr>
          <w:p w14:paraId="36063B1D">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4.</w:t>
            </w:r>
            <w:r>
              <w:rPr>
                <w:rFonts w:hint="eastAsia" w:cs="Times New Roman"/>
                <w:color w:val="000000" w:themeColor="text1"/>
                <w:sz w:val="21"/>
                <w:szCs w:val="21"/>
                <w:lang w:val="en-US" w:eastAsia="zh-CN"/>
              </w:rPr>
              <w:t>0</w:t>
            </w:r>
          </w:p>
        </w:tc>
        <w:tc>
          <w:tcPr>
            <w:tcW w:w="207" w:type="pct"/>
            <w:shd w:val="clear" w:color="auto" w:fill="FFFFFF"/>
            <w:noWrap w:val="0"/>
            <w:vAlign w:val="center"/>
          </w:tcPr>
          <w:p w14:paraId="05634959">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34.0</w:t>
            </w:r>
          </w:p>
        </w:tc>
        <w:tc>
          <w:tcPr>
            <w:tcW w:w="207" w:type="pct"/>
            <w:shd w:val="clear" w:color="auto" w:fill="FFFFFF"/>
            <w:noWrap w:val="0"/>
            <w:vAlign w:val="center"/>
          </w:tcPr>
          <w:p w14:paraId="2594C16E">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14.0</w:t>
            </w:r>
          </w:p>
        </w:tc>
        <w:tc>
          <w:tcPr>
            <w:tcW w:w="207" w:type="pct"/>
            <w:shd w:val="clear" w:color="auto" w:fill="FFFFFF"/>
            <w:noWrap w:val="0"/>
            <w:vAlign w:val="center"/>
          </w:tcPr>
          <w:p w14:paraId="0696DA5D">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6</w:t>
            </w:r>
            <w:r>
              <w:rPr>
                <w:rFonts w:hint="eastAsia" w:cs="Times New Roman"/>
                <w:color w:val="000000" w:themeColor="text1"/>
                <w:sz w:val="21"/>
                <w:szCs w:val="21"/>
                <w:lang w:val="en-US" w:eastAsia="zh-CN"/>
              </w:rPr>
              <w:t>1.4</w:t>
            </w:r>
          </w:p>
        </w:tc>
        <w:tc>
          <w:tcPr>
            <w:tcW w:w="207" w:type="pct"/>
            <w:shd w:val="clear" w:color="auto" w:fill="FFFFFF"/>
            <w:noWrap w:val="0"/>
            <w:vAlign w:val="center"/>
          </w:tcPr>
          <w:p w14:paraId="519A9DDD">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6</w:t>
            </w:r>
            <w:r>
              <w:rPr>
                <w:rFonts w:hint="eastAsia" w:cs="Times New Roman"/>
                <w:color w:val="000000" w:themeColor="text1"/>
                <w:sz w:val="21"/>
                <w:szCs w:val="21"/>
                <w:lang w:val="en-US" w:eastAsia="zh-CN"/>
              </w:rPr>
              <w:t>1.5</w:t>
            </w:r>
          </w:p>
        </w:tc>
        <w:tc>
          <w:tcPr>
            <w:tcW w:w="207" w:type="pct"/>
            <w:shd w:val="clear" w:color="auto" w:fill="FFFFFF"/>
            <w:noWrap w:val="0"/>
            <w:vAlign w:val="center"/>
          </w:tcPr>
          <w:p w14:paraId="6E109CED">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6</w:t>
            </w:r>
            <w:r>
              <w:rPr>
                <w:rFonts w:hint="eastAsia" w:cs="Times New Roman"/>
                <w:color w:val="000000" w:themeColor="text1"/>
                <w:sz w:val="21"/>
                <w:szCs w:val="21"/>
                <w:lang w:val="en-US" w:eastAsia="zh-CN"/>
              </w:rPr>
              <w:t>1.4</w:t>
            </w:r>
          </w:p>
        </w:tc>
        <w:tc>
          <w:tcPr>
            <w:tcW w:w="207" w:type="pct"/>
            <w:shd w:val="clear" w:color="auto" w:fill="FFFFFF"/>
            <w:noWrap w:val="0"/>
            <w:vAlign w:val="center"/>
          </w:tcPr>
          <w:p w14:paraId="190C118D">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6</w:t>
            </w:r>
            <w:r>
              <w:rPr>
                <w:rFonts w:hint="eastAsia" w:cs="Times New Roman"/>
                <w:color w:val="000000" w:themeColor="text1"/>
                <w:sz w:val="21"/>
                <w:szCs w:val="21"/>
                <w:lang w:val="en-US" w:eastAsia="zh-CN"/>
              </w:rPr>
              <w:t>1.4</w:t>
            </w:r>
          </w:p>
        </w:tc>
        <w:tc>
          <w:tcPr>
            <w:tcW w:w="153" w:type="pct"/>
            <w:vMerge w:val="continue"/>
            <w:shd w:val="clear" w:color="auto" w:fill="FFFFFF"/>
            <w:noWrap w:val="0"/>
            <w:vAlign w:val="center"/>
          </w:tcPr>
          <w:p w14:paraId="2AB3B1DF">
            <w:pPr>
              <w:jc w:val="center"/>
              <w:rPr>
                <w:rFonts w:hint="default" w:ascii="Times New Roman" w:hAnsi="Times New Roman" w:eastAsia="宋体" w:cs="Times New Roman"/>
                <w:color w:val="000000" w:themeColor="text1"/>
                <w:sz w:val="21"/>
                <w:szCs w:val="21"/>
              </w:rPr>
            </w:pPr>
          </w:p>
        </w:tc>
        <w:tc>
          <w:tcPr>
            <w:tcW w:w="268" w:type="pct"/>
            <w:shd w:val="clear" w:color="auto" w:fill="FFFFFF"/>
            <w:noWrap w:val="0"/>
            <w:vAlign w:val="center"/>
          </w:tcPr>
          <w:p w14:paraId="624D0C3F">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20</w:t>
            </w:r>
          </w:p>
        </w:tc>
        <w:tc>
          <w:tcPr>
            <w:tcW w:w="207" w:type="pct"/>
            <w:shd w:val="clear" w:color="auto" w:fill="FFFFFF"/>
            <w:noWrap w:val="0"/>
            <w:vAlign w:val="center"/>
          </w:tcPr>
          <w:p w14:paraId="42771745">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35.4</w:t>
            </w:r>
          </w:p>
        </w:tc>
        <w:tc>
          <w:tcPr>
            <w:tcW w:w="207" w:type="pct"/>
            <w:shd w:val="clear" w:color="auto" w:fill="FFFFFF"/>
            <w:noWrap w:val="0"/>
            <w:vAlign w:val="center"/>
          </w:tcPr>
          <w:p w14:paraId="288A43B9">
            <w:pPr>
              <w:jc w:val="center"/>
              <w:rPr>
                <w:rFonts w:hint="default" w:ascii="Times New Roman" w:hAnsi="Times New Roman" w:eastAsia="宋体" w:cs="Times New Roman"/>
                <w:color w:val="000000" w:themeColor="text1"/>
                <w:sz w:val="21"/>
                <w:szCs w:val="21"/>
                <w:lang w:val="en-US"/>
              </w:rPr>
            </w:pPr>
            <w:r>
              <w:rPr>
                <w:rFonts w:hint="eastAsia" w:ascii="Times New Roman" w:hAnsi="Times New Roman" w:eastAsia="宋体" w:cs="Times New Roman"/>
                <w:color w:val="000000" w:themeColor="text1"/>
                <w:sz w:val="21"/>
                <w:szCs w:val="21"/>
                <w:lang w:val="en-US" w:eastAsia="zh-CN"/>
              </w:rPr>
              <w:t>3</w:t>
            </w:r>
            <w:r>
              <w:rPr>
                <w:rFonts w:hint="eastAsia" w:cs="Times New Roman"/>
                <w:color w:val="000000" w:themeColor="text1"/>
                <w:sz w:val="21"/>
                <w:szCs w:val="21"/>
                <w:lang w:val="en-US" w:eastAsia="zh-CN"/>
              </w:rPr>
              <w:t>5.5</w:t>
            </w:r>
          </w:p>
        </w:tc>
        <w:tc>
          <w:tcPr>
            <w:tcW w:w="207" w:type="pct"/>
            <w:shd w:val="clear" w:color="auto" w:fill="FFFFFF"/>
            <w:noWrap w:val="0"/>
            <w:vAlign w:val="center"/>
          </w:tcPr>
          <w:p w14:paraId="7A7FAC72">
            <w:pPr>
              <w:jc w:val="center"/>
              <w:rPr>
                <w:rFonts w:hint="default" w:ascii="Times New Roman" w:hAnsi="Times New Roman" w:eastAsia="宋体" w:cs="Times New Roman"/>
                <w:color w:val="000000" w:themeColor="text1"/>
                <w:sz w:val="21"/>
                <w:szCs w:val="21"/>
                <w:lang w:val="en-US"/>
              </w:rPr>
            </w:pPr>
            <w:r>
              <w:rPr>
                <w:rFonts w:hint="eastAsia" w:ascii="Times New Roman" w:hAnsi="Times New Roman" w:eastAsia="宋体" w:cs="Times New Roman"/>
                <w:color w:val="000000" w:themeColor="text1"/>
                <w:sz w:val="21"/>
                <w:szCs w:val="21"/>
                <w:lang w:val="en-US" w:eastAsia="zh-CN"/>
              </w:rPr>
              <w:t>3</w:t>
            </w:r>
            <w:r>
              <w:rPr>
                <w:rFonts w:hint="eastAsia" w:cs="Times New Roman"/>
                <w:color w:val="000000" w:themeColor="text1"/>
                <w:sz w:val="21"/>
                <w:szCs w:val="21"/>
                <w:lang w:val="en-US" w:eastAsia="zh-CN"/>
              </w:rPr>
              <w:t>5.4</w:t>
            </w:r>
          </w:p>
        </w:tc>
        <w:tc>
          <w:tcPr>
            <w:tcW w:w="207" w:type="pct"/>
            <w:shd w:val="clear" w:color="auto" w:fill="FFFFFF"/>
            <w:noWrap w:val="0"/>
            <w:vAlign w:val="center"/>
          </w:tcPr>
          <w:p w14:paraId="7AA8453A">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3</w:t>
            </w:r>
            <w:r>
              <w:rPr>
                <w:rFonts w:hint="eastAsia" w:cs="Times New Roman"/>
                <w:color w:val="000000" w:themeColor="text1"/>
                <w:sz w:val="21"/>
                <w:szCs w:val="21"/>
                <w:lang w:val="en-US" w:eastAsia="zh-CN"/>
              </w:rPr>
              <w:t>5.4</w:t>
            </w:r>
          </w:p>
        </w:tc>
        <w:tc>
          <w:tcPr>
            <w:tcW w:w="152" w:type="pct"/>
            <w:shd w:val="clear" w:color="auto" w:fill="FFFFFF"/>
            <w:noWrap w:val="0"/>
            <w:vAlign w:val="center"/>
          </w:tcPr>
          <w:p w14:paraId="7953B9FC">
            <w:pPr>
              <w:jc w:val="center"/>
              <w:rPr>
                <w:rFonts w:hint="eastAsia"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1</w:t>
            </w:r>
          </w:p>
        </w:tc>
      </w:tr>
      <w:tr w14:paraId="009764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1" w:type="pct"/>
            <w:shd w:val="clear" w:color="auto" w:fill="FFFFFF"/>
            <w:noWrap w:val="0"/>
            <w:vAlign w:val="center"/>
          </w:tcPr>
          <w:p w14:paraId="6FCD61BC">
            <w:pPr>
              <w:jc w:val="center"/>
              <w:rPr>
                <w:rFonts w:hint="eastAsia"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5</w:t>
            </w:r>
          </w:p>
        </w:tc>
        <w:tc>
          <w:tcPr>
            <w:tcW w:w="151" w:type="pct"/>
            <w:vMerge w:val="continue"/>
            <w:shd w:val="clear" w:color="auto" w:fill="FFFFFF"/>
            <w:noWrap w:val="0"/>
            <w:vAlign w:val="center"/>
          </w:tcPr>
          <w:p w14:paraId="0BB0A5F2">
            <w:pPr>
              <w:jc w:val="center"/>
              <w:rPr>
                <w:rFonts w:hint="default" w:ascii="Times New Roman" w:hAnsi="Times New Roman" w:eastAsia="宋体" w:cs="Times New Roman"/>
                <w:color w:val="000000" w:themeColor="text1"/>
                <w:sz w:val="21"/>
                <w:szCs w:val="21"/>
              </w:rPr>
            </w:pPr>
          </w:p>
        </w:tc>
        <w:tc>
          <w:tcPr>
            <w:tcW w:w="152" w:type="pct"/>
            <w:shd w:val="clear" w:color="auto" w:fill="FFFFFF"/>
            <w:noWrap w:val="0"/>
            <w:vAlign w:val="center"/>
          </w:tcPr>
          <w:p w14:paraId="5432291B">
            <w:pPr>
              <w:jc w:val="center"/>
              <w:rPr>
                <w:rFonts w:hint="default" w:ascii="Times New Roman" w:hAnsi="Times New Roman" w:eastAsia="宋体" w:cs="Times New Roman"/>
                <w:color w:val="000000" w:themeColor="text1"/>
                <w:sz w:val="21"/>
                <w:szCs w:val="21"/>
              </w:rPr>
            </w:pPr>
            <w:r>
              <w:rPr>
                <w:color w:val="000000" w:themeColor="text1"/>
                <w:spacing w:val="4"/>
                <w:sz w:val="21"/>
                <w:szCs w:val="21"/>
              </w:rPr>
              <w:t>烘箱</w:t>
            </w:r>
          </w:p>
        </w:tc>
        <w:tc>
          <w:tcPr>
            <w:tcW w:w="152" w:type="pct"/>
            <w:shd w:val="clear" w:color="auto" w:fill="FFFFFF"/>
            <w:noWrap w:val="0"/>
            <w:vAlign w:val="center"/>
          </w:tcPr>
          <w:p w14:paraId="0BE66733">
            <w:pPr>
              <w:jc w:val="center"/>
              <w:rPr>
                <w:rFonts w:hint="default" w:ascii="Times New Roman" w:hAnsi="Times New Roman" w:eastAsia="宋体" w:cs="Times New Roman"/>
                <w:color w:val="000000" w:themeColor="text1"/>
                <w:sz w:val="21"/>
                <w:szCs w:val="21"/>
                <w:lang w:val="en-US"/>
              </w:rPr>
            </w:pPr>
            <w:r>
              <w:rPr>
                <w:rFonts w:hint="eastAsia" w:ascii="Times New Roman" w:hAnsi="Times New Roman" w:eastAsia="宋体" w:cs="Times New Roman"/>
                <w:color w:val="000000" w:themeColor="text1"/>
                <w:sz w:val="21"/>
                <w:szCs w:val="21"/>
                <w:lang w:val="en-US" w:eastAsia="zh-CN"/>
              </w:rPr>
              <w:t>1</w:t>
            </w:r>
          </w:p>
        </w:tc>
        <w:tc>
          <w:tcPr>
            <w:tcW w:w="483" w:type="pct"/>
            <w:shd w:val="clear" w:color="auto" w:fill="FFFFFF"/>
            <w:noWrap w:val="0"/>
            <w:vAlign w:val="center"/>
          </w:tcPr>
          <w:p w14:paraId="7D92D623">
            <w:pPr>
              <w:jc w:val="center"/>
              <w:rPr>
                <w:rFonts w:hint="default" w:ascii="Times New Roman" w:hAnsi="Times New Roman" w:eastAsia="宋体" w:cs="Times New Roman"/>
                <w:color w:val="000000" w:themeColor="text1"/>
                <w:sz w:val="21"/>
                <w:szCs w:val="21"/>
              </w:rPr>
            </w:pPr>
            <w:r>
              <w:rPr>
                <w:rFonts w:hint="eastAsia" w:ascii="Times New Roman" w:hAnsi="Times New Roman" w:eastAsia="宋体" w:cs="Times New Roman"/>
                <w:color w:val="000000" w:themeColor="text1"/>
                <w:sz w:val="21"/>
                <w:szCs w:val="21"/>
                <w:lang w:val="en-US" w:eastAsia="zh-CN"/>
              </w:rPr>
              <w:t>70/1</w:t>
            </w:r>
          </w:p>
        </w:tc>
        <w:tc>
          <w:tcPr>
            <w:tcW w:w="223" w:type="pct"/>
            <w:vMerge w:val="continue"/>
            <w:shd w:val="clear" w:color="auto" w:fill="FFFFFF"/>
            <w:noWrap w:val="0"/>
            <w:vAlign w:val="center"/>
          </w:tcPr>
          <w:p w14:paraId="6599A33A">
            <w:pPr>
              <w:jc w:val="center"/>
              <w:rPr>
                <w:rFonts w:hint="default" w:ascii="Times New Roman" w:hAnsi="Times New Roman" w:eastAsia="宋体" w:cs="Times New Roman"/>
                <w:color w:val="000000" w:themeColor="text1"/>
                <w:sz w:val="21"/>
                <w:szCs w:val="21"/>
              </w:rPr>
            </w:pPr>
          </w:p>
        </w:tc>
        <w:tc>
          <w:tcPr>
            <w:tcW w:w="207" w:type="pct"/>
            <w:shd w:val="clear" w:color="auto" w:fill="FFFFFF"/>
            <w:noWrap w:val="0"/>
            <w:vAlign w:val="center"/>
          </w:tcPr>
          <w:p w14:paraId="59CBA01F">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45.7</w:t>
            </w:r>
          </w:p>
        </w:tc>
        <w:tc>
          <w:tcPr>
            <w:tcW w:w="242" w:type="pct"/>
            <w:shd w:val="clear" w:color="auto" w:fill="FFFFFF"/>
            <w:noWrap w:val="0"/>
            <w:vAlign w:val="center"/>
          </w:tcPr>
          <w:p w14:paraId="491931E1">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28.8</w:t>
            </w:r>
          </w:p>
        </w:tc>
        <w:tc>
          <w:tcPr>
            <w:tcW w:w="171" w:type="pct"/>
            <w:shd w:val="clear" w:color="auto" w:fill="FFFFFF"/>
            <w:noWrap w:val="0"/>
            <w:vAlign w:val="center"/>
          </w:tcPr>
          <w:p w14:paraId="32F5513A">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1.5</w:t>
            </w:r>
          </w:p>
        </w:tc>
        <w:tc>
          <w:tcPr>
            <w:tcW w:w="207" w:type="pct"/>
            <w:shd w:val="clear" w:color="auto" w:fill="FFFFFF"/>
            <w:noWrap w:val="0"/>
            <w:vAlign w:val="center"/>
          </w:tcPr>
          <w:p w14:paraId="2BF6AADF">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108.7</w:t>
            </w:r>
          </w:p>
        </w:tc>
        <w:tc>
          <w:tcPr>
            <w:tcW w:w="207" w:type="pct"/>
            <w:shd w:val="clear" w:color="auto" w:fill="FFFFFF"/>
            <w:noWrap w:val="0"/>
            <w:vAlign w:val="center"/>
          </w:tcPr>
          <w:p w14:paraId="45E1EFFE">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3.</w:t>
            </w:r>
            <w:r>
              <w:rPr>
                <w:rFonts w:hint="eastAsia" w:cs="Times New Roman"/>
                <w:color w:val="000000" w:themeColor="text1"/>
                <w:sz w:val="21"/>
                <w:szCs w:val="21"/>
                <w:lang w:val="en-US" w:eastAsia="zh-CN"/>
              </w:rPr>
              <w:t>5</w:t>
            </w:r>
          </w:p>
        </w:tc>
        <w:tc>
          <w:tcPr>
            <w:tcW w:w="207" w:type="pct"/>
            <w:shd w:val="clear" w:color="auto" w:fill="FFFFFF"/>
            <w:noWrap w:val="0"/>
            <w:vAlign w:val="center"/>
          </w:tcPr>
          <w:p w14:paraId="1AD7EA0F">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21.9</w:t>
            </w:r>
          </w:p>
        </w:tc>
        <w:tc>
          <w:tcPr>
            <w:tcW w:w="207" w:type="pct"/>
            <w:shd w:val="clear" w:color="auto" w:fill="FFFFFF"/>
            <w:noWrap w:val="0"/>
            <w:vAlign w:val="center"/>
          </w:tcPr>
          <w:p w14:paraId="2CE8D366">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14.6</w:t>
            </w:r>
          </w:p>
        </w:tc>
        <w:tc>
          <w:tcPr>
            <w:tcW w:w="207" w:type="pct"/>
            <w:shd w:val="clear" w:color="auto" w:fill="FFFFFF"/>
            <w:noWrap w:val="0"/>
            <w:vAlign w:val="center"/>
          </w:tcPr>
          <w:p w14:paraId="1FCA451B">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6</w:t>
            </w:r>
            <w:r>
              <w:rPr>
                <w:rFonts w:hint="eastAsia" w:cs="Times New Roman"/>
                <w:color w:val="000000" w:themeColor="text1"/>
                <w:sz w:val="21"/>
                <w:szCs w:val="21"/>
                <w:lang w:val="en-US" w:eastAsia="zh-CN"/>
              </w:rPr>
              <w:t>1.4</w:t>
            </w:r>
          </w:p>
        </w:tc>
        <w:tc>
          <w:tcPr>
            <w:tcW w:w="207" w:type="pct"/>
            <w:shd w:val="clear" w:color="auto" w:fill="FFFFFF"/>
            <w:noWrap w:val="0"/>
            <w:vAlign w:val="center"/>
          </w:tcPr>
          <w:p w14:paraId="60C78006">
            <w:pPr>
              <w:jc w:val="center"/>
              <w:rPr>
                <w:rFonts w:hint="default" w:ascii="Times New Roman" w:hAnsi="Times New Roman" w:eastAsia="宋体" w:cs="Times New Roman"/>
                <w:color w:val="000000" w:themeColor="text1"/>
                <w:sz w:val="21"/>
                <w:szCs w:val="21"/>
                <w:lang w:val="en-US"/>
              </w:rPr>
            </w:pPr>
            <w:r>
              <w:rPr>
                <w:rFonts w:hint="eastAsia" w:cs="Times New Roman"/>
                <w:color w:val="000000" w:themeColor="text1"/>
                <w:sz w:val="21"/>
                <w:szCs w:val="21"/>
                <w:lang w:val="en-US" w:eastAsia="zh-CN"/>
              </w:rPr>
              <w:t>61.6</w:t>
            </w:r>
          </w:p>
        </w:tc>
        <w:tc>
          <w:tcPr>
            <w:tcW w:w="207" w:type="pct"/>
            <w:shd w:val="clear" w:color="auto" w:fill="FFFFFF"/>
            <w:noWrap w:val="0"/>
            <w:vAlign w:val="center"/>
          </w:tcPr>
          <w:p w14:paraId="2C130545">
            <w:pPr>
              <w:jc w:val="center"/>
              <w:rPr>
                <w:rFonts w:hint="default" w:ascii="Times New Roman" w:hAnsi="Times New Roman" w:eastAsia="宋体" w:cs="Times New Roman"/>
                <w:color w:val="000000" w:themeColor="text1"/>
                <w:sz w:val="21"/>
                <w:szCs w:val="21"/>
                <w:lang w:val="en-US"/>
              </w:rPr>
            </w:pPr>
            <w:r>
              <w:rPr>
                <w:rFonts w:hint="eastAsia" w:cs="Times New Roman"/>
                <w:color w:val="000000" w:themeColor="text1"/>
                <w:sz w:val="21"/>
                <w:szCs w:val="21"/>
                <w:lang w:val="en-US" w:eastAsia="zh-CN"/>
              </w:rPr>
              <w:t>61.4</w:t>
            </w:r>
          </w:p>
        </w:tc>
        <w:tc>
          <w:tcPr>
            <w:tcW w:w="207" w:type="pct"/>
            <w:shd w:val="clear" w:color="auto" w:fill="FFFFFF"/>
            <w:noWrap w:val="0"/>
            <w:vAlign w:val="center"/>
          </w:tcPr>
          <w:p w14:paraId="3BCA4256">
            <w:pPr>
              <w:jc w:val="center"/>
              <w:rPr>
                <w:rFonts w:hint="default" w:ascii="Times New Roman" w:hAnsi="Times New Roman" w:eastAsia="宋体" w:cs="Times New Roman"/>
                <w:color w:val="000000" w:themeColor="text1"/>
                <w:sz w:val="21"/>
                <w:szCs w:val="21"/>
                <w:lang w:val="en-US"/>
              </w:rPr>
            </w:pPr>
            <w:r>
              <w:rPr>
                <w:rFonts w:hint="eastAsia" w:ascii="Times New Roman" w:hAnsi="Times New Roman" w:eastAsia="宋体" w:cs="Times New Roman"/>
                <w:color w:val="000000" w:themeColor="text1"/>
                <w:sz w:val="21"/>
                <w:szCs w:val="21"/>
                <w:lang w:val="en-US" w:eastAsia="zh-CN"/>
              </w:rPr>
              <w:t>6</w:t>
            </w:r>
            <w:r>
              <w:rPr>
                <w:rFonts w:hint="eastAsia" w:cs="Times New Roman"/>
                <w:color w:val="000000" w:themeColor="text1"/>
                <w:sz w:val="21"/>
                <w:szCs w:val="21"/>
                <w:lang w:val="en-US" w:eastAsia="zh-CN"/>
              </w:rPr>
              <w:t>1.4</w:t>
            </w:r>
          </w:p>
        </w:tc>
        <w:tc>
          <w:tcPr>
            <w:tcW w:w="153" w:type="pct"/>
            <w:vMerge w:val="continue"/>
            <w:shd w:val="clear" w:color="auto" w:fill="FFFFFF"/>
            <w:noWrap w:val="0"/>
            <w:vAlign w:val="center"/>
          </w:tcPr>
          <w:p w14:paraId="7E43B4E5">
            <w:pPr>
              <w:jc w:val="center"/>
              <w:rPr>
                <w:rFonts w:hint="default" w:ascii="Times New Roman" w:hAnsi="Times New Roman" w:eastAsia="宋体" w:cs="Times New Roman"/>
                <w:color w:val="000000" w:themeColor="text1"/>
                <w:sz w:val="21"/>
                <w:szCs w:val="21"/>
              </w:rPr>
            </w:pPr>
          </w:p>
        </w:tc>
        <w:tc>
          <w:tcPr>
            <w:tcW w:w="268" w:type="pct"/>
            <w:shd w:val="clear" w:color="auto" w:fill="FFFFFF"/>
            <w:noWrap w:val="0"/>
            <w:vAlign w:val="center"/>
          </w:tcPr>
          <w:p w14:paraId="7DF4F9BB">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20</w:t>
            </w:r>
          </w:p>
        </w:tc>
        <w:tc>
          <w:tcPr>
            <w:tcW w:w="207" w:type="pct"/>
            <w:shd w:val="clear" w:color="auto" w:fill="FFFFFF"/>
            <w:noWrap w:val="0"/>
            <w:vAlign w:val="center"/>
          </w:tcPr>
          <w:p w14:paraId="5ECBF9CB">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3</w:t>
            </w:r>
            <w:r>
              <w:rPr>
                <w:rFonts w:hint="eastAsia" w:cs="Times New Roman"/>
                <w:color w:val="000000" w:themeColor="text1"/>
                <w:sz w:val="21"/>
                <w:szCs w:val="21"/>
                <w:lang w:val="en-US" w:eastAsia="zh-CN"/>
              </w:rPr>
              <w:t>5.4</w:t>
            </w:r>
          </w:p>
        </w:tc>
        <w:tc>
          <w:tcPr>
            <w:tcW w:w="207" w:type="pct"/>
            <w:shd w:val="clear" w:color="auto" w:fill="FFFFFF"/>
            <w:noWrap w:val="0"/>
            <w:vAlign w:val="center"/>
          </w:tcPr>
          <w:p w14:paraId="4F55A381">
            <w:pPr>
              <w:jc w:val="center"/>
              <w:rPr>
                <w:rFonts w:hint="default" w:ascii="Times New Roman" w:hAnsi="Times New Roman" w:eastAsia="宋体" w:cs="Times New Roman"/>
                <w:color w:val="000000" w:themeColor="text1"/>
                <w:sz w:val="21"/>
                <w:szCs w:val="21"/>
                <w:lang w:val="en-US"/>
              </w:rPr>
            </w:pPr>
            <w:r>
              <w:rPr>
                <w:rFonts w:hint="eastAsia" w:ascii="Times New Roman" w:hAnsi="Times New Roman" w:eastAsia="宋体" w:cs="Times New Roman"/>
                <w:color w:val="000000" w:themeColor="text1"/>
                <w:sz w:val="21"/>
                <w:szCs w:val="21"/>
                <w:lang w:val="en-US" w:eastAsia="zh-CN"/>
              </w:rPr>
              <w:t>3</w:t>
            </w:r>
            <w:r>
              <w:rPr>
                <w:rFonts w:hint="eastAsia" w:cs="Times New Roman"/>
                <w:color w:val="000000" w:themeColor="text1"/>
                <w:sz w:val="21"/>
                <w:szCs w:val="21"/>
                <w:lang w:val="en-US" w:eastAsia="zh-CN"/>
              </w:rPr>
              <w:t>5.6</w:t>
            </w:r>
          </w:p>
        </w:tc>
        <w:tc>
          <w:tcPr>
            <w:tcW w:w="207" w:type="pct"/>
            <w:shd w:val="clear" w:color="auto" w:fill="FFFFFF"/>
            <w:noWrap w:val="0"/>
            <w:vAlign w:val="center"/>
          </w:tcPr>
          <w:p w14:paraId="5CA942F0">
            <w:pPr>
              <w:jc w:val="center"/>
              <w:rPr>
                <w:rFonts w:hint="default" w:ascii="Times New Roman" w:hAnsi="Times New Roman" w:eastAsia="宋体" w:cs="Times New Roman"/>
                <w:color w:val="000000" w:themeColor="text1"/>
                <w:sz w:val="21"/>
                <w:szCs w:val="21"/>
                <w:lang w:val="en-US"/>
              </w:rPr>
            </w:pPr>
            <w:r>
              <w:rPr>
                <w:rFonts w:hint="eastAsia" w:ascii="Times New Roman" w:hAnsi="Times New Roman" w:eastAsia="宋体" w:cs="Times New Roman"/>
                <w:color w:val="000000" w:themeColor="text1"/>
                <w:sz w:val="21"/>
                <w:szCs w:val="21"/>
                <w:lang w:val="en-US" w:eastAsia="zh-CN"/>
              </w:rPr>
              <w:t>3</w:t>
            </w:r>
            <w:r>
              <w:rPr>
                <w:rFonts w:hint="eastAsia" w:cs="Times New Roman"/>
                <w:color w:val="000000" w:themeColor="text1"/>
                <w:sz w:val="21"/>
                <w:szCs w:val="21"/>
                <w:lang w:val="en-US" w:eastAsia="zh-CN"/>
              </w:rPr>
              <w:t>5.4</w:t>
            </w:r>
          </w:p>
        </w:tc>
        <w:tc>
          <w:tcPr>
            <w:tcW w:w="207" w:type="pct"/>
            <w:shd w:val="clear" w:color="auto" w:fill="FFFFFF"/>
            <w:noWrap w:val="0"/>
            <w:vAlign w:val="center"/>
          </w:tcPr>
          <w:p w14:paraId="298DCE6A">
            <w:pPr>
              <w:jc w:val="center"/>
              <w:rPr>
                <w:rFonts w:hint="default" w:ascii="Times New Roman" w:hAnsi="Times New Roman" w:eastAsia="宋体" w:cs="Times New Roman"/>
                <w:color w:val="000000" w:themeColor="text1"/>
                <w:sz w:val="21"/>
                <w:szCs w:val="21"/>
                <w:lang w:val="en-US"/>
              </w:rPr>
            </w:pPr>
            <w:r>
              <w:rPr>
                <w:rFonts w:hint="eastAsia" w:ascii="Times New Roman" w:hAnsi="Times New Roman" w:eastAsia="宋体" w:cs="Times New Roman"/>
                <w:color w:val="000000" w:themeColor="text1"/>
                <w:sz w:val="21"/>
                <w:szCs w:val="21"/>
                <w:lang w:val="en-US" w:eastAsia="zh-CN"/>
              </w:rPr>
              <w:t>3</w:t>
            </w:r>
            <w:r>
              <w:rPr>
                <w:rFonts w:hint="eastAsia" w:cs="Times New Roman"/>
                <w:color w:val="000000" w:themeColor="text1"/>
                <w:sz w:val="21"/>
                <w:szCs w:val="21"/>
                <w:lang w:val="en-US" w:eastAsia="zh-CN"/>
              </w:rPr>
              <w:t>5.4</w:t>
            </w:r>
          </w:p>
        </w:tc>
        <w:tc>
          <w:tcPr>
            <w:tcW w:w="152" w:type="pct"/>
            <w:shd w:val="clear" w:color="auto" w:fill="FFFFFF"/>
            <w:noWrap w:val="0"/>
            <w:vAlign w:val="center"/>
          </w:tcPr>
          <w:p w14:paraId="7601436A">
            <w:pPr>
              <w:jc w:val="center"/>
              <w:rPr>
                <w:rFonts w:hint="eastAsia"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1</w:t>
            </w:r>
          </w:p>
        </w:tc>
      </w:tr>
      <w:tr w14:paraId="2B91A8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1" w:type="pct"/>
            <w:shd w:val="clear" w:color="auto" w:fill="FFFFFF"/>
            <w:noWrap w:val="0"/>
            <w:vAlign w:val="center"/>
          </w:tcPr>
          <w:p w14:paraId="76FD28F8">
            <w:pPr>
              <w:jc w:val="center"/>
              <w:rPr>
                <w:rFonts w:hint="eastAsia"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6</w:t>
            </w:r>
          </w:p>
        </w:tc>
        <w:tc>
          <w:tcPr>
            <w:tcW w:w="151" w:type="pct"/>
            <w:vMerge w:val="continue"/>
            <w:shd w:val="clear" w:color="auto" w:fill="FFFFFF"/>
            <w:noWrap w:val="0"/>
            <w:vAlign w:val="center"/>
          </w:tcPr>
          <w:p w14:paraId="6DB578CF">
            <w:pPr>
              <w:jc w:val="center"/>
              <w:rPr>
                <w:rFonts w:hint="default" w:ascii="Times New Roman" w:hAnsi="Times New Roman" w:eastAsia="宋体" w:cs="Times New Roman"/>
                <w:color w:val="000000" w:themeColor="text1"/>
                <w:sz w:val="21"/>
                <w:szCs w:val="21"/>
              </w:rPr>
            </w:pPr>
          </w:p>
        </w:tc>
        <w:tc>
          <w:tcPr>
            <w:tcW w:w="152" w:type="pct"/>
            <w:shd w:val="clear" w:color="auto" w:fill="FFFFFF"/>
            <w:noWrap w:val="0"/>
            <w:vAlign w:val="center"/>
          </w:tcPr>
          <w:p w14:paraId="41F83995">
            <w:pPr>
              <w:jc w:val="center"/>
              <w:rPr>
                <w:rFonts w:hint="default" w:ascii="Times New Roman" w:hAnsi="Times New Roman" w:eastAsia="宋体" w:cs="Times New Roman"/>
                <w:color w:val="000000" w:themeColor="text1"/>
                <w:sz w:val="21"/>
                <w:szCs w:val="21"/>
              </w:rPr>
            </w:pPr>
            <w:r>
              <w:rPr>
                <w:rFonts w:hint="eastAsia" w:ascii="Times New Roman" w:hAnsi="Times New Roman" w:eastAsia="宋体" w:cs="Times New Roman"/>
                <w:i w:val="0"/>
                <w:iCs w:val="0"/>
                <w:color w:val="000000" w:themeColor="text1"/>
                <w:kern w:val="0"/>
                <w:sz w:val="21"/>
                <w:szCs w:val="21"/>
                <w:u w:val="none"/>
                <w:lang w:val="en-US" w:eastAsia="zh-CN" w:bidi="ar"/>
              </w:rPr>
              <w:t>剪板机</w:t>
            </w:r>
          </w:p>
        </w:tc>
        <w:tc>
          <w:tcPr>
            <w:tcW w:w="152" w:type="pct"/>
            <w:shd w:val="clear" w:color="auto" w:fill="FFFFFF"/>
            <w:noWrap w:val="0"/>
            <w:vAlign w:val="center"/>
          </w:tcPr>
          <w:p w14:paraId="3A7A28AF">
            <w:pPr>
              <w:jc w:val="center"/>
              <w:rPr>
                <w:rFonts w:hint="default" w:ascii="Times New Roman" w:hAnsi="Times New Roman" w:eastAsia="宋体" w:cs="Times New Roman"/>
                <w:color w:val="000000" w:themeColor="text1"/>
                <w:sz w:val="21"/>
                <w:szCs w:val="21"/>
              </w:rPr>
            </w:pPr>
            <w:r>
              <w:rPr>
                <w:rFonts w:hint="eastAsia" w:ascii="Times New Roman" w:hAnsi="Times New Roman" w:eastAsia="宋体" w:cs="Times New Roman"/>
                <w:color w:val="000000" w:themeColor="text1"/>
                <w:sz w:val="21"/>
                <w:szCs w:val="21"/>
                <w:lang w:val="en-US" w:eastAsia="zh-CN"/>
              </w:rPr>
              <w:t>1</w:t>
            </w:r>
          </w:p>
        </w:tc>
        <w:tc>
          <w:tcPr>
            <w:tcW w:w="483" w:type="pct"/>
            <w:shd w:val="clear" w:color="auto" w:fill="FFFFFF"/>
            <w:noWrap w:val="0"/>
            <w:vAlign w:val="center"/>
          </w:tcPr>
          <w:p w14:paraId="3D5E9027">
            <w:pPr>
              <w:jc w:val="center"/>
              <w:rPr>
                <w:rFonts w:hint="default" w:ascii="Times New Roman" w:hAnsi="Times New Roman" w:eastAsia="宋体" w:cs="Times New Roman"/>
                <w:color w:val="000000" w:themeColor="text1"/>
                <w:sz w:val="21"/>
                <w:szCs w:val="21"/>
              </w:rPr>
            </w:pPr>
            <w:r>
              <w:rPr>
                <w:rFonts w:hint="eastAsia" w:ascii="Times New Roman" w:hAnsi="Times New Roman" w:eastAsia="宋体" w:cs="Times New Roman"/>
                <w:color w:val="000000" w:themeColor="text1"/>
                <w:sz w:val="21"/>
                <w:szCs w:val="21"/>
                <w:lang w:val="en-US" w:eastAsia="zh-CN"/>
              </w:rPr>
              <w:t>75/1</w:t>
            </w:r>
          </w:p>
        </w:tc>
        <w:tc>
          <w:tcPr>
            <w:tcW w:w="223" w:type="pct"/>
            <w:vMerge w:val="continue"/>
            <w:shd w:val="clear" w:color="auto" w:fill="FFFFFF"/>
            <w:noWrap w:val="0"/>
            <w:vAlign w:val="center"/>
          </w:tcPr>
          <w:p w14:paraId="42178D1C">
            <w:pPr>
              <w:jc w:val="center"/>
              <w:rPr>
                <w:rFonts w:hint="default" w:ascii="Times New Roman" w:hAnsi="Times New Roman" w:eastAsia="宋体" w:cs="Times New Roman"/>
                <w:color w:val="000000" w:themeColor="text1"/>
                <w:sz w:val="21"/>
                <w:szCs w:val="21"/>
              </w:rPr>
            </w:pPr>
          </w:p>
        </w:tc>
        <w:tc>
          <w:tcPr>
            <w:tcW w:w="207" w:type="pct"/>
            <w:shd w:val="clear" w:color="auto" w:fill="FFFFFF"/>
            <w:noWrap w:val="0"/>
            <w:vAlign w:val="center"/>
          </w:tcPr>
          <w:p w14:paraId="5CBB0F4C">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113.5</w:t>
            </w:r>
          </w:p>
        </w:tc>
        <w:tc>
          <w:tcPr>
            <w:tcW w:w="242" w:type="pct"/>
            <w:shd w:val="clear" w:color="auto" w:fill="FFFFFF"/>
            <w:noWrap w:val="0"/>
            <w:vAlign w:val="center"/>
          </w:tcPr>
          <w:p w14:paraId="255AF18B">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38.3</w:t>
            </w:r>
          </w:p>
        </w:tc>
        <w:tc>
          <w:tcPr>
            <w:tcW w:w="171" w:type="pct"/>
            <w:shd w:val="clear" w:color="auto" w:fill="FFFFFF"/>
            <w:noWrap w:val="0"/>
            <w:vAlign w:val="center"/>
          </w:tcPr>
          <w:p w14:paraId="3C835984">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1.5</w:t>
            </w:r>
          </w:p>
        </w:tc>
        <w:tc>
          <w:tcPr>
            <w:tcW w:w="207" w:type="pct"/>
            <w:shd w:val="clear" w:color="auto" w:fill="FFFFFF"/>
            <w:noWrap w:val="0"/>
            <w:vAlign w:val="center"/>
          </w:tcPr>
          <w:p w14:paraId="1F06AC3F">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40.9</w:t>
            </w:r>
          </w:p>
        </w:tc>
        <w:tc>
          <w:tcPr>
            <w:tcW w:w="207" w:type="pct"/>
            <w:shd w:val="clear" w:color="auto" w:fill="FFFFFF"/>
            <w:noWrap w:val="0"/>
            <w:vAlign w:val="center"/>
          </w:tcPr>
          <w:p w14:paraId="2388571C">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12.8</w:t>
            </w:r>
          </w:p>
        </w:tc>
        <w:tc>
          <w:tcPr>
            <w:tcW w:w="207" w:type="pct"/>
            <w:shd w:val="clear" w:color="auto" w:fill="FFFFFF"/>
            <w:noWrap w:val="0"/>
            <w:vAlign w:val="center"/>
          </w:tcPr>
          <w:p w14:paraId="4E480327">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89.9</w:t>
            </w:r>
          </w:p>
        </w:tc>
        <w:tc>
          <w:tcPr>
            <w:tcW w:w="207" w:type="pct"/>
            <w:shd w:val="clear" w:color="auto" w:fill="FFFFFF"/>
            <w:noWrap w:val="0"/>
            <w:vAlign w:val="center"/>
          </w:tcPr>
          <w:p w14:paraId="181A061F">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5.3</w:t>
            </w:r>
          </w:p>
        </w:tc>
        <w:tc>
          <w:tcPr>
            <w:tcW w:w="207" w:type="pct"/>
            <w:shd w:val="clear" w:color="auto" w:fill="FFFFFF"/>
            <w:noWrap w:val="0"/>
            <w:vAlign w:val="center"/>
          </w:tcPr>
          <w:p w14:paraId="35E1BDF2">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6</w:t>
            </w:r>
            <w:r>
              <w:rPr>
                <w:rFonts w:hint="eastAsia" w:cs="Times New Roman"/>
                <w:color w:val="000000" w:themeColor="text1"/>
                <w:sz w:val="21"/>
                <w:szCs w:val="21"/>
                <w:lang w:val="en-US" w:eastAsia="zh-CN"/>
              </w:rPr>
              <w:t>6.4</w:t>
            </w:r>
          </w:p>
        </w:tc>
        <w:tc>
          <w:tcPr>
            <w:tcW w:w="207" w:type="pct"/>
            <w:shd w:val="clear" w:color="auto" w:fill="FFFFFF"/>
            <w:noWrap w:val="0"/>
            <w:vAlign w:val="center"/>
          </w:tcPr>
          <w:p w14:paraId="515940B3">
            <w:pPr>
              <w:jc w:val="center"/>
              <w:rPr>
                <w:rFonts w:hint="default" w:ascii="Times New Roman" w:hAnsi="Times New Roman" w:eastAsia="宋体" w:cs="Times New Roman"/>
                <w:color w:val="000000" w:themeColor="text1"/>
                <w:sz w:val="21"/>
                <w:szCs w:val="21"/>
                <w:lang w:val="en-US"/>
              </w:rPr>
            </w:pPr>
            <w:r>
              <w:rPr>
                <w:rFonts w:hint="eastAsia" w:ascii="Times New Roman" w:hAnsi="Times New Roman" w:eastAsia="宋体" w:cs="Times New Roman"/>
                <w:color w:val="000000" w:themeColor="text1"/>
                <w:sz w:val="21"/>
                <w:szCs w:val="21"/>
                <w:lang w:val="en-US" w:eastAsia="zh-CN"/>
              </w:rPr>
              <w:t>6</w:t>
            </w:r>
            <w:r>
              <w:rPr>
                <w:rFonts w:hint="eastAsia" w:cs="Times New Roman"/>
                <w:color w:val="000000" w:themeColor="text1"/>
                <w:sz w:val="21"/>
                <w:szCs w:val="21"/>
                <w:lang w:val="en-US" w:eastAsia="zh-CN"/>
              </w:rPr>
              <w:t>6.4</w:t>
            </w:r>
          </w:p>
        </w:tc>
        <w:tc>
          <w:tcPr>
            <w:tcW w:w="207" w:type="pct"/>
            <w:shd w:val="clear" w:color="auto" w:fill="FFFFFF"/>
            <w:noWrap w:val="0"/>
            <w:vAlign w:val="center"/>
          </w:tcPr>
          <w:p w14:paraId="73E1EF98">
            <w:pPr>
              <w:jc w:val="center"/>
              <w:rPr>
                <w:rFonts w:hint="default" w:ascii="Times New Roman" w:hAnsi="Times New Roman" w:eastAsia="宋体" w:cs="Times New Roman"/>
                <w:color w:val="000000" w:themeColor="text1"/>
                <w:sz w:val="21"/>
                <w:szCs w:val="21"/>
                <w:lang w:val="en-US"/>
              </w:rPr>
            </w:pPr>
            <w:r>
              <w:rPr>
                <w:rFonts w:hint="eastAsia" w:ascii="Times New Roman" w:hAnsi="Times New Roman" w:eastAsia="宋体" w:cs="Times New Roman"/>
                <w:color w:val="000000" w:themeColor="text1"/>
                <w:sz w:val="21"/>
                <w:szCs w:val="21"/>
                <w:lang w:val="en-US" w:eastAsia="zh-CN"/>
              </w:rPr>
              <w:t>6</w:t>
            </w:r>
            <w:r>
              <w:rPr>
                <w:rFonts w:hint="eastAsia" w:cs="Times New Roman"/>
                <w:color w:val="000000" w:themeColor="text1"/>
                <w:sz w:val="21"/>
                <w:szCs w:val="21"/>
                <w:lang w:val="en-US" w:eastAsia="zh-CN"/>
              </w:rPr>
              <w:t>6.4</w:t>
            </w:r>
          </w:p>
        </w:tc>
        <w:tc>
          <w:tcPr>
            <w:tcW w:w="207" w:type="pct"/>
            <w:shd w:val="clear" w:color="auto" w:fill="FFFFFF"/>
            <w:noWrap w:val="0"/>
            <w:vAlign w:val="center"/>
          </w:tcPr>
          <w:p w14:paraId="123D0B2D">
            <w:pPr>
              <w:jc w:val="center"/>
              <w:rPr>
                <w:rFonts w:hint="default" w:ascii="Times New Roman" w:hAnsi="Times New Roman" w:eastAsia="宋体" w:cs="Times New Roman"/>
                <w:color w:val="000000" w:themeColor="text1"/>
                <w:sz w:val="21"/>
                <w:szCs w:val="21"/>
                <w:lang w:val="en-US"/>
              </w:rPr>
            </w:pPr>
            <w:r>
              <w:rPr>
                <w:rFonts w:hint="eastAsia" w:ascii="Times New Roman" w:hAnsi="Times New Roman" w:eastAsia="宋体" w:cs="Times New Roman"/>
                <w:color w:val="000000" w:themeColor="text1"/>
                <w:sz w:val="21"/>
                <w:szCs w:val="21"/>
                <w:lang w:val="en-US" w:eastAsia="zh-CN"/>
              </w:rPr>
              <w:t>6</w:t>
            </w:r>
            <w:r>
              <w:rPr>
                <w:rFonts w:hint="eastAsia" w:cs="Times New Roman"/>
                <w:color w:val="000000" w:themeColor="text1"/>
                <w:sz w:val="21"/>
                <w:szCs w:val="21"/>
                <w:lang w:val="en-US" w:eastAsia="zh-CN"/>
              </w:rPr>
              <w:t>6.5</w:t>
            </w:r>
          </w:p>
        </w:tc>
        <w:tc>
          <w:tcPr>
            <w:tcW w:w="153" w:type="pct"/>
            <w:vMerge w:val="continue"/>
            <w:shd w:val="clear" w:color="auto" w:fill="FFFFFF"/>
            <w:noWrap w:val="0"/>
            <w:vAlign w:val="center"/>
          </w:tcPr>
          <w:p w14:paraId="5A896BC3">
            <w:pPr>
              <w:jc w:val="center"/>
              <w:rPr>
                <w:rFonts w:hint="default" w:ascii="Times New Roman" w:hAnsi="Times New Roman" w:eastAsia="宋体" w:cs="Times New Roman"/>
                <w:color w:val="000000" w:themeColor="text1"/>
                <w:sz w:val="21"/>
                <w:szCs w:val="21"/>
              </w:rPr>
            </w:pPr>
          </w:p>
        </w:tc>
        <w:tc>
          <w:tcPr>
            <w:tcW w:w="268" w:type="pct"/>
            <w:shd w:val="clear" w:color="auto" w:fill="FFFFFF"/>
            <w:noWrap w:val="0"/>
            <w:vAlign w:val="center"/>
          </w:tcPr>
          <w:p w14:paraId="3C1BC777">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20</w:t>
            </w:r>
          </w:p>
        </w:tc>
        <w:tc>
          <w:tcPr>
            <w:tcW w:w="207" w:type="pct"/>
            <w:shd w:val="clear" w:color="auto" w:fill="FFFFFF"/>
            <w:noWrap w:val="0"/>
            <w:vAlign w:val="center"/>
          </w:tcPr>
          <w:p w14:paraId="123D69A4">
            <w:pPr>
              <w:jc w:val="center"/>
              <w:rPr>
                <w:rFonts w:hint="default" w:ascii="Times New Roman" w:hAnsi="Times New Roman" w:eastAsia="宋体" w:cs="Times New Roman"/>
                <w:color w:val="000000" w:themeColor="text1"/>
                <w:sz w:val="21"/>
                <w:szCs w:val="21"/>
                <w:lang w:val="en-US"/>
              </w:rPr>
            </w:pPr>
            <w:r>
              <w:rPr>
                <w:rFonts w:hint="eastAsia" w:cs="Times New Roman"/>
                <w:color w:val="000000" w:themeColor="text1"/>
                <w:sz w:val="21"/>
                <w:szCs w:val="21"/>
                <w:lang w:val="en-US" w:eastAsia="zh-CN"/>
              </w:rPr>
              <w:t>40.4</w:t>
            </w:r>
          </w:p>
        </w:tc>
        <w:tc>
          <w:tcPr>
            <w:tcW w:w="207" w:type="pct"/>
            <w:shd w:val="clear" w:color="auto" w:fill="FFFFFF"/>
            <w:noWrap w:val="0"/>
            <w:vAlign w:val="center"/>
          </w:tcPr>
          <w:p w14:paraId="0B9D234F">
            <w:pPr>
              <w:jc w:val="center"/>
              <w:rPr>
                <w:rFonts w:hint="default" w:ascii="Times New Roman" w:hAnsi="Times New Roman" w:eastAsia="宋体" w:cs="Times New Roman"/>
                <w:color w:val="000000" w:themeColor="text1"/>
                <w:sz w:val="21"/>
                <w:szCs w:val="21"/>
                <w:lang w:val="en-US"/>
              </w:rPr>
            </w:pPr>
            <w:r>
              <w:rPr>
                <w:rFonts w:hint="eastAsia" w:cs="Times New Roman"/>
                <w:color w:val="000000" w:themeColor="text1"/>
                <w:sz w:val="21"/>
                <w:szCs w:val="21"/>
                <w:lang w:val="en-US" w:eastAsia="zh-CN"/>
              </w:rPr>
              <w:t>40.4</w:t>
            </w:r>
          </w:p>
        </w:tc>
        <w:tc>
          <w:tcPr>
            <w:tcW w:w="207" w:type="pct"/>
            <w:shd w:val="clear" w:color="auto" w:fill="FFFFFF"/>
            <w:noWrap w:val="0"/>
            <w:vAlign w:val="center"/>
          </w:tcPr>
          <w:p w14:paraId="76523C6D">
            <w:pPr>
              <w:jc w:val="center"/>
              <w:rPr>
                <w:rFonts w:hint="default" w:ascii="Times New Roman" w:hAnsi="Times New Roman" w:eastAsia="宋体" w:cs="Times New Roman"/>
                <w:color w:val="000000" w:themeColor="text1"/>
                <w:sz w:val="21"/>
                <w:szCs w:val="21"/>
                <w:lang w:val="en-US"/>
              </w:rPr>
            </w:pPr>
            <w:r>
              <w:rPr>
                <w:rFonts w:hint="eastAsia" w:cs="Times New Roman"/>
                <w:color w:val="000000" w:themeColor="text1"/>
                <w:sz w:val="21"/>
                <w:szCs w:val="21"/>
                <w:lang w:val="en-US" w:eastAsia="zh-CN"/>
              </w:rPr>
              <w:t>40.4</w:t>
            </w:r>
          </w:p>
        </w:tc>
        <w:tc>
          <w:tcPr>
            <w:tcW w:w="207" w:type="pct"/>
            <w:shd w:val="clear" w:color="auto" w:fill="FFFFFF"/>
            <w:noWrap w:val="0"/>
            <w:vAlign w:val="center"/>
          </w:tcPr>
          <w:p w14:paraId="4FB5EF47">
            <w:pPr>
              <w:jc w:val="center"/>
              <w:rPr>
                <w:rFonts w:hint="default" w:ascii="Times New Roman" w:hAnsi="Times New Roman" w:eastAsia="宋体" w:cs="Times New Roman"/>
                <w:color w:val="000000" w:themeColor="text1"/>
                <w:sz w:val="21"/>
                <w:szCs w:val="21"/>
                <w:lang w:val="en-US"/>
              </w:rPr>
            </w:pPr>
            <w:r>
              <w:rPr>
                <w:rFonts w:hint="eastAsia" w:cs="Times New Roman"/>
                <w:color w:val="000000" w:themeColor="text1"/>
                <w:sz w:val="21"/>
                <w:szCs w:val="21"/>
                <w:lang w:val="en-US" w:eastAsia="zh-CN"/>
              </w:rPr>
              <w:t>40.5</w:t>
            </w:r>
          </w:p>
        </w:tc>
        <w:tc>
          <w:tcPr>
            <w:tcW w:w="152" w:type="pct"/>
            <w:shd w:val="clear" w:color="auto" w:fill="FFFFFF"/>
            <w:noWrap w:val="0"/>
            <w:vAlign w:val="center"/>
          </w:tcPr>
          <w:p w14:paraId="09F21687">
            <w:pPr>
              <w:jc w:val="center"/>
              <w:rPr>
                <w:rFonts w:hint="eastAsia"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1</w:t>
            </w:r>
          </w:p>
        </w:tc>
      </w:tr>
      <w:tr w14:paraId="12965E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1" w:type="pct"/>
            <w:shd w:val="clear" w:color="auto" w:fill="FFFFFF"/>
            <w:noWrap w:val="0"/>
            <w:vAlign w:val="center"/>
          </w:tcPr>
          <w:p w14:paraId="1488157A">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7</w:t>
            </w:r>
          </w:p>
        </w:tc>
        <w:tc>
          <w:tcPr>
            <w:tcW w:w="151" w:type="pct"/>
            <w:vMerge w:val="continue"/>
            <w:shd w:val="clear" w:color="auto" w:fill="FFFFFF"/>
            <w:noWrap w:val="0"/>
            <w:vAlign w:val="center"/>
          </w:tcPr>
          <w:p w14:paraId="50EC0FE2">
            <w:pPr>
              <w:jc w:val="center"/>
              <w:rPr>
                <w:rFonts w:hint="default" w:ascii="Times New Roman" w:hAnsi="Times New Roman" w:eastAsia="宋体" w:cs="Times New Roman"/>
                <w:color w:val="000000" w:themeColor="text1"/>
                <w:sz w:val="21"/>
                <w:szCs w:val="21"/>
              </w:rPr>
            </w:pPr>
          </w:p>
        </w:tc>
        <w:tc>
          <w:tcPr>
            <w:tcW w:w="152" w:type="pct"/>
            <w:shd w:val="clear" w:color="auto" w:fill="FFFFFF"/>
            <w:noWrap w:val="0"/>
            <w:vAlign w:val="center"/>
          </w:tcPr>
          <w:p w14:paraId="09A0DDD7">
            <w:pPr>
              <w:jc w:val="center"/>
              <w:rPr>
                <w:rFonts w:hint="default" w:ascii="Times New Roman" w:hAnsi="Times New Roman" w:eastAsia="宋体" w:cs="Times New Roman"/>
                <w:i w:val="0"/>
                <w:iCs w:val="0"/>
                <w:color w:val="000000" w:themeColor="text1"/>
                <w:kern w:val="0"/>
                <w:sz w:val="21"/>
                <w:szCs w:val="21"/>
                <w:u w:val="none"/>
                <w:lang w:val="en-US" w:eastAsia="zh-CN" w:bidi="ar"/>
              </w:rPr>
            </w:pPr>
            <w:r>
              <w:rPr>
                <w:rFonts w:hint="eastAsia" w:cs="Times New Roman"/>
                <w:i w:val="0"/>
                <w:iCs w:val="0"/>
                <w:color w:val="000000" w:themeColor="text1"/>
                <w:kern w:val="0"/>
                <w:sz w:val="21"/>
                <w:szCs w:val="21"/>
                <w:u w:val="none"/>
                <w:lang w:val="en-US" w:eastAsia="zh-CN" w:bidi="ar"/>
              </w:rPr>
              <w:t>空压机</w:t>
            </w:r>
          </w:p>
        </w:tc>
        <w:tc>
          <w:tcPr>
            <w:tcW w:w="152" w:type="pct"/>
            <w:shd w:val="clear" w:color="auto" w:fill="FFFFFF"/>
            <w:noWrap w:val="0"/>
            <w:vAlign w:val="center"/>
          </w:tcPr>
          <w:p w14:paraId="2EFE011B">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1</w:t>
            </w:r>
          </w:p>
        </w:tc>
        <w:tc>
          <w:tcPr>
            <w:tcW w:w="483" w:type="pct"/>
            <w:shd w:val="clear" w:color="auto" w:fill="FFFFFF"/>
            <w:noWrap w:val="0"/>
            <w:vAlign w:val="center"/>
          </w:tcPr>
          <w:p w14:paraId="1F22668B">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95/1</w:t>
            </w:r>
          </w:p>
        </w:tc>
        <w:tc>
          <w:tcPr>
            <w:tcW w:w="223" w:type="pct"/>
            <w:vMerge w:val="continue"/>
            <w:shd w:val="clear" w:color="auto" w:fill="FFFFFF"/>
            <w:noWrap w:val="0"/>
            <w:vAlign w:val="center"/>
          </w:tcPr>
          <w:p w14:paraId="2C8F45F2">
            <w:pPr>
              <w:jc w:val="center"/>
              <w:rPr>
                <w:rFonts w:hint="default" w:ascii="Times New Roman" w:hAnsi="Times New Roman" w:eastAsia="宋体" w:cs="Times New Roman"/>
                <w:color w:val="000000" w:themeColor="text1"/>
                <w:sz w:val="21"/>
                <w:szCs w:val="21"/>
              </w:rPr>
            </w:pPr>
          </w:p>
        </w:tc>
        <w:tc>
          <w:tcPr>
            <w:tcW w:w="207" w:type="pct"/>
            <w:shd w:val="clear" w:color="auto" w:fill="FFFFFF"/>
            <w:noWrap w:val="0"/>
            <w:vAlign w:val="center"/>
          </w:tcPr>
          <w:p w14:paraId="619C18C5">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52.2</w:t>
            </w:r>
          </w:p>
        </w:tc>
        <w:tc>
          <w:tcPr>
            <w:tcW w:w="242" w:type="pct"/>
            <w:shd w:val="clear" w:color="auto" w:fill="FFFFFF"/>
            <w:noWrap w:val="0"/>
            <w:vAlign w:val="center"/>
          </w:tcPr>
          <w:p w14:paraId="4DED7801">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28.7</w:t>
            </w:r>
          </w:p>
        </w:tc>
        <w:tc>
          <w:tcPr>
            <w:tcW w:w="171" w:type="pct"/>
            <w:shd w:val="clear" w:color="auto" w:fill="FFFFFF"/>
            <w:noWrap w:val="0"/>
            <w:vAlign w:val="center"/>
          </w:tcPr>
          <w:p w14:paraId="687F1956">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1.2</w:t>
            </w:r>
          </w:p>
        </w:tc>
        <w:tc>
          <w:tcPr>
            <w:tcW w:w="207" w:type="pct"/>
            <w:shd w:val="clear" w:color="auto" w:fill="FFFFFF"/>
            <w:noWrap w:val="0"/>
            <w:vAlign w:val="center"/>
          </w:tcPr>
          <w:p w14:paraId="61EDD45C">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102.2</w:t>
            </w:r>
          </w:p>
        </w:tc>
        <w:tc>
          <w:tcPr>
            <w:tcW w:w="207" w:type="pct"/>
            <w:shd w:val="clear" w:color="auto" w:fill="FFFFFF"/>
            <w:noWrap w:val="0"/>
            <w:vAlign w:val="center"/>
          </w:tcPr>
          <w:p w14:paraId="121C071F">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3.4</w:t>
            </w:r>
          </w:p>
        </w:tc>
        <w:tc>
          <w:tcPr>
            <w:tcW w:w="207" w:type="pct"/>
            <w:shd w:val="clear" w:color="auto" w:fill="FFFFFF"/>
            <w:noWrap w:val="0"/>
            <w:vAlign w:val="center"/>
          </w:tcPr>
          <w:p w14:paraId="4CA53B72">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28.5</w:t>
            </w:r>
          </w:p>
        </w:tc>
        <w:tc>
          <w:tcPr>
            <w:tcW w:w="207" w:type="pct"/>
            <w:shd w:val="clear" w:color="auto" w:fill="FFFFFF"/>
            <w:noWrap w:val="0"/>
            <w:vAlign w:val="center"/>
          </w:tcPr>
          <w:p w14:paraId="20FAAE72">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14.6</w:t>
            </w:r>
          </w:p>
        </w:tc>
        <w:tc>
          <w:tcPr>
            <w:tcW w:w="207" w:type="pct"/>
            <w:shd w:val="clear" w:color="auto" w:fill="FFFFFF"/>
            <w:noWrap w:val="0"/>
            <w:vAlign w:val="center"/>
          </w:tcPr>
          <w:p w14:paraId="29208535">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76.4</w:t>
            </w:r>
          </w:p>
        </w:tc>
        <w:tc>
          <w:tcPr>
            <w:tcW w:w="207" w:type="pct"/>
            <w:shd w:val="clear" w:color="auto" w:fill="FFFFFF"/>
            <w:noWrap w:val="0"/>
            <w:vAlign w:val="center"/>
          </w:tcPr>
          <w:p w14:paraId="0D29A852">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76.6</w:t>
            </w:r>
          </w:p>
        </w:tc>
        <w:tc>
          <w:tcPr>
            <w:tcW w:w="207" w:type="pct"/>
            <w:shd w:val="clear" w:color="auto" w:fill="FFFFFF"/>
            <w:noWrap w:val="0"/>
            <w:vAlign w:val="center"/>
          </w:tcPr>
          <w:p w14:paraId="55D505BD">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76.4</w:t>
            </w:r>
          </w:p>
        </w:tc>
        <w:tc>
          <w:tcPr>
            <w:tcW w:w="207" w:type="pct"/>
            <w:shd w:val="clear" w:color="auto" w:fill="FFFFFF"/>
            <w:noWrap w:val="0"/>
            <w:vAlign w:val="center"/>
          </w:tcPr>
          <w:p w14:paraId="04EBD68D">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76.4</w:t>
            </w:r>
          </w:p>
        </w:tc>
        <w:tc>
          <w:tcPr>
            <w:tcW w:w="153" w:type="pct"/>
            <w:vMerge w:val="continue"/>
            <w:shd w:val="clear" w:color="auto" w:fill="FFFFFF"/>
            <w:noWrap w:val="0"/>
            <w:vAlign w:val="center"/>
          </w:tcPr>
          <w:p w14:paraId="7D338C72">
            <w:pPr>
              <w:jc w:val="center"/>
              <w:rPr>
                <w:rFonts w:hint="default" w:ascii="Times New Roman" w:hAnsi="Times New Roman" w:eastAsia="宋体" w:cs="Times New Roman"/>
                <w:color w:val="000000" w:themeColor="text1"/>
                <w:sz w:val="21"/>
                <w:szCs w:val="21"/>
              </w:rPr>
            </w:pPr>
          </w:p>
        </w:tc>
        <w:tc>
          <w:tcPr>
            <w:tcW w:w="268" w:type="pct"/>
            <w:shd w:val="clear" w:color="auto" w:fill="FFFFFF"/>
            <w:noWrap w:val="0"/>
            <w:vAlign w:val="center"/>
          </w:tcPr>
          <w:p w14:paraId="07E77A6D">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20</w:t>
            </w:r>
          </w:p>
        </w:tc>
        <w:tc>
          <w:tcPr>
            <w:tcW w:w="207" w:type="pct"/>
            <w:shd w:val="clear" w:color="auto" w:fill="FFFFFF"/>
            <w:noWrap w:val="0"/>
            <w:vAlign w:val="center"/>
          </w:tcPr>
          <w:p w14:paraId="25B94416">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50.4</w:t>
            </w:r>
          </w:p>
        </w:tc>
        <w:tc>
          <w:tcPr>
            <w:tcW w:w="207" w:type="pct"/>
            <w:shd w:val="clear" w:color="auto" w:fill="FFFFFF"/>
            <w:noWrap w:val="0"/>
            <w:vAlign w:val="center"/>
          </w:tcPr>
          <w:p w14:paraId="1B9036F6">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50.6</w:t>
            </w:r>
          </w:p>
        </w:tc>
        <w:tc>
          <w:tcPr>
            <w:tcW w:w="207" w:type="pct"/>
            <w:shd w:val="clear" w:color="auto" w:fill="FFFFFF"/>
            <w:noWrap w:val="0"/>
            <w:vAlign w:val="center"/>
          </w:tcPr>
          <w:p w14:paraId="5DF217B6">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50.4</w:t>
            </w:r>
          </w:p>
        </w:tc>
        <w:tc>
          <w:tcPr>
            <w:tcW w:w="207" w:type="pct"/>
            <w:shd w:val="clear" w:color="auto" w:fill="FFFFFF"/>
            <w:noWrap w:val="0"/>
            <w:vAlign w:val="center"/>
          </w:tcPr>
          <w:p w14:paraId="74C0F521">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50.4</w:t>
            </w:r>
          </w:p>
        </w:tc>
        <w:tc>
          <w:tcPr>
            <w:tcW w:w="152" w:type="pct"/>
            <w:shd w:val="clear" w:color="auto" w:fill="FFFFFF"/>
            <w:noWrap w:val="0"/>
            <w:vAlign w:val="center"/>
          </w:tcPr>
          <w:p w14:paraId="63FD6004">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1</w:t>
            </w:r>
          </w:p>
        </w:tc>
      </w:tr>
    </w:tbl>
    <w:p w14:paraId="6F7139CB">
      <w:pPr>
        <w:jc w:val="center"/>
        <w:rPr>
          <w:rFonts w:hint="default" w:ascii="Times New Roman" w:hAnsi="Times New Roman" w:cs="Times New Roman"/>
          <w:b/>
          <w:bCs/>
          <w:color w:val="000000" w:themeColor="text1"/>
        </w:rPr>
      </w:pPr>
    </w:p>
    <w:p w14:paraId="04CF664F">
      <w:pPr>
        <w:jc w:val="center"/>
        <w:rPr>
          <w:rFonts w:hint="default" w:ascii="Times New Roman" w:hAnsi="Times New Roman" w:cs="Times New Roman"/>
          <w:b/>
          <w:bCs/>
          <w:color w:val="000000" w:themeColor="text1"/>
        </w:rPr>
      </w:pPr>
    </w:p>
    <w:p w14:paraId="4D5C7B56">
      <w:pPr>
        <w:jc w:val="center"/>
        <w:rPr>
          <w:rFonts w:hint="default" w:ascii="Times New Roman" w:hAnsi="Times New Roman" w:cs="Times New Roman"/>
          <w:color w:val="000000" w:themeColor="text1"/>
        </w:rPr>
      </w:pPr>
      <w:r>
        <w:rPr>
          <w:rFonts w:hint="default" w:ascii="Times New Roman" w:hAnsi="Times New Roman" w:cs="Times New Roman"/>
          <w:b/>
          <w:bCs/>
          <w:color w:val="000000" w:themeColor="text1"/>
        </w:rPr>
        <w:t>表4-</w:t>
      </w:r>
      <w:r>
        <w:rPr>
          <w:rFonts w:hint="eastAsia" w:cs="Times New Roman"/>
          <w:b/>
          <w:bCs/>
          <w:color w:val="000000" w:themeColor="text1"/>
          <w:lang w:val="en-US" w:eastAsia="zh-CN"/>
        </w:rPr>
        <w:t xml:space="preserve">14 </w:t>
      </w:r>
      <w:r>
        <w:rPr>
          <w:rFonts w:hint="eastAsia" w:ascii="Times New Roman" w:hAnsi="Times New Roman" w:cs="Times New Roman"/>
          <w:b/>
          <w:bCs/>
          <w:color w:val="000000" w:themeColor="text1"/>
          <w:lang w:val="en-US" w:eastAsia="zh-CN"/>
        </w:rPr>
        <w:t xml:space="preserve"> </w:t>
      </w:r>
      <w:r>
        <w:rPr>
          <w:rFonts w:hint="default" w:ascii="Times New Roman" w:hAnsi="Times New Roman" w:cs="Times New Roman"/>
          <w:b/>
          <w:bCs/>
          <w:color w:val="000000" w:themeColor="text1"/>
        </w:rPr>
        <w:t>噪声源强调查清单（室外声源）</w:t>
      </w:r>
    </w:p>
    <w:tbl>
      <w:tblPr>
        <w:tblStyle w:val="3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9"/>
        <w:gridCol w:w="1982"/>
        <w:gridCol w:w="749"/>
        <w:gridCol w:w="712"/>
        <w:gridCol w:w="712"/>
        <w:gridCol w:w="590"/>
        <w:gridCol w:w="4246"/>
        <w:gridCol w:w="2229"/>
        <w:gridCol w:w="1311"/>
      </w:tblGrid>
      <w:tr w14:paraId="45CDDF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0" w:hRule="exact"/>
        </w:trPr>
        <w:tc>
          <w:tcPr>
            <w:tcW w:w="282" w:type="pct"/>
            <w:vMerge w:val="restart"/>
            <w:noWrap w:val="0"/>
            <w:vAlign w:val="center"/>
          </w:tcPr>
          <w:p w14:paraId="66304445">
            <w:pPr>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b/>
                <w:color w:val="000000" w:themeColor="text1"/>
                <w:sz w:val="21"/>
                <w:szCs w:val="21"/>
              </w:rPr>
              <w:t>序号</w:t>
            </w:r>
          </w:p>
        </w:tc>
        <w:tc>
          <w:tcPr>
            <w:tcW w:w="746" w:type="pct"/>
            <w:vMerge w:val="restart"/>
            <w:noWrap w:val="0"/>
            <w:vAlign w:val="center"/>
          </w:tcPr>
          <w:p w14:paraId="53431B30">
            <w:pPr>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b/>
                <w:color w:val="000000" w:themeColor="text1"/>
                <w:sz w:val="21"/>
                <w:szCs w:val="21"/>
              </w:rPr>
              <w:t>声源名称</w:t>
            </w:r>
          </w:p>
        </w:tc>
        <w:tc>
          <w:tcPr>
            <w:tcW w:w="282" w:type="pct"/>
            <w:vMerge w:val="restart"/>
            <w:noWrap w:val="0"/>
            <w:vAlign w:val="center"/>
          </w:tcPr>
          <w:p w14:paraId="269C4653">
            <w:pPr>
              <w:jc w:val="center"/>
              <w:rPr>
                <w:rFonts w:hint="eastAsia" w:ascii="Times New Roman" w:hAnsi="Times New Roman" w:eastAsia="宋体" w:cs="Times New Roman"/>
                <w:color w:val="000000" w:themeColor="text1"/>
                <w:sz w:val="21"/>
                <w:szCs w:val="21"/>
                <w:lang w:eastAsia="zh-CN"/>
              </w:rPr>
            </w:pPr>
            <w:r>
              <w:rPr>
                <w:rFonts w:hint="eastAsia" w:ascii="Times New Roman" w:hAnsi="Times New Roman" w:eastAsia="宋体" w:cs="Times New Roman"/>
                <w:b/>
                <w:color w:val="000000" w:themeColor="text1"/>
                <w:sz w:val="21"/>
                <w:szCs w:val="21"/>
                <w:lang w:val="en-US" w:eastAsia="zh-CN"/>
              </w:rPr>
              <w:t>台数</w:t>
            </w:r>
          </w:p>
        </w:tc>
        <w:tc>
          <w:tcPr>
            <w:tcW w:w="758" w:type="pct"/>
            <w:gridSpan w:val="3"/>
            <w:noWrap w:val="0"/>
            <w:vAlign w:val="center"/>
          </w:tcPr>
          <w:p w14:paraId="1D3236E4">
            <w:pPr>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b/>
                <w:color w:val="000000" w:themeColor="text1"/>
                <w:sz w:val="21"/>
                <w:szCs w:val="21"/>
              </w:rPr>
              <w:t>空间相对位置/m</w:t>
            </w:r>
          </w:p>
        </w:tc>
        <w:tc>
          <w:tcPr>
            <w:tcW w:w="1598" w:type="pct"/>
            <w:noWrap w:val="0"/>
            <w:vAlign w:val="center"/>
          </w:tcPr>
          <w:p w14:paraId="2BDD2665">
            <w:pPr>
              <w:jc w:val="center"/>
              <w:rPr>
                <w:rFonts w:hint="default" w:ascii="Times New Roman" w:hAnsi="Times New Roman" w:eastAsia="宋体" w:cs="Times New Roman"/>
                <w:color w:val="000000" w:themeColor="text1"/>
                <w:sz w:val="21"/>
                <w:szCs w:val="21"/>
                <w:lang w:eastAsia="zh-CN"/>
              </w:rPr>
            </w:pPr>
            <w:r>
              <w:rPr>
                <w:rFonts w:hint="default" w:ascii="Times New Roman" w:hAnsi="Times New Roman" w:eastAsia="宋体" w:cs="Times New Roman"/>
                <w:b/>
                <w:color w:val="000000" w:themeColor="text1"/>
                <w:sz w:val="21"/>
                <w:szCs w:val="21"/>
                <w:lang w:eastAsia="zh-CN"/>
              </w:rPr>
              <w:t>声源源强（任选一种）</w:t>
            </w:r>
          </w:p>
        </w:tc>
        <w:tc>
          <w:tcPr>
            <w:tcW w:w="839" w:type="pct"/>
            <w:vMerge w:val="restart"/>
            <w:noWrap w:val="0"/>
            <w:vAlign w:val="center"/>
          </w:tcPr>
          <w:p w14:paraId="164B55FE">
            <w:pPr>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b/>
                <w:color w:val="000000" w:themeColor="text1"/>
                <w:sz w:val="21"/>
                <w:szCs w:val="21"/>
              </w:rPr>
              <w:t>声源控制措施</w:t>
            </w:r>
          </w:p>
        </w:tc>
        <w:tc>
          <w:tcPr>
            <w:tcW w:w="493" w:type="pct"/>
            <w:vMerge w:val="restart"/>
            <w:noWrap w:val="0"/>
            <w:vAlign w:val="center"/>
          </w:tcPr>
          <w:p w14:paraId="689F14A3">
            <w:pPr>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b/>
                <w:color w:val="000000" w:themeColor="text1"/>
                <w:sz w:val="21"/>
                <w:szCs w:val="21"/>
              </w:rPr>
              <w:t>运行时段</w:t>
            </w:r>
          </w:p>
        </w:tc>
      </w:tr>
      <w:tr w14:paraId="230D5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trPr>
        <w:tc>
          <w:tcPr>
            <w:tcW w:w="282" w:type="pct"/>
            <w:vMerge w:val="continue"/>
            <w:shd w:val="clear" w:color="auto" w:fill="FFFFFF"/>
            <w:noWrap w:val="0"/>
            <w:vAlign w:val="center"/>
          </w:tcPr>
          <w:p w14:paraId="5644E887">
            <w:pPr>
              <w:jc w:val="center"/>
              <w:rPr>
                <w:rFonts w:hint="default" w:ascii="Times New Roman" w:hAnsi="Times New Roman" w:eastAsia="宋体" w:cs="Times New Roman"/>
                <w:color w:val="000000" w:themeColor="text1"/>
                <w:sz w:val="21"/>
                <w:szCs w:val="21"/>
              </w:rPr>
            </w:pPr>
          </w:p>
        </w:tc>
        <w:tc>
          <w:tcPr>
            <w:tcW w:w="746" w:type="pct"/>
            <w:vMerge w:val="continue"/>
            <w:shd w:val="clear" w:color="auto" w:fill="FFFFFF"/>
            <w:noWrap w:val="0"/>
            <w:vAlign w:val="center"/>
          </w:tcPr>
          <w:p w14:paraId="580B936C">
            <w:pPr>
              <w:jc w:val="center"/>
              <w:rPr>
                <w:rFonts w:hint="default" w:ascii="Times New Roman" w:hAnsi="Times New Roman" w:eastAsia="宋体" w:cs="Times New Roman"/>
                <w:color w:val="000000" w:themeColor="text1"/>
                <w:sz w:val="21"/>
                <w:szCs w:val="21"/>
              </w:rPr>
            </w:pPr>
          </w:p>
        </w:tc>
        <w:tc>
          <w:tcPr>
            <w:tcW w:w="282" w:type="pct"/>
            <w:vMerge w:val="continue"/>
            <w:shd w:val="clear" w:color="auto" w:fill="FFFFFF"/>
            <w:noWrap w:val="0"/>
            <w:vAlign w:val="center"/>
          </w:tcPr>
          <w:p w14:paraId="501C37BE">
            <w:pPr>
              <w:jc w:val="center"/>
              <w:rPr>
                <w:rFonts w:hint="default" w:ascii="Times New Roman" w:hAnsi="Times New Roman" w:eastAsia="宋体" w:cs="Times New Roman"/>
                <w:color w:val="000000" w:themeColor="text1"/>
                <w:sz w:val="21"/>
                <w:szCs w:val="21"/>
              </w:rPr>
            </w:pPr>
          </w:p>
        </w:tc>
        <w:tc>
          <w:tcPr>
            <w:tcW w:w="268" w:type="pct"/>
            <w:shd w:val="clear" w:color="auto" w:fill="FFFFFF"/>
            <w:noWrap w:val="0"/>
            <w:vAlign w:val="center"/>
          </w:tcPr>
          <w:p w14:paraId="371E993F">
            <w:pPr>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X</w:t>
            </w:r>
          </w:p>
        </w:tc>
        <w:tc>
          <w:tcPr>
            <w:tcW w:w="268" w:type="pct"/>
            <w:shd w:val="clear" w:color="auto" w:fill="FFFFFF"/>
            <w:noWrap w:val="0"/>
            <w:vAlign w:val="center"/>
          </w:tcPr>
          <w:p w14:paraId="17F8BB83">
            <w:pPr>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Y</w:t>
            </w:r>
          </w:p>
        </w:tc>
        <w:tc>
          <w:tcPr>
            <w:tcW w:w="221" w:type="pct"/>
            <w:shd w:val="clear" w:color="auto" w:fill="FFFFFF"/>
            <w:noWrap w:val="0"/>
            <w:vAlign w:val="center"/>
          </w:tcPr>
          <w:p w14:paraId="018D79E0">
            <w:pPr>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Z</w:t>
            </w:r>
          </w:p>
        </w:tc>
        <w:tc>
          <w:tcPr>
            <w:tcW w:w="1598" w:type="pct"/>
            <w:shd w:val="clear" w:color="auto" w:fill="FFFFFF"/>
            <w:noWrap w:val="0"/>
            <w:vAlign w:val="center"/>
          </w:tcPr>
          <w:p w14:paraId="0306C747">
            <w:pPr>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（声压级/距声源距离）/（dB(A)/m）</w:t>
            </w:r>
          </w:p>
        </w:tc>
        <w:tc>
          <w:tcPr>
            <w:tcW w:w="839" w:type="pct"/>
            <w:vMerge w:val="continue"/>
            <w:shd w:val="clear" w:color="auto" w:fill="FFFFFF"/>
            <w:noWrap w:val="0"/>
            <w:vAlign w:val="center"/>
          </w:tcPr>
          <w:p w14:paraId="6CA4EF4B">
            <w:pPr>
              <w:jc w:val="center"/>
              <w:rPr>
                <w:rFonts w:hint="default" w:ascii="Times New Roman" w:hAnsi="Times New Roman" w:eastAsia="宋体" w:cs="Times New Roman"/>
                <w:color w:val="000000" w:themeColor="text1"/>
                <w:sz w:val="21"/>
                <w:szCs w:val="21"/>
              </w:rPr>
            </w:pPr>
          </w:p>
        </w:tc>
        <w:tc>
          <w:tcPr>
            <w:tcW w:w="493" w:type="pct"/>
            <w:vMerge w:val="continue"/>
            <w:shd w:val="clear" w:color="auto" w:fill="FFFFFF"/>
            <w:noWrap w:val="0"/>
            <w:vAlign w:val="center"/>
          </w:tcPr>
          <w:p w14:paraId="28EF91C5">
            <w:pPr>
              <w:jc w:val="center"/>
              <w:rPr>
                <w:rFonts w:hint="default" w:ascii="Times New Roman" w:hAnsi="Times New Roman" w:eastAsia="宋体" w:cs="Times New Roman"/>
                <w:color w:val="000000" w:themeColor="text1"/>
                <w:sz w:val="21"/>
                <w:szCs w:val="21"/>
              </w:rPr>
            </w:pPr>
          </w:p>
        </w:tc>
      </w:tr>
      <w:tr w14:paraId="23847E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282" w:type="pct"/>
            <w:shd w:val="clear" w:color="auto" w:fill="FFFFFF"/>
            <w:noWrap w:val="0"/>
            <w:vAlign w:val="center"/>
          </w:tcPr>
          <w:p w14:paraId="76BB9376">
            <w:pPr>
              <w:jc w:val="center"/>
              <w:rPr>
                <w:rFonts w:hint="default" w:ascii="Times New Roman" w:hAnsi="Times New Roman" w:eastAsia="宋体" w:cs="Times New Roman"/>
                <w:color w:val="000000" w:themeColor="text1"/>
                <w:sz w:val="21"/>
                <w:szCs w:val="21"/>
              </w:rPr>
            </w:pPr>
            <w:r>
              <w:rPr>
                <w:rFonts w:hint="default" w:ascii="Times New Roman" w:hAnsi="Times New Roman" w:eastAsia="宋体" w:cs="Times New Roman"/>
                <w:color w:val="000000" w:themeColor="text1"/>
                <w:sz w:val="21"/>
                <w:szCs w:val="21"/>
              </w:rPr>
              <w:t>1</w:t>
            </w:r>
          </w:p>
        </w:tc>
        <w:tc>
          <w:tcPr>
            <w:tcW w:w="746" w:type="pct"/>
            <w:shd w:val="clear" w:color="auto" w:fill="FFFFFF"/>
            <w:noWrap w:val="0"/>
            <w:vAlign w:val="center"/>
          </w:tcPr>
          <w:p w14:paraId="749E497C">
            <w:pPr>
              <w:jc w:val="center"/>
              <w:rPr>
                <w:rFonts w:hint="default" w:ascii="Times New Roman" w:hAnsi="Times New Roman" w:eastAsia="宋体" w:cs="Times New Roman"/>
                <w:color w:val="000000" w:themeColor="text1"/>
                <w:sz w:val="21"/>
                <w:szCs w:val="21"/>
                <w:lang w:val="en-US" w:eastAsia="zh-CN"/>
              </w:rPr>
            </w:pPr>
            <w:r>
              <w:rPr>
                <w:rFonts w:hint="eastAsia" w:ascii="宋体" w:hAnsi="宋体" w:eastAsia="宋体" w:cs="宋体"/>
                <w:color w:val="000000" w:themeColor="text1"/>
                <w:kern w:val="0"/>
                <w:sz w:val="21"/>
                <w:szCs w:val="21"/>
                <w:lang w:val="en-US" w:eastAsia="zh-CN"/>
              </w:rPr>
              <w:t>风机（活性炭）</w:t>
            </w:r>
          </w:p>
        </w:tc>
        <w:tc>
          <w:tcPr>
            <w:tcW w:w="282" w:type="pct"/>
            <w:shd w:val="clear" w:color="auto" w:fill="FFFFFF"/>
            <w:noWrap w:val="0"/>
            <w:vAlign w:val="center"/>
          </w:tcPr>
          <w:p w14:paraId="6A75610A">
            <w:pPr>
              <w:jc w:val="center"/>
              <w:rPr>
                <w:rFonts w:hint="eastAsia" w:ascii="Times New Roman" w:hAnsi="Times New Roman" w:eastAsia="宋体" w:cs="Times New Roman"/>
                <w:color w:val="000000" w:themeColor="text1"/>
                <w:sz w:val="21"/>
                <w:szCs w:val="21"/>
                <w:lang w:eastAsia="zh-CN"/>
              </w:rPr>
            </w:pPr>
            <w:r>
              <w:rPr>
                <w:rFonts w:hint="eastAsia" w:ascii="Times New Roman" w:hAnsi="Times New Roman" w:eastAsia="宋体" w:cs="Times New Roman"/>
                <w:color w:val="000000" w:themeColor="text1"/>
                <w:szCs w:val="21"/>
                <w:lang w:val="en-US" w:eastAsia="zh-CN"/>
              </w:rPr>
              <w:t>1</w:t>
            </w:r>
          </w:p>
        </w:tc>
        <w:tc>
          <w:tcPr>
            <w:tcW w:w="268" w:type="pct"/>
            <w:shd w:val="clear" w:color="auto" w:fill="FFFFFF"/>
            <w:noWrap w:val="0"/>
            <w:vAlign w:val="center"/>
          </w:tcPr>
          <w:p w14:paraId="15C0DC99">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47.9</w:t>
            </w:r>
          </w:p>
        </w:tc>
        <w:tc>
          <w:tcPr>
            <w:tcW w:w="268" w:type="pct"/>
            <w:shd w:val="clear" w:color="auto" w:fill="FFFFFF"/>
            <w:noWrap w:val="0"/>
            <w:vAlign w:val="center"/>
          </w:tcPr>
          <w:p w14:paraId="0A5ACAAC">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22.8</w:t>
            </w:r>
          </w:p>
        </w:tc>
        <w:tc>
          <w:tcPr>
            <w:tcW w:w="221" w:type="pct"/>
            <w:shd w:val="clear" w:color="auto" w:fill="FFFFFF"/>
            <w:noWrap w:val="0"/>
            <w:vAlign w:val="center"/>
          </w:tcPr>
          <w:p w14:paraId="0AE44E85">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1.2</w:t>
            </w:r>
          </w:p>
        </w:tc>
        <w:tc>
          <w:tcPr>
            <w:tcW w:w="1598" w:type="pct"/>
            <w:shd w:val="clear" w:color="auto" w:fill="FFFFFF"/>
            <w:noWrap w:val="0"/>
            <w:vAlign w:val="center"/>
          </w:tcPr>
          <w:p w14:paraId="2DB14540">
            <w:pPr>
              <w:jc w:val="center"/>
              <w:rPr>
                <w:rFonts w:hint="default" w:ascii="Times New Roman" w:hAnsi="Times New Roman" w:eastAsia="宋体" w:cs="Times New Roman"/>
                <w:color w:val="000000" w:themeColor="text1"/>
                <w:sz w:val="21"/>
                <w:szCs w:val="21"/>
              </w:rPr>
            </w:pPr>
            <w:r>
              <w:rPr>
                <w:rFonts w:hint="eastAsia" w:ascii="Times New Roman" w:hAnsi="Times New Roman" w:eastAsia="宋体" w:cs="Times New Roman"/>
                <w:color w:val="000000" w:themeColor="text1"/>
                <w:sz w:val="21"/>
                <w:szCs w:val="21"/>
                <w:lang w:val="en-US" w:eastAsia="zh-CN"/>
              </w:rPr>
              <w:t>90/1</w:t>
            </w:r>
          </w:p>
        </w:tc>
        <w:tc>
          <w:tcPr>
            <w:tcW w:w="839" w:type="pct"/>
            <w:shd w:val="clear" w:color="auto" w:fill="FFFFFF"/>
            <w:noWrap w:val="0"/>
            <w:vAlign w:val="center"/>
          </w:tcPr>
          <w:p w14:paraId="70883065">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减震机座、隔声罩</w:t>
            </w:r>
          </w:p>
        </w:tc>
        <w:tc>
          <w:tcPr>
            <w:tcW w:w="493" w:type="pct"/>
            <w:shd w:val="clear" w:color="auto" w:fill="FFFFFF"/>
            <w:noWrap w:val="0"/>
            <w:vAlign w:val="center"/>
          </w:tcPr>
          <w:p w14:paraId="618CA8DD">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昼间</w:t>
            </w:r>
            <w:r>
              <w:rPr>
                <w:rFonts w:hint="eastAsia" w:cs="Times New Roman"/>
                <w:color w:val="000000" w:themeColor="text1"/>
                <w:sz w:val="21"/>
                <w:szCs w:val="21"/>
                <w:lang w:val="en-US" w:eastAsia="zh-CN"/>
              </w:rPr>
              <w:t>/夜间</w:t>
            </w:r>
          </w:p>
        </w:tc>
      </w:tr>
    </w:tbl>
    <w:p w14:paraId="11C67146">
      <w:pPr>
        <w:pStyle w:val="54"/>
        <w:wordWrap w:val="0"/>
        <w:ind w:firstLine="0" w:firstLineChars="0"/>
        <w:jc w:val="center"/>
        <w:rPr>
          <w:rFonts w:hint="default" w:ascii="Times New Roman" w:hAnsi="Times New Roman" w:cs="Times New Roman"/>
          <w:color w:val="000000" w:themeColor="text1"/>
        </w:rPr>
        <w:sectPr>
          <w:pgSz w:w="16840" w:h="11907" w:orient="landscape"/>
          <w:pgMar w:top="1531" w:right="1644" w:bottom="1531" w:left="2127" w:header="851" w:footer="851" w:gutter="0"/>
          <w:cols w:space="720" w:num="1"/>
          <w:docGrid w:linePitch="312" w:charSpace="0"/>
        </w:sectPr>
      </w:pPr>
    </w:p>
    <w:p w14:paraId="1FD0BDD7">
      <w:pPr>
        <w:rPr>
          <w:rFonts w:hint="default" w:ascii="Times New Roman" w:hAnsi="Times New Roman" w:cs="Times New Roman"/>
          <w:snapToGrid w:val="0"/>
          <w:color w:val="000000" w:themeColor="text1"/>
          <w:sz w:val="30"/>
          <w:szCs w:val="30"/>
        </w:rPr>
      </w:pPr>
    </w:p>
    <w:tbl>
      <w:tblPr>
        <w:tblStyle w:val="34"/>
        <w:tblW w:w="937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378"/>
        <w:gridCol w:w="8995"/>
      </w:tblGrid>
      <w:tr w14:paraId="18D368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69" w:hRule="atLeast"/>
          <w:jc w:val="center"/>
        </w:trPr>
        <w:tc>
          <w:tcPr>
            <w:tcW w:w="458" w:type="dxa"/>
            <w:tcBorders>
              <w:bottom w:val="single" w:color="auto" w:sz="8" w:space="0"/>
            </w:tcBorders>
            <w:noWrap w:val="0"/>
            <w:tcMar>
              <w:left w:w="28" w:type="dxa"/>
              <w:right w:w="28" w:type="dxa"/>
            </w:tcMar>
            <w:vAlign w:val="center"/>
          </w:tcPr>
          <w:p w14:paraId="174A48BF">
            <w:pPr>
              <w:adjustRightInd w:val="0"/>
              <w:snapToGrid w:val="0"/>
              <w:spacing w:line="460" w:lineRule="exact"/>
              <w:jc w:val="center"/>
              <w:rPr>
                <w:color w:val="000000" w:themeColor="text1"/>
              </w:rPr>
            </w:pPr>
            <w:r>
              <w:rPr>
                <w:rFonts w:hint="eastAsia" w:cs="宋体"/>
                <w:color w:val="000000" w:themeColor="text1"/>
                <w:sz w:val="24"/>
                <w:szCs w:val="24"/>
              </w:rPr>
              <w:t>运营期环境影响和保护措施</w:t>
            </w:r>
          </w:p>
        </w:tc>
        <w:tc>
          <w:tcPr>
            <w:tcW w:w="8915" w:type="dxa"/>
            <w:tcBorders>
              <w:bottom w:val="single" w:color="auto" w:sz="8" w:space="0"/>
            </w:tcBorders>
            <w:noWrap w:val="0"/>
            <w:vAlign w:val="top"/>
          </w:tcPr>
          <w:p w14:paraId="4644240A">
            <w:pPr>
              <w:spacing w:line="360" w:lineRule="auto"/>
              <w:ind w:firstLine="480" w:firstLineChars="200"/>
              <w:rPr>
                <w:rFonts w:hint="default" w:ascii="Times New Roman" w:hAnsi="Times New Roman" w:cs="Times New Roman"/>
                <w:color w:val="000000" w:themeColor="text1"/>
                <w:sz w:val="24"/>
                <w:szCs w:val="24"/>
              </w:rPr>
            </w:pPr>
            <w:r>
              <w:rPr>
                <w:rFonts w:hint="eastAsia" w:ascii="Times New Roman" w:hAnsi="Times New Roman" w:cs="Times New Roman"/>
                <w:color w:val="000000" w:themeColor="text1"/>
                <w:sz w:val="24"/>
                <w:szCs w:val="24"/>
                <w:lang w:val="en-US" w:eastAsia="zh-CN"/>
              </w:rPr>
              <w:t>2、</w:t>
            </w:r>
            <w:r>
              <w:rPr>
                <w:rFonts w:hint="default" w:ascii="Times New Roman" w:hAnsi="Times New Roman" w:cs="Times New Roman"/>
                <w:color w:val="000000" w:themeColor="text1"/>
                <w:sz w:val="24"/>
                <w:szCs w:val="24"/>
              </w:rPr>
              <w:t>预测模式</w:t>
            </w:r>
          </w:p>
          <w:p w14:paraId="2A72C160">
            <w:pPr>
              <w:spacing w:line="360" w:lineRule="auto"/>
              <w:ind w:firstLine="48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为分析项目噪声对外环境的影响，评价根据《环境影响评价技术导则声环境》（HJ2.4-2021）进行预测。</w:t>
            </w:r>
          </w:p>
          <w:p w14:paraId="737449AE">
            <w:pPr>
              <w:spacing w:line="360" w:lineRule="auto"/>
              <w:ind w:firstLine="480" w:firstLineChars="20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（1）室外声源</w:t>
            </w:r>
          </w:p>
          <w:p w14:paraId="1D75EFA5">
            <w:pPr>
              <w:spacing w:line="360" w:lineRule="auto"/>
              <w:ind w:firstLine="480" w:firstLineChars="20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计算基本公式为：</w:t>
            </w:r>
          </w:p>
          <w:p w14:paraId="3E4BB4E8">
            <w:pPr>
              <w:spacing w:line="360" w:lineRule="auto"/>
              <w:ind w:firstLine="480" w:firstLineChars="200"/>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object>
                <v:shape id="_x0000_i1032" o:spt="75" type="#_x0000_t75" style="height:18.4pt;width:252.85pt;" o:ole="t" filled="f" o:preferrelative="t" stroked="f" coordsize="21600,21600">
                  <v:path/>
                  <v:fill on="f" focussize="0,0"/>
                  <v:stroke on="f" joinstyle="miter"/>
                  <v:imagedata r:id="rId17" o:title=""/>
                  <o:lock v:ext="edit" aspectratio="t"/>
                  <w10:wrap type="none"/>
                  <w10:anchorlock/>
                </v:shape>
                <o:OLEObject Type="Embed" ProgID="Equation.3" ShapeID="_x0000_i1032" DrawAspect="Content" ObjectID="_1468075725" r:id="rId16">
                  <o:LockedField>false</o:LockedField>
                </o:OLEObject>
              </w:object>
            </w:r>
          </w:p>
          <w:p w14:paraId="045ABAD9">
            <w:pPr>
              <w:adjustRightInd w:val="0"/>
              <w:snapToGrid w:val="0"/>
              <w:spacing w:line="360" w:lineRule="auto"/>
              <w:ind w:firstLine="480" w:firstLineChars="20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式中：</w:t>
            </w:r>
            <w:r>
              <w:rPr>
                <w:rFonts w:hint="default" w:ascii="Times New Roman" w:hAnsi="Times New Roman" w:cs="Times New Roman"/>
                <w:color w:val="000000" w:themeColor="text1"/>
                <w:sz w:val="24"/>
                <w:szCs w:val="24"/>
              </w:rPr>
              <w:object>
                <v:shape id="_x0000_i1033" o:spt="75" type="#_x0000_t75" style="height:18.4pt;width:31pt;" o:ole="t" filled="f" o:preferrelative="t" stroked="f" coordsize="21600,21600">
                  <v:path/>
                  <v:fill on="f" focussize="0,0"/>
                  <v:stroke on="f" joinstyle="miter"/>
                  <v:imagedata r:id="rId19" o:title=""/>
                  <o:lock v:ext="edit" aspectratio="t"/>
                  <w10:wrap type="none"/>
                  <w10:anchorlock/>
                </v:shape>
                <o:OLEObject Type="Embed" ProgID="Equation.3" ShapeID="_x0000_i1033" DrawAspect="Content" ObjectID="_1468075726" r:id="rId18">
                  <o:LockedField>false</o:LockedField>
                </o:OLEObject>
              </w:object>
            </w:r>
            <w:r>
              <w:rPr>
                <w:rFonts w:hint="default" w:ascii="Times New Roman" w:hAnsi="Times New Roman" w:cs="Times New Roman"/>
                <w:color w:val="000000" w:themeColor="text1"/>
                <w:sz w:val="24"/>
                <w:szCs w:val="24"/>
              </w:rPr>
              <w:t>——预测点处的声压级，dB；</w:t>
            </w:r>
          </w:p>
          <w:p w14:paraId="320ED7BF">
            <w:pPr>
              <w:adjustRightInd w:val="0"/>
              <w:snapToGrid w:val="0"/>
              <w:spacing w:line="360" w:lineRule="auto"/>
              <w:ind w:firstLine="1200" w:firstLineChars="50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object>
                <v:shape id="_x0000_i1034" o:spt="75" type="#_x0000_t75" style="height:18.4pt;width:33.5pt;" o:ole="t" filled="f" o:preferrelative="t" stroked="f" coordsize="21600,21600">
                  <v:path/>
                  <v:fill on="f" focussize="0,0"/>
                  <v:stroke on="f" joinstyle="miter"/>
                  <v:imagedata r:id="rId21" o:title=""/>
                  <o:lock v:ext="edit" aspectratio="t"/>
                  <w10:wrap type="none"/>
                  <w10:anchorlock/>
                </v:shape>
                <o:OLEObject Type="Embed" ProgID="Equation.3" ShapeID="_x0000_i1034" DrawAspect="Content" ObjectID="_1468075727" r:id="rId20">
                  <o:LockedField>false</o:LockedField>
                </o:OLEObject>
              </w:object>
            </w:r>
            <w:r>
              <w:rPr>
                <w:rFonts w:hint="default" w:ascii="Times New Roman" w:hAnsi="Times New Roman" w:cs="Times New Roman"/>
                <w:color w:val="000000" w:themeColor="text1"/>
                <w:sz w:val="24"/>
                <w:szCs w:val="24"/>
              </w:rPr>
              <w:t>——参考位置</w:t>
            </w:r>
            <w:r>
              <w:rPr>
                <w:rFonts w:hint="default" w:ascii="Times New Roman" w:hAnsi="Times New Roman" w:cs="Times New Roman"/>
                <w:color w:val="000000" w:themeColor="text1"/>
                <w:sz w:val="24"/>
                <w:szCs w:val="24"/>
              </w:rPr>
              <w:object>
                <v:shape id="_x0000_i1035" o:spt="75" type="#_x0000_t75" style="height:18.4pt;width:10.9pt;" o:ole="t" filled="f" o:preferrelative="t" stroked="f" coordsize="21600,21600">
                  <v:path/>
                  <v:fill on="f" focussize="0,0"/>
                  <v:stroke on="f" joinstyle="miter"/>
                  <v:imagedata r:id="rId23" o:title=""/>
                  <o:lock v:ext="edit" aspectratio="t"/>
                  <w10:wrap type="none"/>
                  <w10:anchorlock/>
                </v:shape>
                <o:OLEObject Type="Embed" ProgID="Equation.3" ShapeID="_x0000_i1035" DrawAspect="Content" ObjectID="_1468075728" r:id="rId22">
                  <o:LockedField>false</o:LockedField>
                </o:OLEObject>
              </w:object>
            </w:r>
            <w:r>
              <w:rPr>
                <w:rFonts w:hint="default" w:ascii="Times New Roman" w:hAnsi="Times New Roman" w:cs="Times New Roman"/>
                <w:color w:val="000000" w:themeColor="text1"/>
                <w:sz w:val="24"/>
                <w:szCs w:val="24"/>
              </w:rPr>
              <w:t>处的声压级，dB；</w:t>
            </w:r>
          </w:p>
          <w:p w14:paraId="3DFF1C84">
            <w:pPr>
              <w:adjustRightInd w:val="0"/>
              <w:snapToGrid w:val="0"/>
              <w:spacing w:line="360" w:lineRule="auto"/>
              <w:ind w:firstLine="1200" w:firstLineChars="50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object>
                <v:shape id="_x0000_i1036" o:spt="75" type="#_x0000_t75" style="height:18.4pt;width:18.4pt;" o:ole="t" filled="f" o:preferrelative="t" stroked="f" coordsize="21600,21600">
                  <v:path/>
                  <v:fill on="f" focussize="0,0"/>
                  <v:stroke on="f" joinstyle="miter"/>
                  <v:imagedata r:id="rId25" o:title=""/>
                  <o:lock v:ext="edit" aspectratio="t"/>
                  <w10:wrap type="none"/>
                  <w10:anchorlock/>
                </v:shape>
                <o:OLEObject Type="Embed" ProgID="Equation.3" ShapeID="_x0000_i1036" DrawAspect="Content" ObjectID="_1468075729" r:id="rId24">
                  <o:LockedField>false</o:LockedField>
                </o:OLEObject>
              </w:object>
            </w:r>
            <w:r>
              <w:rPr>
                <w:rFonts w:hint="default" w:ascii="Times New Roman" w:hAnsi="Times New Roman" w:cs="Times New Roman"/>
                <w:color w:val="000000" w:themeColor="text1"/>
                <w:sz w:val="24"/>
                <w:szCs w:val="24"/>
              </w:rPr>
              <w:t>——指向性校正，它描述点声源的等效连续声压级与产生声功率级</w:t>
            </w:r>
            <w:r>
              <w:rPr>
                <w:rFonts w:hint="default" w:ascii="Times New Roman" w:hAnsi="Times New Roman" w:cs="Times New Roman"/>
                <w:color w:val="000000" w:themeColor="text1"/>
                <w:sz w:val="24"/>
                <w:szCs w:val="24"/>
              </w:rPr>
              <w:object>
                <v:shape id="_x0000_i1037" o:spt="75" type="#_x0000_t75" style="height:18.4pt;width:15.05pt;" o:ole="t" filled="f" o:preferrelative="t" stroked="f" coordsize="21600,21600">
                  <v:path/>
                  <v:fill on="f" focussize="0,0"/>
                  <v:stroke on="f" joinstyle="miter"/>
                  <v:imagedata r:id="rId27" o:title=""/>
                  <o:lock v:ext="edit" aspectratio="t"/>
                  <w10:wrap type="none"/>
                  <w10:anchorlock/>
                </v:shape>
                <o:OLEObject Type="Embed" ProgID="Equation.3" ShapeID="_x0000_i1037" DrawAspect="Content" ObjectID="_1468075730" r:id="rId26">
                  <o:LockedField>false</o:LockedField>
                </o:OLEObject>
              </w:object>
            </w:r>
            <w:r>
              <w:rPr>
                <w:rFonts w:hint="default" w:ascii="Times New Roman" w:hAnsi="Times New Roman" w:cs="Times New Roman"/>
                <w:color w:val="000000" w:themeColor="text1"/>
                <w:sz w:val="24"/>
                <w:szCs w:val="24"/>
              </w:rPr>
              <w:t>的全向点声源在规定方向的声级的偏差程度，dB；</w:t>
            </w:r>
          </w:p>
          <w:p w14:paraId="2EFA47B6">
            <w:pPr>
              <w:adjustRightInd w:val="0"/>
              <w:snapToGrid w:val="0"/>
              <w:spacing w:line="360" w:lineRule="auto"/>
              <w:ind w:firstLine="1200" w:firstLineChars="50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object>
                <v:shape id="_x0000_i1038" o:spt="75" type="#_x0000_t75" style="height:18.4pt;width:20.1pt;" o:ole="t" filled="f" o:preferrelative="t" stroked="f" coordsize="21600,21600">
                  <v:path/>
                  <v:fill on="f" focussize="0,0"/>
                  <v:stroke on="f" joinstyle="miter"/>
                  <v:imagedata r:id="rId29" o:title=""/>
                  <o:lock v:ext="edit" aspectratio="t"/>
                  <w10:wrap type="none"/>
                  <w10:anchorlock/>
                </v:shape>
                <o:OLEObject Type="Embed" ProgID="Equation.3" ShapeID="_x0000_i1038" DrawAspect="Content" ObjectID="_1468075731" r:id="rId28">
                  <o:LockedField>false</o:LockedField>
                </o:OLEObject>
              </w:object>
            </w:r>
            <w:r>
              <w:rPr>
                <w:rFonts w:hint="default" w:ascii="Times New Roman" w:hAnsi="Times New Roman" w:cs="Times New Roman"/>
                <w:color w:val="000000" w:themeColor="text1"/>
                <w:sz w:val="24"/>
                <w:szCs w:val="24"/>
              </w:rPr>
              <w:t>——几何发散引起的衰减，dB；</w:t>
            </w:r>
          </w:p>
          <w:p w14:paraId="0C6C2BF3">
            <w:pPr>
              <w:adjustRightInd w:val="0"/>
              <w:snapToGrid w:val="0"/>
              <w:spacing w:line="360" w:lineRule="auto"/>
              <w:ind w:firstLine="1200" w:firstLineChars="50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object>
                <v:shape id="_x0000_i1039" o:spt="75" type="#_x0000_t75" style="height:18.4pt;width:21.75pt;" o:ole="t" filled="f" o:preferrelative="t" stroked="f" coordsize="21600,21600">
                  <v:path/>
                  <v:fill on="f" focussize="0,0"/>
                  <v:stroke on="f" joinstyle="miter"/>
                  <v:imagedata r:id="rId31" o:title=""/>
                  <o:lock v:ext="edit" aspectratio="t"/>
                  <w10:wrap type="none"/>
                  <w10:anchorlock/>
                </v:shape>
                <o:OLEObject Type="Embed" ProgID="Equation.3" ShapeID="_x0000_i1039" DrawAspect="Content" ObjectID="_1468075732" r:id="rId30">
                  <o:LockedField>false</o:LockedField>
                </o:OLEObject>
              </w:object>
            </w:r>
            <w:r>
              <w:rPr>
                <w:rFonts w:hint="default" w:ascii="Times New Roman" w:hAnsi="Times New Roman" w:cs="Times New Roman"/>
                <w:color w:val="000000" w:themeColor="text1"/>
                <w:sz w:val="24"/>
                <w:szCs w:val="24"/>
              </w:rPr>
              <w:t>——大气吸收引起的衰减，dB；</w:t>
            </w:r>
          </w:p>
          <w:p w14:paraId="6264B313">
            <w:pPr>
              <w:adjustRightInd w:val="0"/>
              <w:snapToGrid w:val="0"/>
              <w:spacing w:line="360" w:lineRule="auto"/>
              <w:ind w:firstLine="1200" w:firstLineChars="50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object>
                <v:shape id="_x0000_i1040" o:spt="75" type="#_x0000_t75" style="height:18.4pt;width:18.4pt;" o:ole="t" filled="f" o:preferrelative="t" stroked="f" coordsize="21600,21600">
                  <v:path/>
                  <v:fill on="f" focussize="0,0"/>
                  <v:stroke on="f" joinstyle="miter"/>
                  <v:imagedata r:id="rId33" o:title=""/>
                  <o:lock v:ext="edit" aspectratio="t"/>
                  <w10:wrap type="none"/>
                  <w10:anchorlock/>
                </v:shape>
                <o:OLEObject Type="Embed" ProgID="Equation.3" ShapeID="_x0000_i1040" DrawAspect="Content" ObjectID="_1468075733" r:id="rId32">
                  <o:LockedField>false</o:LockedField>
                </o:OLEObject>
              </w:object>
            </w:r>
            <w:r>
              <w:rPr>
                <w:rFonts w:hint="default" w:ascii="Times New Roman" w:hAnsi="Times New Roman" w:cs="Times New Roman"/>
                <w:color w:val="000000" w:themeColor="text1"/>
                <w:sz w:val="24"/>
                <w:szCs w:val="24"/>
              </w:rPr>
              <w:t>——地面效应引起的衰减，dB；</w:t>
            </w:r>
          </w:p>
          <w:p w14:paraId="42857964">
            <w:pPr>
              <w:adjustRightInd w:val="0"/>
              <w:snapToGrid w:val="0"/>
              <w:spacing w:line="360" w:lineRule="auto"/>
              <w:ind w:firstLine="1200" w:firstLineChars="50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object>
                <v:shape id="_x0000_i1041" o:spt="75" type="#_x0000_t75" style="height:18.4pt;width:20.95pt;" o:ole="t" filled="f" o:preferrelative="t" stroked="f" coordsize="21600,21600">
                  <v:path/>
                  <v:fill on="f" focussize="0,0"/>
                  <v:stroke on="f" joinstyle="miter"/>
                  <v:imagedata r:id="rId35" o:title=""/>
                  <o:lock v:ext="edit" aspectratio="t"/>
                  <w10:wrap type="none"/>
                  <w10:anchorlock/>
                </v:shape>
                <o:OLEObject Type="Embed" ProgID="Equation.3" ShapeID="_x0000_i1041" DrawAspect="Content" ObjectID="_1468075734" r:id="rId34">
                  <o:LockedField>false</o:LockedField>
                </o:OLEObject>
              </w:object>
            </w:r>
            <w:r>
              <w:rPr>
                <w:rFonts w:hint="default" w:ascii="Times New Roman" w:hAnsi="Times New Roman" w:cs="Times New Roman"/>
                <w:color w:val="000000" w:themeColor="text1"/>
                <w:sz w:val="24"/>
                <w:szCs w:val="24"/>
              </w:rPr>
              <w:t>——障碍物屏障引起的衰减，dB；</w:t>
            </w:r>
          </w:p>
          <w:p w14:paraId="66FB2125">
            <w:pPr>
              <w:adjustRightInd w:val="0"/>
              <w:snapToGrid w:val="0"/>
              <w:spacing w:line="360" w:lineRule="auto"/>
              <w:ind w:firstLine="1200" w:firstLineChars="50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object>
                <v:shape id="_x0000_i1042" o:spt="75" type="#_x0000_t75" style="height:18.4pt;width:24.3pt;" o:ole="t" filled="f" o:preferrelative="t" stroked="f" coordsize="21600,21600">
                  <v:path/>
                  <v:fill on="f" focussize="0,0"/>
                  <v:stroke on="f" joinstyle="miter"/>
                  <v:imagedata r:id="rId37" o:title=""/>
                  <o:lock v:ext="edit" aspectratio="t"/>
                  <w10:wrap type="none"/>
                  <w10:anchorlock/>
                </v:shape>
                <o:OLEObject Type="Embed" ProgID="Equation.3" ShapeID="_x0000_i1042" DrawAspect="Content" ObjectID="_1468075735" r:id="rId36">
                  <o:LockedField>false</o:LockedField>
                </o:OLEObject>
              </w:object>
            </w:r>
            <w:r>
              <w:rPr>
                <w:rFonts w:hint="default" w:ascii="Times New Roman" w:hAnsi="Times New Roman" w:cs="Times New Roman"/>
                <w:color w:val="000000" w:themeColor="text1"/>
                <w:sz w:val="24"/>
                <w:szCs w:val="24"/>
              </w:rPr>
              <w:t>——其他多方面效应引起的衰减，dB。</w:t>
            </w:r>
          </w:p>
          <w:p w14:paraId="7362F7C5">
            <w:pPr>
              <w:adjustRightInd w:val="0"/>
              <w:snapToGrid w:val="0"/>
              <w:spacing w:line="360" w:lineRule="auto"/>
              <w:ind w:firstLine="480" w:firstLineChars="20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为保守起见，本次预测仅考虑点声源几何发散衰减，无指向性点声源几何发散衰减的基本公式如下：</w:t>
            </w:r>
          </w:p>
          <w:p w14:paraId="50073718">
            <w:pPr>
              <w:adjustRightInd w:val="0"/>
              <w:snapToGrid w:val="0"/>
              <w:spacing w:line="360" w:lineRule="auto"/>
              <w:ind w:firstLine="480" w:firstLineChars="200"/>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pict>
                <v:shape id="_x0000_i1043" o:spt="75" type="#_x0000_t75" style="height:42.75pt;width:154.5pt;" filled="f" o:preferrelative="t" stroked="f" coordsize="21600,21600">
                  <v:path/>
                  <v:fill on="f" focussize="0,0"/>
                  <v:stroke on="f"/>
                  <v:imagedata r:id="rId38" o:title=""/>
                  <o:lock v:ext="edit" aspectratio="t"/>
                  <w10:wrap type="none"/>
                  <w10:anchorlock/>
                </v:shape>
              </w:pict>
            </w:r>
          </w:p>
          <w:p w14:paraId="2C37F6CD">
            <w:pPr>
              <w:adjustRightInd w:val="0"/>
              <w:snapToGrid w:val="0"/>
              <w:spacing w:line="360" w:lineRule="auto"/>
              <w:ind w:firstLine="480" w:firstLineChars="20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（2）室内声源</w:t>
            </w:r>
          </w:p>
          <w:p w14:paraId="56797DBB">
            <w:pPr>
              <w:adjustRightInd w:val="0"/>
              <w:snapToGrid w:val="0"/>
              <w:spacing w:line="360" w:lineRule="auto"/>
              <w:ind w:firstLine="480" w:firstLineChars="20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对室内噪声源采用等效室外声源声功率级法进行计算。设靠近开口处（或窗户）室内、室外某倍频带的声压级分别为Lp1和Lp2。若声源所在室内声场为近似扩散声场，则室外的倍频带声压级可按下式近似求出：</w:t>
            </w:r>
          </w:p>
          <w:p w14:paraId="29482E19">
            <w:pPr>
              <w:adjustRightInd w:val="0"/>
              <w:snapToGrid w:val="0"/>
              <w:spacing w:line="360" w:lineRule="auto"/>
              <w:ind w:firstLine="480" w:firstLineChars="200"/>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pict>
                <v:shape id="_x0000_i1044" o:spt="75" type="#_x0000_t75" style="height:26.25pt;width:130.5pt;" filled="f" o:preferrelative="t" stroked="f" coordsize="21600,21600">
                  <v:path/>
                  <v:fill on="f" focussize="0,0"/>
                  <v:stroke on="f"/>
                  <v:imagedata r:id="rId39" o:title=""/>
                  <o:lock v:ext="edit" aspectratio="t"/>
                  <w10:wrap type="none"/>
                  <w10:anchorlock/>
                </v:shape>
              </w:pict>
            </w:r>
          </w:p>
          <w:p w14:paraId="30EE2542">
            <w:pPr>
              <w:adjustRightInd w:val="0"/>
              <w:snapToGrid w:val="0"/>
              <w:spacing w:line="360" w:lineRule="auto"/>
              <w:ind w:firstLine="480" w:firstLineChars="20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式中：TL—隔墙（或窗户）倍频带的隔声量，dB(A)。</w:t>
            </w:r>
          </w:p>
          <w:p w14:paraId="01C9CB37">
            <w:pPr>
              <w:adjustRightInd w:val="0"/>
              <w:snapToGrid w:val="0"/>
              <w:spacing w:line="360" w:lineRule="auto"/>
              <w:ind w:firstLine="480" w:firstLineChars="200"/>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pict>
                <v:shape id="_x0000_i1045" o:spt="75" type="#_x0000_t75" style="height:123pt;width:246.75pt;" filled="f" o:preferrelative="t" stroked="f" coordsize="21600,21600">
                  <v:path/>
                  <v:fill on="f" focussize="0,0"/>
                  <v:stroke on="f"/>
                  <v:imagedata r:id="rId40" o:title=""/>
                  <o:lock v:ext="edit" aspectratio="t"/>
                  <w10:wrap type="none"/>
                  <w10:anchorlock/>
                </v:shape>
              </w:pict>
            </w:r>
          </w:p>
          <w:p w14:paraId="2D2C7BF0">
            <w:pPr>
              <w:adjustRightInd w:val="0"/>
              <w:snapToGrid w:val="0"/>
              <w:spacing w:line="360" w:lineRule="auto"/>
              <w:ind w:firstLine="480" w:firstLineChars="20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也可按照下式计算某一室内声源靠近围护结构处产生的倍频带声压级：</w:t>
            </w:r>
          </w:p>
          <w:p w14:paraId="0792D96F">
            <w:pPr>
              <w:adjustRightInd w:val="0"/>
              <w:snapToGrid w:val="0"/>
              <w:spacing w:line="360" w:lineRule="auto"/>
              <w:ind w:firstLine="480" w:firstLineChars="200"/>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pict>
                <v:shape id="_x0000_i1046" o:spt="75" type="#_x0000_t75" style="height:39pt;width:152.25pt;" filled="f" o:preferrelative="t" stroked="f" coordsize="21600,21600">
                  <v:path/>
                  <v:fill on="f" focussize="0,0"/>
                  <v:stroke on="f"/>
                  <v:imagedata r:id="rId41" o:title=""/>
                  <o:lock v:ext="edit" aspectratio="t"/>
                  <w10:wrap type="none"/>
                  <w10:anchorlock/>
                </v:shape>
              </w:pict>
            </w:r>
          </w:p>
          <w:p w14:paraId="5219DBE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color w:val="000000" w:themeColor="text1"/>
                <w:sz w:val="24"/>
                <w:szCs w:val="24"/>
                <w:lang w:eastAsia="zh-CN"/>
              </w:rPr>
            </w:pPr>
            <w:r>
              <w:rPr>
                <w:rFonts w:hint="default" w:ascii="Times New Roman" w:hAnsi="Times New Roman" w:cs="Times New Roman"/>
                <w:color w:val="000000" w:themeColor="text1"/>
                <w:sz w:val="24"/>
                <w:szCs w:val="24"/>
              </w:rPr>
              <w:t>式中：</w:t>
            </w:r>
            <w:r>
              <w:rPr>
                <w:rFonts w:hint="eastAsia" w:cs="Times New Roman"/>
                <w:i/>
                <w:iCs/>
                <w:color w:val="000000" w:themeColor="text1"/>
                <w:sz w:val="24"/>
                <w:szCs w:val="24"/>
                <w:lang w:val="en-US" w:eastAsia="zh-CN"/>
              </w:rPr>
              <w:t>L</w:t>
            </w:r>
            <w:r>
              <w:rPr>
                <w:rFonts w:hint="eastAsia" w:cs="Times New Roman"/>
                <w:i/>
                <w:iCs/>
                <w:color w:val="000000" w:themeColor="text1"/>
                <w:sz w:val="24"/>
                <w:szCs w:val="24"/>
                <w:vertAlign w:val="subscript"/>
                <w:lang w:val="en-US" w:eastAsia="zh-CN"/>
              </w:rPr>
              <w:t>P</w:t>
            </w:r>
            <w:r>
              <w:rPr>
                <w:rFonts w:hint="eastAsia" w:cs="Times New Roman"/>
                <w:i w:val="0"/>
                <w:iCs w:val="0"/>
                <w:color w:val="000000" w:themeColor="text1"/>
                <w:sz w:val="24"/>
                <w:szCs w:val="24"/>
                <w:vertAlign w:val="subscript"/>
                <w:lang w:val="en-US" w:eastAsia="zh-CN"/>
              </w:rPr>
              <w:t>1</w:t>
            </w:r>
            <w:r>
              <w:rPr>
                <w:rFonts w:hint="default" w:ascii="Times New Roman" w:hAnsi="Times New Roman" w:cs="Times New Roman"/>
                <w:color w:val="000000" w:themeColor="text1"/>
                <w:sz w:val="24"/>
                <w:szCs w:val="24"/>
              </w:rPr>
              <w:t>——靠近开口处(或窗户)室内某倍频带的声压级或A声级，dB</w:t>
            </w:r>
            <w:r>
              <w:rPr>
                <w:rFonts w:hint="eastAsia" w:ascii="Times New Roman" w:hAnsi="Times New Roman" w:cs="Times New Roman"/>
                <w:color w:val="000000" w:themeColor="text1"/>
                <w:sz w:val="24"/>
                <w:szCs w:val="24"/>
                <w:lang w:eastAsia="zh-CN"/>
              </w:rPr>
              <w:t>；</w:t>
            </w:r>
          </w:p>
          <w:p w14:paraId="013A9C92">
            <w:pPr>
              <w:pStyle w:val="7"/>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color w:val="000000" w:themeColor="text1"/>
                <w:lang w:val="en-US" w:eastAsia="zh-CN"/>
              </w:rPr>
            </w:pPr>
            <w:r>
              <w:rPr>
                <w:rFonts w:hint="eastAsia" w:ascii="Times New Roman" w:hAnsi="Times New Roman" w:cs="Times New Roman"/>
                <w:color w:val="000000" w:themeColor="text1"/>
                <w:sz w:val="24"/>
                <w:szCs w:val="24"/>
                <w:lang w:val="en-US" w:eastAsia="zh-CN"/>
              </w:rPr>
              <w:t xml:space="preserve">   </w:t>
            </w:r>
            <w:r>
              <w:rPr>
                <w:rFonts w:hint="eastAsia" w:cs="Times New Roman"/>
                <w:i/>
                <w:iCs/>
                <w:color w:val="000000" w:themeColor="text1"/>
                <w:sz w:val="24"/>
                <w:szCs w:val="24"/>
                <w:lang w:val="en-US" w:eastAsia="zh-CN"/>
              </w:rPr>
              <w:t>L</w:t>
            </w:r>
            <w:r>
              <w:rPr>
                <w:rFonts w:hint="eastAsia" w:cs="Times New Roman"/>
                <w:i/>
                <w:iCs/>
                <w:color w:val="000000" w:themeColor="text1"/>
                <w:sz w:val="24"/>
                <w:szCs w:val="24"/>
                <w:vertAlign w:val="subscript"/>
                <w:lang w:val="en-US" w:eastAsia="zh-CN"/>
              </w:rPr>
              <w:t>w</w:t>
            </w:r>
            <w:r>
              <w:rPr>
                <w:rFonts w:hint="default" w:ascii="Times New Roman" w:hAnsi="Times New Roman" w:cs="Times New Roman"/>
                <w:color w:val="000000" w:themeColor="text1"/>
                <w:sz w:val="24"/>
                <w:szCs w:val="24"/>
              </w:rPr>
              <w:t>——点声源声功率级(A计权或倍频带)，dB;</w:t>
            </w:r>
          </w:p>
          <w:p w14:paraId="67DB6EAB">
            <w:pPr>
              <w:adjustRightInd w:val="0"/>
              <w:snapToGrid w:val="0"/>
              <w:spacing w:line="360" w:lineRule="auto"/>
              <w:ind w:firstLine="1200" w:firstLineChars="50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Q——指向性因数；通常对无指向性声源，当声源放在房间中心时，Q=1；当入在一面墙的中心时，Q=2；当放在两面墙夹角处时，Q=4；当放在三面墙夹角处时，Q=8；</w:t>
            </w:r>
          </w:p>
          <w:p w14:paraId="0A23C7D9">
            <w:pPr>
              <w:adjustRightInd w:val="0"/>
              <w:snapToGrid w:val="0"/>
              <w:spacing w:line="360" w:lineRule="auto"/>
              <w:ind w:firstLine="1200" w:firstLineChars="50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R——房间常数；R=Sα/(1−α)，S为房间内表面面积，m2；α为平均吸声系数；</w:t>
            </w:r>
          </w:p>
          <w:p w14:paraId="78BE54A8">
            <w:pPr>
              <w:adjustRightInd w:val="0"/>
              <w:snapToGrid w:val="0"/>
              <w:spacing w:line="360" w:lineRule="auto"/>
              <w:ind w:firstLine="1200" w:firstLineChars="50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r——声源到靠近围护结构某点处的距离，m。</w:t>
            </w:r>
          </w:p>
          <w:p w14:paraId="2FE21153">
            <w:pPr>
              <w:adjustRightInd w:val="0"/>
              <w:snapToGrid w:val="0"/>
              <w:spacing w:line="360" w:lineRule="auto"/>
              <w:ind w:firstLine="480" w:firstLineChars="20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所有室内声源在围护结构处产生的i倍频带叠加声压级的计算：</w:t>
            </w:r>
          </w:p>
          <w:p w14:paraId="2332FB5C">
            <w:pPr>
              <w:adjustRightInd w:val="0"/>
              <w:snapToGrid w:val="0"/>
              <w:spacing w:line="360" w:lineRule="auto"/>
              <w:ind w:firstLine="480" w:firstLineChars="200"/>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pict>
                <v:shape id="_x0000_i1047" o:spt="75" type="#_x0000_t75" style="height:40.5pt;width:144.75pt;" filled="f" o:preferrelative="t" stroked="f" coordsize="21600,21600">
                  <v:path/>
                  <v:fill on="f" focussize="0,0"/>
                  <v:stroke on="f"/>
                  <v:imagedata r:id="rId42" o:title=""/>
                  <o:lock v:ext="edit" aspectratio="t"/>
                  <w10:wrap type="none"/>
                  <w10:anchorlock/>
                </v:shape>
              </w:pict>
            </w:r>
          </w:p>
          <w:p w14:paraId="1CAA0419">
            <w:pPr>
              <w:adjustRightInd w:val="0"/>
              <w:snapToGrid w:val="0"/>
              <w:spacing w:line="360" w:lineRule="auto"/>
              <w:ind w:firstLine="480" w:firstLineChars="20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式中：L</w:t>
            </w:r>
            <w:r>
              <w:rPr>
                <w:rFonts w:hint="default" w:ascii="Times New Roman" w:hAnsi="Times New Roman" w:cs="Times New Roman"/>
                <w:color w:val="000000" w:themeColor="text1"/>
                <w:sz w:val="24"/>
                <w:szCs w:val="24"/>
                <w:vertAlign w:val="subscript"/>
              </w:rPr>
              <w:t>P1,i</w:t>
            </w:r>
            <w:r>
              <w:rPr>
                <w:rFonts w:hint="default" w:ascii="Times New Roman" w:hAnsi="Times New Roman" w:cs="Times New Roman"/>
                <w:color w:val="000000" w:themeColor="text1"/>
                <w:sz w:val="24"/>
                <w:szCs w:val="24"/>
              </w:rPr>
              <w:t>（T）——靠近围护结构处室内N个声源i倍频带的叠加声压级，dB；</w:t>
            </w:r>
          </w:p>
          <w:p w14:paraId="7F625C86">
            <w:pPr>
              <w:adjustRightInd w:val="0"/>
              <w:snapToGrid w:val="0"/>
              <w:spacing w:line="360" w:lineRule="auto"/>
              <w:ind w:firstLine="1200" w:firstLineChars="50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L</w:t>
            </w:r>
            <w:r>
              <w:rPr>
                <w:rFonts w:hint="default" w:ascii="Times New Roman" w:hAnsi="Times New Roman" w:cs="Times New Roman"/>
                <w:color w:val="000000" w:themeColor="text1"/>
                <w:sz w:val="24"/>
                <w:szCs w:val="24"/>
                <w:vertAlign w:val="subscript"/>
              </w:rPr>
              <w:t>P1,j</w:t>
            </w:r>
            <w:r>
              <w:rPr>
                <w:rFonts w:hint="default" w:ascii="Times New Roman" w:hAnsi="Times New Roman" w:cs="Times New Roman"/>
                <w:color w:val="000000" w:themeColor="text1"/>
                <w:sz w:val="24"/>
                <w:szCs w:val="24"/>
              </w:rPr>
              <w:t>——室内j声源i倍频带的声压级，dB；</w:t>
            </w:r>
          </w:p>
          <w:p w14:paraId="1763A5DF">
            <w:pPr>
              <w:adjustRightInd w:val="0"/>
              <w:snapToGrid w:val="0"/>
              <w:spacing w:line="360" w:lineRule="auto"/>
              <w:ind w:firstLine="1200" w:firstLineChars="50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N——室内声源总数；</w:t>
            </w:r>
          </w:p>
          <w:p w14:paraId="2DB7FD25">
            <w:pPr>
              <w:adjustRightInd w:val="0"/>
              <w:snapToGrid w:val="0"/>
              <w:spacing w:line="360" w:lineRule="auto"/>
              <w:ind w:firstLine="480" w:firstLineChars="20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在室内近似为扩散声场时，按下式计算出靠近室外围护结构处的声压级：</w:t>
            </w:r>
          </w:p>
          <w:p w14:paraId="6BEFA191">
            <w:pPr>
              <w:adjustRightInd w:val="0"/>
              <w:snapToGrid w:val="0"/>
              <w:spacing w:line="360" w:lineRule="auto"/>
              <w:ind w:firstLine="480" w:firstLineChars="200"/>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pict>
                <v:shape id="_x0000_i1048" o:spt="75" type="#_x0000_t75" style="height:25.5pt;width:159.75pt;" filled="f" o:preferrelative="t" stroked="f" coordsize="21600,21600">
                  <v:path/>
                  <v:fill on="f" focussize="0,0"/>
                  <v:stroke on="f"/>
                  <v:imagedata r:id="rId43" o:title=""/>
                  <o:lock v:ext="edit" aspectratio="t"/>
                  <w10:wrap type="none"/>
                  <w10:anchorlock/>
                </v:shape>
              </w:pict>
            </w:r>
          </w:p>
          <w:p w14:paraId="01D63632">
            <w:pPr>
              <w:adjustRightInd w:val="0"/>
              <w:snapToGrid w:val="0"/>
              <w:spacing w:line="360" w:lineRule="auto"/>
              <w:ind w:firstLine="480" w:firstLineChars="20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式中：L</w:t>
            </w:r>
            <w:r>
              <w:rPr>
                <w:rFonts w:hint="default" w:ascii="Times New Roman" w:hAnsi="Times New Roman" w:cs="Times New Roman"/>
                <w:color w:val="000000" w:themeColor="text1"/>
                <w:sz w:val="24"/>
                <w:szCs w:val="24"/>
                <w:vertAlign w:val="subscript"/>
              </w:rPr>
              <w:t>P2,i</w:t>
            </w:r>
            <w:r>
              <w:rPr>
                <w:rFonts w:hint="default" w:ascii="Times New Roman" w:hAnsi="Times New Roman" w:cs="Times New Roman"/>
                <w:color w:val="000000" w:themeColor="text1"/>
                <w:sz w:val="24"/>
                <w:szCs w:val="24"/>
              </w:rPr>
              <w:t>（T）——靠近围护结构处室外N个声源i倍频带的叠加声压级，dB；</w:t>
            </w:r>
          </w:p>
          <w:p w14:paraId="1E303735">
            <w:pPr>
              <w:adjustRightInd w:val="0"/>
              <w:snapToGrid w:val="0"/>
              <w:spacing w:line="360" w:lineRule="auto"/>
              <w:ind w:firstLine="1200" w:firstLineChars="50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T</w:t>
            </w:r>
            <w:r>
              <w:rPr>
                <w:rFonts w:hint="default" w:ascii="Times New Roman" w:hAnsi="Times New Roman" w:cs="Times New Roman"/>
                <w:color w:val="000000" w:themeColor="text1"/>
                <w:sz w:val="24"/>
                <w:szCs w:val="24"/>
                <w:vertAlign w:val="subscript"/>
              </w:rPr>
              <w:t>Li</w:t>
            </w:r>
            <w:r>
              <w:rPr>
                <w:rFonts w:hint="default" w:ascii="Times New Roman" w:hAnsi="Times New Roman" w:cs="Times New Roman"/>
                <w:color w:val="000000" w:themeColor="text1"/>
                <w:sz w:val="24"/>
                <w:szCs w:val="24"/>
              </w:rPr>
              <w:t>——围护结构i倍频带的隔声量，dB；</w:t>
            </w:r>
          </w:p>
          <w:p w14:paraId="3868F844">
            <w:pPr>
              <w:adjustRightInd w:val="0"/>
              <w:snapToGrid w:val="0"/>
              <w:spacing w:line="360" w:lineRule="auto"/>
              <w:ind w:firstLine="480" w:firstLineChars="20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将室外声源的声压级和透过面积换算成等效的室外声源，计算出中心位置于透声面积（S）处的等效声源的倍频带声功率级，见下式：</w:t>
            </w:r>
          </w:p>
          <w:p w14:paraId="4C3C5C31">
            <w:pPr>
              <w:adjustRightInd w:val="0"/>
              <w:snapToGrid w:val="0"/>
              <w:spacing w:line="360" w:lineRule="auto"/>
              <w:ind w:firstLine="480" w:firstLineChars="200"/>
              <w:jc w:val="cente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pict>
                <v:shape id="_x0000_i1049" o:spt="75" type="#_x0000_t75" style="height:20.25pt;width:127.5pt;" filled="f" o:preferrelative="t" stroked="f" coordsize="21600,21600">
                  <v:path/>
                  <v:fill on="f" focussize="0,0"/>
                  <v:stroke on="f"/>
                  <v:imagedata r:id="rId44" o:title=""/>
                  <o:lock v:ext="edit" aspectratio="t"/>
                  <w10:wrap type="none"/>
                  <w10:anchorlock/>
                </v:shape>
              </w:pict>
            </w:r>
          </w:p>
          <w:p w14:paraId="3869B1AB">
            <w:pPr>
              <w:adjustRightInd w:val="0"/>
              <w:snapToGrid w:val="0"/>
              <w:spacing w:line="360" w:lineRule="auto"/>
              <w:ind w:firstLine="480" w:firstLineChars="20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然后按室外声源预测方法计算预测点处的A声级。</w:t>
            </w:r>
          </w:p>
          <w:p w14:paraId="52E294AB">
            <w:pPr>
              <w:spacing w:line="360" w:lineRule="auto"/>
              <w:ind w:firstLine="420"/>
              <w:jc w:val="left"/>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在考虑采取设备噪声消声、隔声和距离衰减的情况下，项目厂界噪声影响预测结果如下表所示。</w:t>
            </w:r>
          </w:p>
          <w:p w14:paraId="55C98F4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bCs/>
                <w:color w:val="000000" w:themeColor="text1"/>
                <w:sz w:val="24"/>
                <w:szCs w:val="24"/>
              </w:rPr>
            </w:pPr>
            <w:r>
              <w:rPr>
                <w:rFonts w:hint="default" w:ascii="Times New Roman" w:hAnsi="Times New Roman" w:cs="Times New Roman"/>
                <w:b/>
                <w:bCs/>
                <w:color w:val="000000" w:themeColor="text1"/>
                <w:sz w:val="24"/>
                <w:szCs w:val="24"/>
              </w:rPr>
              <w:t>表</w:t>
            </w:r>
            <w:r>
              <w:rPr>
                <w:rFonts w:hint="default" w:ascii="Times New Roman" w:hAnsi="Times New Roman" w:cs="Times New Roman"/>
                <w:b/>
                <w:bCs/>
                <w:color w:val="000000" w:themeColor="text1"/>
                <w:sz w:val="24"/>
                <w:szCs w:val="24"/>
                <w:lang w:val="en-US" w:eastAsia="zh-CN"/>
              </w:rPr>
              <w:t>4-1</w:t>
            </w:r>
            <w:r>
              <w:rPr>
                <w:rFonts w:hint="eastAsia" w:ascii="Times New Roman" w:hAnsi="Times New Roman" w:cs="Times New Roman"/>
                <w:b/>
                <w:bCs/>
                <w:color w:val="000000" w:themeColor="text1"/>
                <w:sz w:val="24"/>
                <w:szCs w:val="24"/>
                <w:lang w:val="en-US" w:eastAsia="zh-CN"/>
              </w:rPr>
              <w:t>5</w:t>
            </w:r>
            <w:r>
              <w:rPr>
                <w:rFonts w:hint="default" w:ascii="Times New Roman" w:hAnsi="Times New Roman" w:cs="Times New Roman"/>
                <w:b/>
                <w:bCs/>
                <w:color w:val="000000" w:themeColor="text1"/>
                <w:sz w:val="24"/>
                <w:szCs w:val="24"/>
              </w:rPr>
              <w:t xml:space="preserve">  项目噪声影响预测结果  单位：dB（A）</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26"/>
              <w:gridCol w:w="2875"/>
              <w:gridCol w:w="1968"/>
              <w:gridCol w:w="2196"/>
            </w:tblGrid>
            <w:tr w14:paraId="1A32DA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984" w:type="pct"/>
                  <w:vMerge w:val="restart"/>
                  <w:noWrap w:val="0"/>
                  <w:tcMar>
                    <w:left w:w="0" w:type="dxa"/>
                    <w:right w:w="0" w:type="dxa"/>
                  </w:tcMar>
                  <w:vAlign w:val="center"/>
                </w:tcPr>
                <w:p w14:paraId="51BE6247">
                  <w:pPr>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位点</w:t>
                  </w:r>
                </w:p>
              </w:tc>
              <w:tc>
                <w:tcPr>
                  <w:tcW w:w="1639" w:type="pct"/>
                  <w:noWrap w:val="0"/>
                  <w:tcMar>
                    <w:left w:w="0" w:type="dxa"/>
                    <w:right w:w="0" w:type="dxa"/>
                  </w:tcMar>
                  <w:vAlign w:val="center"/>
                </w:tcPr>
                <w:p w14:paraId="1139A2D9">
                  <w:pPr>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贡献值</w:t>
                  </w:r>
                </w:p>
              </w:tc>
              <w:tc>
                <w:tcPr>
                  <w:tcW w:w="1122" w:type="pct"/>
                  <w:noWrap w:val="0"/>
                  <w:tcMar>
                    <w:left w:w="0" w:type="dxa"/>
                    <w:right w:w="0" w:type="dxa"/>
                  </w:tcMar>
                  <w:vAlign w:val="center"/>
                </w:tcPr>
                <w:p w14:paraId="4CCDDB63">
                  <w:pPr>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标准值</w:t>
                  </w:r>
                </w:p>
              </w:tc>
              <w:tc>
                <w:tcPr>
                  <w:tcW w:w="1252" w:type="pct"/>
                  <w:vMerge w:val="restart"/>
                  <w:noWrap w:val="0"/>
                  <w:tcMar>
                    <w:left w:w="0" w:type="dxa"/>
                    <w:right w:w="0" w:type="dxa"/>
                  </w:tcMar>
                  <w:vAlign w:val="center"/>
                </w:tcPr>
                <w:p w14:paraId="0CE94BE2">
                  <w:pPr>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评价结果</w:t>
                  </w:r>
                </w:p>
              </w:tc>
            </w:tr>
            <w:tr w14:paraId="53AA7D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984" w:type="pct"/>
                  <w:vMerge w:val="continue"/>
                  <w:noWrap w:val="0"/>
                  <w:tcMar>
                    <w:left w:w="0" w:type="dxa"/>
                    <w:right w:w="0" w:type="dxa"/>
                  </w:tcMar>
                  <w:vAlign w:val="center"/>
                </w:tcPr>
                <w:p w14:paraId="200F6F43">
                  <w:pPr>
                    <w:adjustRightInd w:val="0"/>
                    <w:snapToGrid w:val="0"/>
                    <w:jc w:val="center"/>
                    <w:rPr>
                      <w:rFonts w:hint="default" w:ascii="Times New Roman" w:hAnsi="Times New Roman" w:cs="Times New Roman"/>
                      <w:color w:val="000000" w:themeColor="text1"/>
                    </w:rPr>
                  </w:pPr>
                </w:p>
              </w:tc>
              <w:tc>
                <w:tcPr>
                  <w:tcW w:w="1639" w:type="pct"/>
                  <w:noWrap w:val="0"/>
                  <w:tcMar>
                    <w:left w:w="0" w:type="dxa"/>
                    <w:right w:w="0" w:type="dxa"/>
                  </w:tcMar>
                  <w:vAlign w:val="center"/>
                </w:tcPr>
                <w:p w14:paraId="57CF5846">
                  <w:pPr>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昼间</w:t>
                  </w:r>
                </w:p>
              </w:tc>
              <w:tc>
                <w:tcPr>
                  <w:tcW w:w="1122" w:type="pct"/>
                  <w:noWrap w:val="0"/>
                  <w:tcMar>
                    <w:left w:w="0" w:type="dxa"/>
                    <w:right w:w="0" w:type="dxa"/>
                  </w:tcMar>
                  <w:vAlign w:val="center"/>
                </w:tcPr>
                <w:p w14:paraId="7EE0AD2E">
                  <w:pPr>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昼间</w:t>
                  </w:r>
                </w:p>
              </w:tc>
              <w:tc>
                <w:tcPr>
                  <w:tcW w:w="1252" w:type="pct"/>
                  <w:vMerge w:val="continue"/>
                  <w:noWrap w:val="0"/>
                  <w:tcMar>
                    <w:left w:w="0" w:type="dxa"/>
                    <w:right w:w="0" w:type="dxa"/>
                  </w:tcMar>
                  <w:vAlign w:val="center"/>
                </w:tcPr>
                <w:p w14:paraId="10A50A26">
                  <w:pPr>
                    <w:adjustRightInd w:val="0"/>
                    <w:snapToGrid w:val="0"/>
                    <w:jc w:val="center"/>
                    <w:rPr>
                      <w:rFonts w:hint="default" w:ascii="Times New Roman" w:hAnsi="Times New Roman" w:cs="Times New Roman"/>
                      <w:color w:val="000000" w:themeColor="text1"/>
                    </w:rPr>
                  </w:pPr>
                </w:p>
              </w:tc>
            </w:tr>
            <w:tr w14:paraId="07D108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984" w:type="pct"/>
                  <w:noWrap w:val="0"/>
                  <w:tcMar>
                    <w:left w:w="0" w:type="dxa"/>
                    <w:right w:w="0" w:type="dxa"/>
                  </w:tcMar>
                  <w:vAlign w:val="center"/>
                </w:tcPr>
                <w:p w14:paraId="6BE407DD">
                  <w:pPr>
                    <w:pStyle w:val="153"/>
                    <w:adjustRightInd w:val="0"/>
                    <w:snapToGrid w:val="0"/>
                    <w:spacing w:line="240" w:lineRule="auto"/>
                    <w:rPr>
                      <w:rFonts w:hint="default" w:ascii="Times New Roman" w:hAnsi="Times New Roman" w:cs="Times New Roman"/>
                      <w:color w:val="000000" w:themeColor="text1"/>
                    </w:rPr>
                  </w:pPr>
                  <w:r>
                    <w:rPr>
                      <w:rFonts w:hint="default" w:ascii="Times New Roman" w:hAnsi="Times New Roman" w:cs="Times New Roman"/>
                      <w:color w:val="000000" w:themeColor="text1"/>
                    </w:rPr>
                    <w:t>东厂界</w:t>
                  </w:r>
                </w:p>
              </w:tc>
              <w:tc>
                <w:tcPr>
                  <w:tcW w:w="1639" w:type="pct"/>
                  <w:noWrap w:val="0"/>
                  <w:tcMar>
                    <w:left w:w="0" w:type="dxa"/>
                    <w:right w:w="0" w:type="dxa"/>
                  </w:tcMar>
                  <w:vAlign w:val="center"/>
                </w:tcPr>
                <w:p w14:paraId="77AA4AE9">
                  <w:pPr>
                    <w:keepNext w:val="0"/>
                    <w:keepLines w:val="0"/>
                    <w:widowControl/>
                    <w:suppressLineNumbers w:val="0"/>
                    <w:jc w:val="center"/>
                    <w:textAlignment w:val="bottom"/>
                    <w:rPr>
                      <w:rFonts w:hint="default" w:ascii="Times New Roman" w:hAnsi="Times New Roman" w:cs="Times New Roman"/>
                      <w:color w:val="000000" w:themeColor="text1"/>
                      <w:lang w:val="en-US" w:eastAsia="zh-CN"/>
                    </w:rPr>
                  </w:pPr>
                  <w:r>
                    <w:rPr>
                      <w:rFonts w:hint="eastAsia" w:cs="Times New Roman"/>
                      <w:color w:val="000000" w:themeColor="text1"/>
                      <w:lang w:val="en-US" w:eastAsia="zh-CN"/>
                    </w:rPr>
                    <w:t>33.9</w:t>
                  </w:r>
                </w:p>
              </w:tc>
              <w:tc>
                <w:tcPr>
                  <w:tcW w:w="1122" w:type="pct"/>
                  <w:noWrap w:val="0"/>
                  <w:tcMar>
                    <w:left w:w="0" w:type="dxa"/>
                    <w:right w:w="0" w:type="dxa"/>
                  </w:tcMar>
                  <w:vAlign w:val="center"/>
                </w:tcPr>
                <w:p w14:paraId="0843CE71">
                  <w:pPr>
                    <w:pStyle w:val="153"/>
                    <w:adjustRightInd w:val="0"/>
                    <w:snapToGrid w:val="0"/>
                    <w:spacing w:line="240" w:lineRule="auto"/>
                    <w:rPr>
                      <w:rFonts w:hint="default" w:ascii="Times New Roman" w:hAnsi="Times New Roman" w:cs="Times New Roman"/>
                      <w:color w:val="000000" w:themeColor="text1"/>
                    </w:rPr>
                  </w:pPr>
                  <w:r>
                    <w:rPr>
                      <w:rFonts w:hint="default" w:ascii="Times New Roman" w:hAnsi="Times New Roman" w:cs="Times New Roman"/>
                      <w:color w:val="000000" w:themeColor="text1"/>
                    </w:rPr>
                    <w:t>65</w:t>
                  </w:r>
                </w:p>
              </w:tc>
              <w:tc>
                <w:tcPr>
                  <w:tcW w:w="1252" w:type="pct"/>
                  <w:noWrap w:val="0"/>
                  <w:tcMar>
                    <w:left w:w="0" w:type="dxa"/>
                    <w:right w:w="0" w:type="dxa"/>
                  </w:tcMar>
                  <w:vAlign w:val="center"/>
                </w:tcPr>
                <w:p w14:paraId="14C8C3BB">
                  <w:pPr>
                    <w:pStyle w:val="153"/>
                    <w:adjustRightInd w:val="0"/>
                    <w:snapToGrid w:val="0"/>
                    <w:spacing w:line="240" w:lineRule="auto"/>
                    <w:rPr>
                      <w:rFonts w:hint="default" w:ascii="Times New Roman" w:hAnsi="Times New Roman" w:cs="Times New Roman"/>
                      <w:color w:val="000000" w:themeColor="text1"/>
                    </w:rPr>
                  </w:pPr>
                  <w:r>
                    <w:rPr>
                      <w:rFonts w:hint="default" w:ascii="Times New Roman" w:hAnsi="Times New Roman" w:cs="Times New Roman"/>
                      <w:color w:val="000000" w:themeColor="text1"/>
                    </w:rPr>
                    <w:t>达标</w:t>
                  </w:r>
                </w:p>
              </w:tc>
            </w:tr>
            <w:tr w14:paraId="3B7969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984" w:type="pct"/>
                  <w:noWrap w:val="0"/>
                  <w:tcMar>
                    <w:left w:w="0" w:type="dxa"/>
                    <w:right w:w="0" w:type="dxa"/>
                  </w:tcMar>
                  <w:vAlign w:val="center"/>
                </w:tcPr>
                <w:p w14:paraId="428DFF60">
                  <w:pPr>
                    <w:pStyle w:val="153"/>
                    <w:adjustRightInd w:val="0"/>
                    <w:snapToGrid w:val="0"/>
                    <w:spacing w:line="240" w:lineRule="auto"/>
                    <w:rPr>
                      <w:rFonts w:hint="default" w:ascii="Times New Roman" w:hAnsi="Times New Roman" w:cs="Times New Roman"/>
                      <w:color w:val="000000" w:themeColor="text1"/>
                    </w:rPr>
                  </w:pPr>
                  <w:r>
                    <w:rPr>
                      <w:rFonts w:hint="default" w:ascii="Times New Roman" w:hAnsi="Times New Roman" w:cs="Times New Roman"/>
                      <w:color w:val="000000" w:themeColor="text1"/>
                    </w:rPr>
                    <w:t>南厂界</w:t>
                  </w:r>
                </w:p>
              </w:tc>
              <w:tc>
                <w:tcPr>
                  <w:tcW w:w="1639" w:type="pct"/>
                  <w:noWrap w:val="0"/>
                  <w:tcMar>
                    <w:left w:w="0" w:type="dxa"/>
                    <w:right w:w="0" w:type="dxa"/>
                  </w:tcMar>
                  <w:vAlign w:val="center"/>
                </w:tcPr>
                <w:p w14:paraId="3B0D58A0">
                  <w:pPr>
                    <w:keepNext w:val="0"/>
                    <w:keepLines w:val="0"/>
                    <w:widowControl/>
                    <w:suppressLineNumbers w:val="0"/>
                    <w:jc w:val="center"/>
                    <w:textAlignment w:val="bottom"/>
                    <w:rPr>
                      <w:rFonts w:hint="default" w:ascii="Times New Roman" w:hAnsi="Times New Roman" w:cs="Times New Roman"/>
                      <w:color w:val="000000" w:themeColor="text1"/>
                      <w:lang w:val="en-US" w:eastAsia="zh-CN"/>
                    </w:rPr>
                  </w:pPr>
                  <w:r>
                    <w:rPr>
                      <w:rFonts w:hint="eastAsia" w:cs="Times New Roman"/>
                      <w:color w:val="000000" w:themeColor="text1"/>
                      <w:lang w:val="en-US" w:eastAsia="zh-CN"/>
                    </w:rPr>
                    <w:t>51.6</w:t>
                  </w:r>
                </w:p>
              </w:tc>
              <w:tc>
                <w:tcPr>
                  <w:tcW w:w="1122" w:type="pct"/>
                  <w:noWrap w:val="0"/>
                  <w:tcMar>
                    <w:left w:w="0" w:type="dxa"/>
                    <w:right w:w="0" w:type="dxa"/>
                  </w:tcMar>
                  <w:vAlign w:val="center"/>
                </w:tcPr>
                <w:p w14:paraId="095F463F">
                  <w:pPr>
                    <w:pStyle w:val="153"/>
                    <w:adjustRightInd w:val="0"/>
                    <w:snapToGrid w:val="0"/>
                    <w:spacing w:line="240" w:lineRule="auto"/>
                    <w:rPr>
                      <w:rFonts w:hint="default" w:ascii="Times New Roman" w:hAnsi="Times New Roman" w:cs="Times New Roman"/>
                      <w:color w:val="000000" w:themeColor="text1"/>
                      <w:lang w:val="en-US" w:eastAsia="zh-CN"/>
                    </w:rPr>
                  </w:pPr>
                  <w:r>
                    <w:rPr>
                      <w:rFonts w:hint="eastAsia" w:ascii="Times New Roman" w:hAnsi="Times New Roman" w:cs="Times New Roman"/>
                      <w:color w:val="000000" w:themeColor="text1"/>
                      <w:lang w:val="en-US" w:eastAsia="zh-CN"/>
                    </w:rPr>
                    <w:t>65</w:t>
                  </w:r>
                </w:p>
              </w:tc>
              <w:tc>
                <w:tcPr>
                  <w:tcW w:w="1252" w:type="pct"/>
                  <w:noWrap w:val="0"/>
                  <w:tcMar>
                    <w:left w:w="0" w:type="dxa"/>
                    <w:right w:w="0" w:type="dxa"/>
                  </w:tcMar>
                  <w:vAlign w:val="center"/>
                </w:tcPr>
                <w:p w14:paraId="63A4F7DE">
                  <w:pPr>
                    <w:pStyle w:val="153"/>
                    <w:adjustRightInd w:val="0"/>
                    <w:snapToGrid w:val="0"/>
                    <w:spacing w:line="240" w:lineRule="auto"/>
                    <w:rPr>
                      <w:rFonts w:hint="default" w:ascii="Times New Roman" w:hAnsi="Times New Roman" w:cs="Times New Roman"/>
                      <w:color w:val="000000" w:themeColor="text1"/>
                    </w:rPr>
                  </w:pPr>
                  <w:r>
                    <w:rPr>
                      <w:rFonts w:hint="default" w:ascii="Times New Roman" w:hAnsi="Times New Roman" w:cs="Times New Roman"/>
                      <w:color w:val="000000" w:themeColor="text1"/>
                    </w:rPr>
                    <w:t>达标</w:t>
                  </w:r>
                </w:p>
              </w:tc>
            </w:tr>
            <w:tr w14:paraId="153A2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984" w:type="pct"/>
                  <w:noWrap w:val="0"/>
                  <w:tcMar>
                    <w:left w:w="0" w:type="dxa"/>
                    <w:right w:w="0" w:type="dxa"/>
                  </w:tcMar>
                  <w:vAlign w:val="center"/>
                </w:tcPr>
                <w:p w14:paraId="30960F97">
                  <w:pPr>
                    <w:pStyle w:val="153"/>
                    <w:adjustRightInd w:val="0"/>
                    <w:snapToGrid w:val="0"/>
                    <w:spacing w:line="240" w:lineRule="auto"/>
                    <w:rPr>
                      <w:rFonts w:hint="default" w:ascii="Times New Roman" w:hAnsi="Times New Roman" w:cs="Times New Roman"/>
                      <w:color w:val="000000" w:themeColor="text1"/>
                    </w:rPr>
                  </w:pPr>
                  <w:r>
                    <w:rPr>
                      <w:rFonts w:hint="default" w:ascii="Times New Roman" w:hAnsi="Times New Roman" w:cs="Times New Roman"/>
                      <w:color w:val="000000" w:themeColor="text1"/>
                    </w:rPr>
                    <w:t>西厂界</w:t>
                  </w:r>
                </w:p>
              </w:tc>
              <w:tc>
                <w:tcPr>
                  <w:tcW w:w="1639" w:type="pct"/>
                  <w:noWrap w:val="0"/>
                  <w:tcMar>
                    <w:left w:w="0" w:type="dxa"/>
                    <w:right w:w="0" w:type="dxa"/>
                  </w:tcMar>
                  <w:vAlign w:val="center"/>
                </w:tcPr>
                <w:p w14:paraId="5E547F01">
                  <w:pPr>
                    <w:keepNext w:val="0"/>
                    <w:keepLines w:val="0"/>
                    <w:widowControl/>
                    <w:suppressLineNumbers w:val="0"/>
                    <w:jc w:val="center"/>
                    <w:textAlignment w:val="bottom"/>
                    <w:rPr>
                      <w:rFonts w:hint="default" w:ascii="Times New Roman" w:hAnsi="Times New Roman" w:cs="Times New Roman"/>
                      <w:color w:val="000000" w:themeColor="text1"/>
                      <w:lang w:val="en-US" w:eastAsia="zh-CN"/>
                    </w:rPr>
                  </w:pPr>
                  <w:r>
                    <w:rPr>
                      <w:rFonts w:hint="eastAsia" w:cs="Times New Roman"/>
                      <w:color w:val="000000" w:themeColor="text1"/>
                      <w:lang w:val="en-US" w:eastAsia="zh-CN"/>
                    </w:rPr>
                    <w:t>48.7</w:t>
                  </w:r>
                </w:p>
              </w:tc>
              <w:tc>
                <w:tcPr>
                  <w:tcW w:w="1122" w:type="pct"/>
                  <w:noWrap w:val="0"/>
                  <w:tcMar>
                    <w:left w:w="0" w:type="dxa"/>
                    <w:right w:w="0" w:type="dxa"/>
                  </w:tcMar>
                  <w:vAlign w:val="center"/>
                </w:tcPr>
                <w:p w14:paraId="023679AF">
                  <w:pPr>
                    <w:pStyle w:val="153"/>
                    <w:adjustRightInd w:val="0"/>
                    <w:snapToGrid w:val="0"/>
                    <w:spacing w:line="240" w:lineRule="auto"/>
                    <w:rPr>
                      <w:rFonts w:hint="default" w:ascii="Times New Roman" w:hAnsi="Times New Roman" w:cs="Times New Roman"/>
                      <w:color w:val="000000" w:themeColor="text1"/>
                    </w:rPr>
                  </w:pPr>
                  <w:r>
                    <w:rPr>
                      <w:rFonts w:hint="default" w:ascii="Times New Roman" w:hAnsi="Times New Roman" w:cs="Times New Roman"/>
                      <w:color w:val="000000" w:themeColor="text1"/>
                    </w:rPr>
                    <w:t>65</w:t>
                  </w:r>
                </w:p>
              </w:tc>
              <w:tc>
                <w:tcPr>
                  <w:tcW w:w="1252" w:type="pct"/>
                  <w:noWrap w:val="0"/>
                  <w:tcMar>
                    <w:left w:w="0" w:type="dxa"/>
                    <w:right w:w="0" w:type="dxa"/>
                  </w:tcMar>
                  <w:vAlign w:val="center"/>
                </w:tcPr>
                <w:p w14:paraId="031AEA54">
                  <w:pPr>
                    <w:pStyle w:val="153"/>
                    <w:adjustRightInd w:val="0"/>
                    <w:snapToGrid w:val="0"/>
                    <w:spacing w:line="240" w:lineRule="auto"/>
                    <w:rPr>
                      <w:rFonts w:hint="default" w:ascii="Times New Roman" w:hAnsi="Times New Roman" w:cs="Times New Roman"/>
                      <w:color w:val="000000" w:themeColor="text1"/>
                    </w:rPr>
                  </w:pPr>
                  <w:r>
                    <w:rPr>
                      <w:rFonts w:hint="default" w:ascii="Times New Roman" w:hAnsi="Times New Roman" w:cs="Times New Roman"/>
                      <w:color w:val="000000" w:themeColor="text1"/>
                    </w:rPr>
                    <w:t>达标</w:t>
                  </w:r>
                </w:p>
              </w:tc>
            </w:tr>
            <w:tr w14:paraId="09AAF3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984" w:type="pct"/>
                  <w:noWrap w:val="0"/>
                  <w:tcMar>
                    <w:left w:w="0" w:type="dxa"/>
                    <w:right w:w="0" w:type="dxa"/>
                  </w:tcMar>
                  <w:vAlign w:val="center"/>
                </w:tcPr>
                <w:p w14:paraId="64287C4E">
                  <w:pPr>
                    <w:pStyle w:val="153"/>
                    <w:adjustRightInd w:val="0"/>
                    <w:snapToGrid w:val="0"/>
                    <w:spacing w:line="240" w:lineRule="auto"/>
                    <w:rPr>
                      <w:rFonts w:hint="default" w:ascii="Times New Roman" w:hAnsi="Times New Roman" w:cs="Times New Roman"/>
                      <w:color w:val="000000" w:themeColor="text1"/>
                    </w:rPr>
                  </w:pPr>
                  <w:r>
                    <w:rPr>
                      <w:rFonts w:hint="default" w:ascii="Times New Roman" w:hAnsi="Times New Roman" w:cs="Times New Roman"/>
                      <w:color w:val="000000" w:themeColor="text1"/>
                    </w:rPr>
                    <w:t>北厂界</w:t>
                  </w:r>
                </w:p>
              </w:tc>
              <w:tc>
                <w:tcPr>
                  <w:tcW w:w="1639" w:type="pct"/>
                  <w:noWrap w:val="0"/>
                  <w:tcMar>
                    <w:left w:w="0" w:type="dxa"/>
                    <w:right w:w="0" w:type="dxa"/>
                  </w:tcMar>
                  <w:vAlign w:val="center"/>
                </w:tcPr>
                <w:p w14:paraId="6925AF6C">
                  <w:pPr>
                    <w:keepNext w:val="0"/>
                    <w:keepLines w:val="0"/>
                    <w:widowControl/>
                    <w:suppressLineNumbers w:val="0"/>
                    <w:jc w:val="center"/>
                    <w:textAlignment w:val="bottom"/>
                    <w:rPr>
                      <w:rFonts w:hint="default" w:ascii="Times New Roman" w:hAnsi="Times New Roman" w:cs="Times New Roman"/>
                      <w:color w:val="000000" w:themeColor="text1"/>
                      <w:lang w:val="en-US" w:eastAsia="zh-CN"/>
                    </w:rPr>
                  </w:pPr>
                  <w:r>
                    <w:rPr>
                      <w:rFonts w:hint="eastAsia" w:cs="Times New Roman"/>
                      <w:color w:val="000000" w:themeColor="text1"/>
                      <w:lang w:val="en-US" w:eastAsia="zh-CN"/>
                    </w:rPr>
                    <w:t>40.7</w:t>
                  </w:r>
                </w:p>
              </w:tc>
              <w:tc>
                <w:tcPr>
                  <w:tcW w:w="1122" w:type="pct"/>
                  <w:noWrap w:val="0"/>
                  <w:tcMar>
                    <w:left w:w="0" w:type="dxa"/>
                    <w:right w:w="0" w:type="dxa"/>
                  </w:tcMar>
                  <w:vAlign w:val="center"/>
                </w:tcPr>
                <w:p w14:paraId="13EF6C70">
                  <w:pPr>
                    <w:pStyle w:val="153"/>
                    <w:adjustRightInd w:val="0"/>
                    <w:snapToGrid w:val="0"/>
                    <w:spacing w:line="240" w:lineRule="auto"/>
                    <w:rPr>
                      <w:rFonts w:hint="default" w:ascii="Times New Roman" w:hAnsi="Times New Roman" w:cs="Times New Roman"/>
                      <w:color w:val="000000" w:themeColor="text1"/>
                    </w:rPr>
                  </w:pPr>
                  <w:r>
                    <w:rPr>
                      <w:rFonts w:hint="default" w:ascii="Times New Roman" w:hAnsi="Times New Roman" w:cs="Times New Roman"/>
                      <w:color w:val="000000" w:themeColor="text1"/>
                    </w:rPr>
                    <w:t>65</w:t>
                  </w:r>
                </w:p>
              </w:tc>
              <w:tc>
                <w:tcPr>
                  <w:tcW w:w="1252" w:type="pct"/>
                  <w:noWrap w:val="0"/>
                  <w:tcMar>
                    <w:left w:w="0" w:type="dxa"/>
                    <w:right w:w="0" w:type="dxa"/>
                  </w:tcMar>
                  <w:vAlign w:val="center"/>
                </w:tcPr>
                <w:p w14:paraId="0A7B35B1">
                  <w:pPr>
                    <w:pStyle w:val="153"/>
                    <w:adjustRightInd w:val="0"/>
                    <w:snapToGrid w:val="0"/>
                    <w:spacing w:line="240" w:lineRule="auto"/>
                    <w:rPr>
                      <w:rFonts w:hint="default" w:ascii="Times New Roman" w:hAnsi="Times New Roman" w:cs="Times New Roman"/>
                      <w:color w:val="000000" w:themeColor="text1"/>
                    </w:rPr>
                  </w:pPr>
                  <w:r>
                    <w:rPr>
                      <w:rFonts w:hint="default" w:ascii="Times New Roman" w:hAnsi="Times New Roman" w:cs="Times New Roman"/>
                      <w:color w:val="000000" w:themeColor="text1"/>
                    </w:rPr>
                    <w:t>达标</w:t>
                  </w:r>
                </w:p>
              </w:tc>
            </w:tr>
            <w:tr w14:paraId="51E4E2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984" w:type="pct"/>
                  <w:noWrap w:val="0"/>
                  <w:tcMar>
                    <w:left w:w="0" w:type="dxa"/>
                    <w:right w:w="0" w:type="dxa"/>
                  </w:tcMar>
                  <w:vAlign w:val="center"/>
                </w:tcPr>
                <w:p w14:paraId="5BAFCF53">
                  <w:pPr>
                    <w:pStyle w:val="153"/>
                    <w:adjustRightInd w:val="0"/>
                    <w:snapToGrid w:val="0"/>
                    <w:spacing w:line="240" w:lineRule="auto"/>
                    <w:rPr>
                      <w:rFonts w:hint="default" w:ascii="Times New Roman" w:hAnsi="Times New Roman" w:eastAsia="宋体" w:cs="Times New Roman"/>
                      <w:color w:val="000000" w:themeColor="text1"/>
                      <w:lang w:val="en-US" w:eastAsia="zh-CN"/>
                    </w:rPr>
                  </w:pPr>
                  <w:r>
                    <w:rPr>
                      <w:rFonts w:hint="eastAsia" w:cs="Times New Roman"/>
                      <w:color w:val="000000" w:themeColor="text1"/>
                      <w:lang w:val="en-US" w:eastAsia="zh-CN"/>
                    </w:rPr>
                    <w:t>谢庄</w:t>
                  </w:r>
                </w:p>
              </w:tc>
              <w:tc>
                <w:tcPr>
                  <w:tcW w:w="1639" w:type="pct"/>
                  <w:noWrap w:val="0"/>
                  <w:tcMar>
                    <w:left w:w="0" w:type="dxa"/>
                    <w:right w:w="0" w:type="dxa"/>
                  </w:tcMar>
                  <w:vAlign w:val="center"/>
                </w:tcPr>
                <w:p w14:paraId="788F0390">
                  <w:pPr>
                    <w:keepNext w:val="0"/>
                    <w:keepLines w:val="0"/>
                    <w:widowControl/>
                    <w:suppressLineNumbers w:val="0"/>
                    <w:jc w:val="center"/>
                    <w:textAlignment w:val="bottom"/>
                    <w:rPr>
                      <w:rFonts w:hint="default" w:cs="Times New Roman"/>
                      <w:color w:val="000000" w:themeColor="text1"/>
                      <w:lang w:val="en-US" w:eastAsia="zh-CN"/>
                    </w:rPr>
                  </w:pPr>
                  <w:r>
                    <w:rPr>
                      <w:rFonts w:hint="eastAsia" w:cs="Times New Roman"/>
                      <w:color w:val="000000" w:themeColor="text1"/>
                      <w:lang w:val="en-US" w:eastAsia="zh-CN"/>
                    </w:rPr>
                    <w:t>40.8</w:t>
                  </w:r>
                </w:p>
              </w:tc>
              <w:tc>
                <w:tcPr>
                  <w:tcW w:w="1122" w:type="pct"/>
                  <w:noWrap w:val="0"/>
                  <w:tcMar>
                    <w:left w:w="0" w:type="dxa"/>
                    <w:right w:w="0" w:type="dxa"/>
                  </w:tcMar>
                  <w:vAlign w:val="center"/>
                </w:tcPr>
                <w:p w14:paraId="14E79207">
                  <w:pPr>
                    <w:pStyle w:val="153"/>
                    <w:adjustRightInd w:val="0"/>
                    <w:snapToGrid w:val="0"/>
                    <w:spacing w:line="240" w:lineRule="auto"/>
                    <w:rPr>
                      <w:rFonts w:hint="default" w:ascii="Times New Roman" w:hAnsi="Times New Roman" w:eastAsia="宋体" w:cs="Times New Roman"/>
                      <w:color w:val="000000" w:themeColor="text1"/>
                      <w:lang w:val="en-US" w:eastAsia="zh-CN"/>
                    </w:rPr>
                  </w:pPr>
                  <w:r>
                    <w:rPr>
                      <w:rFonts w:hint="eastAsia" w:cs="Times New Roman"/>
                      <w:color w:val="000000" w:themeColor="text1"/>
                      <w:lang w:val="en-US" w:eastAsia="zh-CN"/>
                    </w:rPr>
                    <w:t>60</w:t>
                  </w:r>
                </w:p>
              </w:tc>
              <w:tc>
                <w:tcPr>
                  <w:tcW w:w="1252" w:type="pct"/>
                  <w:noWrap w:val="0"/>
                  <w:tcMar>
                    <w:left w:w="0" w:type="dxa"/>
                    <w:right w:w="0" w:type="dxa"/>
                  </w:tcMar>
                  <w:vAlign w:val="center"/>
                </w:tcPr>
                <w:p w14:paraId="0460A032">
                  <w:pPr>
                    <w:pStyle w:val="153"/>
                    <w:adjustRightInd w:val="0"/>
                    <w:snapToGrid w:val="0"/>
                    <w:spacing w:line="240" w:lineRule="auto"/>
                    <w:rPr>
                      <w:rFonts w:hint="default" w:ascii="Times New Roman" w:hAnsi="Times New Roman" w:cs="Times New Roman"/>
                      <w:color w:val="000000" w:themeColor="text1"/>
                    </w:rPr>
                  </w:pPr>
                  <w:r>
                    <w:rPr>
                      <w:rFonts w:hint="default" w:ascii="Times New Roman" w:hAnsi="Times New Roman" w:cs="Times New Roman"/>
                      <w:color w:val="000000" w:themeColor="text1"/>
                    </w:rPr>
                    <w:t>达标</w:t>
                  </w:r>
                </w:p>
              </w:tc>
            </w:tr>
          </w:tbl>
          <w:p w14:paraId="447BF716">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themeColor="text1"/>
                <w:sz w:val="24"/>
                <w:szCs w:val="24"/>
              </w:rPr>
            </w:pPr>
            <w:r>
              <w:rPr>
                <w:rFonts w:hint="eastAsia" w:cs="Times New Roman"/>
                <w:color w:val="000000" w:themeColor="text1"/>
                <w:sz w:val="24"/>
                <w:szCs w:val="24"/>
                <w:lang w:val="en-US" w:eastAsia="zh-CN"/>
              </w:rPr>
              <w:t>本项目夜间不生产，</w:t>
            </w:r>
            <w:r>
              <w:rPr>
                <w:rFonts w:hint="default" w:ascii="Times New Roman" w:hAnsi="Times New Roman" w:cs="Times New Roman"/>
                <w:color w:val="000000" w:themeColor="text1"/>
                <w:sz w:val="24"/>
                <w:szCs w:val="24"/>
              </w:rPr>
              <w:t>通过预测结果分析表明，经基础减震、房屋隔声、距离衰减后，厂界环境噪声符合《工业企业厂界环境噪声排放标准》(GB12348-2008)中</w:t>
            </w:r>
            <w:r>
              <w:rPr>
                <w:rFonts w:hint="default" w:ascii="Times New Roman" w:hAnsi="Times New Roman" w:cs="Times New Roman"/>
                <w:color w:val="000000" w:themeColor="text1"/>
                <w:sz w:val="24"/>
                <w:szCs w:val="24"/>
                <w:lang w:val="en-US" w:eastAsia="zh-CN"/>
              </w:rPr>
              <w:t>3</w:t>
            </w:r>
            <w:r>
              <w:rPr>
                <w:rFonts w:hint="default" w:ascii="Times New Roman" w:hAnsi="Times New Roman" w:cs="Times New Roman"/>
                <w:color w:val="000000" w:themeColor="text1"/>
                <w:sz w:val="24"/>
                <w:szCs w:val="24"/>
              </w:rPr>
              <w:t>类标准限值</w:t>
            </w:r>
            <w:r>
              <w:rPr>
                <w:rFonts w:hint="eastAsia" w:cs="Times New Roman"/>
                <w:color w:val="000000" w:themeColor="text1"/>
                <w:sz w:val="24"/>
                <w:szCs w:val="24"/>
                <w:lang w:eastAsia="zh-CN"/>
              </w:rPr>
              <w:t>，最近的声环境保护目标处可满足《声环境质量标准》(GB 3096-2008)中2类标准。</w:t>
            </w:r>
            <w:r>
              <w:rPr>
                <w:rFonts w:hint="default" w:ascii="Times New Roman" w:hAnsi="Times New Roman" w:cs="Times New Roman"/>
                <w:color w:val="000000" w:themeColor="text1"/>
                <w:sz w:val="24"/>
                <w:szCs w:val="24"/>
              </w:rPr>
              <w:t>。</w:t>
            </w:r>
          </w:p>
          <w:p w14:paraId="51E65EBB">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本项目对周围环境影响在可接受范围内，但为了将项目对周围环境的影响降到最低，本环评要求建设单位做到以下几点：</w:t>
            </w:r>
          </w:p>
          <w:p w14:paraId="7A1F2105">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1）合理控制运输车辆的车速，减轻运输车辆在启动及行驶过程发动机轰鸣噪声；强化行车管理制度，规范厂内行驶路线，设置降噪标准，严禁鸣笛，进入厂区低速行驶，最大限度减少流动噪声源；加强装卸料管理此外，运输车辆应避免在午休及夜间通过居民集中区、学校及其他敏感点路段，并在通过上述路段时应降低车速，禁止鸣笛；</w:t>
            </w:r>
          </w:p>
          <w:p w14:paraId="4A9E2F63">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2）建立设备定期维护，保养的管理制度，以防止设备故障形成的非正常生产噪声；加强职工环保意识教育，提倡文明生产；</w:t>
            </w:r>
          </w:p>
          <w:p w14:paraId="4185FEB6">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3）将设备添加隔声减振基座等设施，减小设备噪声。</w:t>
            </w:r>
          </w:p>
          <w:p w14:paraId="1DAFEFCB">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4）加强绿化。</w:t>
            </w:r>
          </w:p>
          <w:p w14:paraId="4D5AD417">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综上，本项目噪声对区域声环境影响较小。</w:t>
            </w:r>
          </w:p>
          <w:p w14:paraId="70D1B425">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根据《排污单位自行监测技术指南 总则》（HJ819-2017）中自行监测要求，本项目自行监测频次见下表。</w:t>
            </w:r>
          </w:p>
          <w:p w14:paraId="6F99DAD1">
            <w:pPr>
              <w:tabs>
                <w:tab w:val="left" w:pos="1215"/>
              </w:tabs>
              <w:adjustRightInd w:val="0"/>
              <w:snapToGrid w:val="0"/>
              <w:jc w:val="center"/>
              <w:rPr>
                <w:rFonts w:hint="default" w:ascii="Times New Roman" w:hAnsi="Times New Roman" w:cs="Times New Roman"/>
                <w:b/>
                <w:bCs/>
                <w:color w:val="000000" w:themeColor="text1"/>
                <w:sz w:val="24"/>
                <w:szCs w:val="24"/>
              </w:rPr>
            </w:pPr>
            <w:r>
              <w:rPr>
                <w:rFonts w:hint="default" w:ascii="Times New Roman" w:hAnsi="Times New Roman" w:cs="Times New Roman"/>
                <w:b/>
                <w:bCs/>
                <w:color w:val="000000" w:themeColor="text1"/>
                <w:sz w:val="24"/>
                <w:szCs w:val="24"/>
              </w:rPr>
              <w:t>表4-</w:t>
            </w:r>
            <w:r>
              <w:rPr>
                <w:rFonts w:hint="default" w:ascii="Times New Roman" w:hAnsi="Times New Roman" w:cs="Times New Roman"/>
                <w:b/>
                <w:bCs/>
                <w:color w:val="000000" w:themeColor="text1"/>
                <w:sz w:val="24"/>
                <w:szCs w:val="24"/>
                <w:lang w:val="en-US" w:eastAsia="zh-CN"/>
              </w:rPr>
              <w:t>1</w:t>
            </w:r>
            <w:r>
              <w:rPr>
                <w:rFonts w:hint="eastAsia" w:ascii="Times New Roman" w:hAnsi="Times New Roman" w:cs="Times New Roman"/>
                <w:b/>
                <w:bCs/>
                <w:color w:val="000000" w:themeColor="text1"/>
                <w:sz w:val="24"/>
                <w:szCs w:val="24"/>
                <w:lang w:val="en-US" w:eastAsia="zh-CN"/>
              </w:rPr>
              <w:t>6</w:t>
            </w:r>
            <w:r>
              <w:rPr>
                <w:rFonts w:hint="default" w:ascii="Times New Roman" w:hAnsi="Times New Roman" w:cs="Times New Roman"/>
                <w:b/>
                <w:bCs/>
                <w:color w:val="000000" w:themeColor="text1"/>
                <w:sz w:val="24"/>
                <w:szCs w:val="24"/>
                <w:lang w:val="en-US" w:eastAsia="zh-CN"/>
              </w:rPr>
              <w:t xml:space="preserve"> </w:t>
            </w:r>
            <w:r>
              <w:rPr>
                <w:rFonts w:hint="default" w:ascii="Times New Roman" w:hAnsi="Times New Roman" w:cs="Times New Roman"/>
                <w:b/>
                <w:bCs/>
                <w:color w:val="000000" w:themeColor="text1"/>
                <w:sz w:val="24"/>
                <w:szCs w:val="24"/>
              </w:rPr>
              <w:t xml:space="preserve"> 噪声监测计划</w:t>
            </w:r>
          </w:p>
          <w:tbl>
            <w:tblPr>
              <w:tblStyle w:val="34"/>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36"/>
              <w:gridCol w:w="3167"/>
              <w:gridCol w:w="2664"/>
            </w:tblGrid>
            <w:tr w14:paraId="3CE86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74" w:type="pct"/>
                  <w:tcBorders>
                    <w:top w:val="single" w:color="auto" w:sz="4" w:space="0"/>
                    <w:left w:val="single" w:color="auto" w:sz="4" w:space="0"/>
                    <w:bottom w:val="single" w:color="auto" w:sz="4" w:space="0"/>
                    <w:right w:val="single" w:color="auto" w:sz="4" w:space="0"/>
                  </w:tcBorders>
                  <w:noWrap w:val="0"/>
                  <w:vAlign w:val="center"/>
                </w:tcPr>
                <w:p w14:paraId="75F3DBE9">
                  <w:pPr>
                    <w:tabs>
                      <w:tab w:val="left" w:pos="1215"/>
                    </w:tabs>
                    <w:adjustRightInd w:val="0"/>
                    <w:snapToGrid w:val="0"/>
                    <w:spacing w:line="240" w:lineRule="auto"/>
                    <w:jc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监测点位</w:t>
                  </w:r>
                </w:p>
              </w:tc>
              <w:tc>
                <w:tcPr>
                  <w:tcW w:w="1806" w:type="pct"/>
                  <w:tcBorders>
                    <w:top w:val="single" w:color="auto" w:sz="4" w:space="0"/>
                    <w:left w:val="single" w:color="auto" w:sz="4" w:space="0"/>
                    <w:bottom w:val="single" w:color="auto" w:sz="4" w:space="0"/>
                    <w:right w:val="single" w:color="auto" w:sz="4" w:space="0"/>
                  </w:tcBorders>
                  <w:noWrap w:val="0"/>
                  <w:vAlign w:val="center"/>
                </w:tcPr>
                <w:p w14:paraId="5EB6F814">
                  <w:pPr>
                    <w:tabs>
                      <w:tab w:val="left" w:pos="1215"/>
                    </w:tabs>
                    <w:adjustRightInd w:val="0"/>
                    <w:snapToGrid w:val="0"/>
                    <w:spacing w:line="240" w:lineRule="auto"/>
                    <w:jc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监测指标</w:t>
                  </w:r>
                </w:p>
              </w:tc>
              <w:tc>
                <w:tcPr>
                  <w:tcW w:w="1519" w:type="pct"/>
                  <w:tcBorders>
                    <w:top w:val="single" w:color="auto" w:sz="4" w:space="0"/>
                    <w:left w:val="single" w:color="auto" w:sz="4" w:space="0"/>
                    <w:bottom w:val="single" w:color="auto" w:sz="4" w:space="0"/>
                    <w:right w:val="single" w:color="auto" w:sz="4" w:space="0"/>
                  </w:tcBorders>
                  <w:noWrap w:val="0"/>
                  <w:vAlign w:val="center"/>
                </w:tcPr>
                <w:p w14:paraId="3F22C3F2">
                  <w:pPr>
                    <w:tabs>
                      <w:tab w:val="left" w:pos="1215"/>
                    </w:tabs>
                    <w:adjustRightInd w:val="0"/>
                    <w:snapToGrid w:val="0"/>
                    <w:spacing w:line="240" w:lineRule="auto"/>
                    <w:jc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监测频次</w:t>
                  </w:r>
                </w:p>
              </w:tc>
            </w:tr>
            <w:tr w14:paraId="750080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74" w:type="pct"/>
                  <w:tcBorders>
                    <w:top w:val="single" w:color="auto" w:sz="4" w:space="0"/>
                    <w:left w:val="single" w:color="auto" w:sz="4" w:space="0"/>
                    <w:bottom w:val="single" w:color="auto" w:sz="4" w:space="0"/>
                    <w:right w:val="single" w:color="auto" w:sz="4" w:space="0"/>
                  </w:tcBorders>
                  <w:noWrap w:val="0"/>
                  <w:vAlign w:val="center"/>
                </w:tcPr>
                <w:p w14:paraId="31A9FD31">
                  <w:pPr>
                    <w:tabs>
                      <w:tab w:val="left" w:pos="1215"/>
                    </w:tabs>
                    <w:adjustRightInd w:val="0"/>
                    <w:snapToGrid w:val="0"/>
                    <w:spacing w:line="240" w:lineRule="auto"/>
                    <w:jc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东厂界外1m</w:t>
                  </w:r>
                </w:p>
              </w:tc>
              <w:tc>
                <w:tcPr>
                  <w:tcW w:w="1806" w:type="pct"/>
                  <w:tcBorders>
                    <w:top w:val="single" w:color="auto" w:sz="4" w:space="0"/>
                    <w:left w:val="single" w:color="auto" w:sz="4" w:space="0"/>
                    <w:bottom w:val="single" w:color="auto" w:sz="4" w:space="0"/>
                    <w:right w:val="single" w:color="auto" w:sz="4" w:space="0"/>
                  </w:tcBorders>
                  <w:noWrap w:val="0"/>
                  <w:vAlign w:val="center"/>
                </w:tcPr>
                <w:p w14:paraId="6D85118B">
                  <w:pPr>
                    <w:tabs>
                      <w:tab w:val="left" w:pos="1215"/>
                    </w:tabs>
                    <w:adjustRightInd w:val="0"/>
                    <w:snapToGrid w:val="0"/>
                    <w:spacing w:line="240" w:lineRule="auto"/>
                    <w:jc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等效连续A声级</w:t>
                  </w:r>
                </w:p>
              </w:tc>
              <w:tc>
                <w:tcPr>
                  <w:tcW w:w="1519" w:type="pct"/>
                  <w:tcBorders>
                    <w:top w:val="single" w:color="auto" w:sz="4" w:space="0"/>
                    <w:left w:val="single" w:color="auto" w:sz="4" w:space="0"/>
                    <w:bottom w:val="single" w:color="auto" w:sz="4" w:space="0"/>
                    <w:right w:val="single" w:color="auto" w:sz="4" w:space="0"/>
                  </w:tcBorders>
                  <w:noWrap w:val="0"/>
                  <w:vAlign w:val="center"/>
                </w:tcPr>
                <w:p w14:paraId="7F6DDD19">
                  <w:pPr>
                    <w:tabs>
                      <w:tab w:val="left" w:pos="1215"/>
                    </w:tabs>
                    <w:adjustRightInd w:val="0"/>
                    <w:snapToGrid w:val="0"/>
                    <w:spacing w:line="240" w:lineRule="auto"/>
                    <w:jc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一次/季度</w:t>
                  </w:r>
                </w:p>
              </w:tc>
            </w:tr>
            <w:tr w14:paraId="1622D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74" w:type="pct"/>
                  <w:tcBorders>
                    <w:top w:val="single" w:color="auto" w:sz="4" w:space="0"/>
                    <w:left w:val="single" w:color="auto" w:sz="4" w:space="0"/>
                    <w:bottom w:val="single" w:color="auto" w:sz="4" w:space="0"/>
                    <w:right w:val="single" w:color="auto" w:sz="4" w:space="0"/>
                  </w:tcBorders>
                  <w:noWrap w:val="0"/>
                  <w:vAlign w:val="center"/>
                </w:tcPr>
                <w:p w14:paraId="71D5D5A9">
                  <w:pPr>
                    <w:tabs>
                      <w:tab w:val="left" w:pos="1215"/>
                    </w:tabs>
                    <w:adjustRightInd w:val="0"/>
                    <w:snapToGrid w:val="0"/>
                    <w:spacing w:line="240" w:lineRule="auto"/>
                    <w:jc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南厂界外1m</w:t>
                  </w:r>
                </w:p>
              </w:tc>
              <w:tc>
                <w:tcPr>
                  <w:tcW w:w="1806" w:type="pct"/>
                  <w:tcBorders>
                    <w:top w:val="single" w:color="auto" w:sz="4" w:space="0"/>
                    <w:left w:val="single" w:color="auto" w:sz="4" w:space="0"/>
                    <w:bottom w:val="single" w:color="auto" w:sz="4" w:space="0"/>
                    <w:right w:val="single" w:color="auto" w:sz="4" w:space="0"/>
                  </w:tcBorders>
                  <w:noWrap w:val="0"/>
                  <w:vAlign w:val="center"/>
                </w:tcPr>
                <w:p w14:paraId="6F1EA41C">
                  <w:pPr>
                    <w:tabs>
                      <w:tab w:val="left" w:pos="1215"/>
                    </w:tabs>
                    <w:adjustRightInd w:val="0"/>
                    <w:snapToGrid w:val="0"/>
                    <w:spacing w:line="240" w:lineRule="auto"/>
                    <w:jc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等效连续A声级</w:t>
                  </w:r>
                </w:p>
              </w:tc>
              <w:tc>
                <w:tcPr>
                  <w:tcW w:w="1519" w:type="pct"/>
                  <w:tcBorders>
                    <w:top w:val="single" w:color="auto" w:sz="4" w:space="0"/>
                    <w:left w:val="single" w:color="auto" w:sz="4" w:space="0"/>
                    <w:bottom w:val="single" w:color="auto" w:sz="4" w:space="0"/>
                    <w:right w:val="single" w:color="auto" w:sz="4" w:space="0"/>
                  </w:tcBorders>
                  <w:noWrap w:val="0"/>
                  <w:vAlign w:val="center"/>
                </w:tcPr>
                <w:p w14:paraId="7B9BB90F">
                  <w:pPr>
                    <w:tabs>
                      <w:tab w:val="left" w:pos="1215"/>
                    </w:tabs>
                    <w:adjustRightInd w:val="0"/>
                    <w:snapToGrid w:val="0"/>
                    <w:spacing w:line="240" w:lineRule="auto"/>
                    <w:jc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一次/季度</w:t>
                  </w:r>
                </w:p>
              </w:tc>
            </w:tr>
            <w:tr w14:paraId="7059EF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74" w:type="pct"/>
                  <w:tcBorders>
                    <w:top w:val="single" w:color="auto" w:sz="4" w:space="0"/>
                    <w:left w:val="single" w:color="auto" w:sz="4" w:space="0"/>
                    <w:bottom w:val="single" w:color="auto" w:sz="4" w:space="0"/>
                    <w:right w:val="single" w:color="auto" w:sz="4" w:space="0"/>
                  </w:tcBorders>
                  <w:noWrap w:val="0"/>
                  <w:vAlign w:val="center"/>
                </w:tcPr>
                <w:p w14:paraId="520EEA26">
                  <w:pPr>
                    <w:tabs>
                      <w:tab w:val="left" w:pos="1215"/>
                    </w:tabs>
                    <w:adjustRightInd w:val="0"/>
                    <w:snapToGrid w:val="0"/>
                    <w:spacing w:line="240" w:lineRule="auto"/>
                    <w:jc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西厂界外1m</w:t>
                  </w:r>
                </w:p>
              </w:tc>
              <w:tc>
                <w:tcPr>
                  <w:tcW w:w="1806" w:type="pct"/>
                  <w:tcBorders>
                    <w:top w:val="single" w:color="auto" w:sz="4" w:space="0"/>
                    <w:left w:val="single" w:color="auto" w:sz="4" w:space="0"/>
                    <w:bottom w:val="single" w:color="auto" w:sz="4" w:space="0"/>
                    <w:right w:val="single" w:color="auto" w:sz="4" w:space="0"/>
                  </w:tcBorders>
                  <w:noWrap w:val="0"/>
                  <w:vAlign w:val="center"/>
                </w:tcPr>
                <w:p w14:paraId="7A87949F">
                  <w:pPr>
                    <w:tabs>
                      <w:tab w:val="left" w:pos="1215"/>
                    </w:tabs>
                    <w:adjustRightInd w:val="0"/>
                    <w:snapToGrid w:val="0"/>
                    <w:spacing w:line="240" w:lineRule="auto"/>
                    <w:jc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等效连续A声级</w:t>
                  </w:r>
                </w:p>
              </w:tc>
              <w:tc>
                <w:tcPr>
                  <w:tcW w:w="1519" w:type="pct"/>
                  <w:tcBorders>
                    <w:top w:val="single" w:color="auto" w:sz="4" w:space="0"/>
                    <w:left w:val="single" w:color="auto" w:sz="4" w:space="0"/>
                    <w:bottom w:val="single" w:color="auto" w:sz="4" w:space="0"/>
                    <w:right w:val="single" w:color="auto" w:sz="4" w:space="0"/>
                  </w:tcBorders>
                  <w:noWrap w:val="0"/>
                  <w:vAlign w:val="center"/>
                </w:tcPr>
                <w:p w14:paraId="059969F4">
                  <w:pPr>
                    <w:tabs>
                      <w:tab w:val="left" w:pos="1215"/>
                    </w:tabs>
                    <w:adjustRightInd w:val="0"/>
                    <w:snapToGrid w:val="0"/>
                    <w:spacing w:line="240" w:lineRule="auto"/>
                    <w:jc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一次/季度</w:t>
                  </w:r>
                </w:p>
              </w:tc>
            </w:tr>
            <w:tr w14:paraId="10A50E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74" w:type="pct"/>
                  <w:tcBorders>
                    <w:top w:val="single" w:color="auto" w:sz="4" w:space="0"/>
                    <w:left w:val="single" w:color="auto" w:sz="4" w:space="0"/>
                    <w:bottom w:val="single" w:color="auto" w:sz="4" w:space="0"/>
                    <w:right w:val="single" w:color="auto" w:sz="4" w:space="0"/>
                  </w:tcBorders>
                  <w:noWrap w:val="0"/>
                  <w:vAlign w:val="center"/>
                </w:tcPr>
                <w:p w14:paraId="16A460CA">
                  <w:pPr>
                    <w:tabs>
                      <w:tab w:val="left" w:pos="1215"/>
                    </w:tabs>
                    <w:adjustRightInd w:val="0"/>
                    <w:snapToGrid w:val="0"/>
                    <w:spacing w:line="240" w:lineRule="auto"/>
                    <w:jc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北厂界外1m</w:t>
                  </w:r>
                </w:p>
              </w:tc>
              <w:tc>
                <w:tcPr>
                  <w:tcW w:w="1806" w:type="pct"/>
                  <w:tcBorders>
                    <w:top w:val="single" w:color="auto" w:sz="4" w:space="0"/>
                    <w:left w:val="single" w:color="auto" w:sz="4" w:space="0"/>
                    <w:bottom w:val="single" w:color="auto" w:sz="4" w:space="0"/>
                    <w:right w:val="single" w:color="auto" w:sz="4" w:space="0"/>
                  </w:tcBorders>
                  <w:noWrap w:val="0"/>
                  <w:vAlign w:val="center"/>
                </w:tcPr>
                <w:p w14:paraId="09DCB12D">
                  <w:pPr>
                    <w:tabs>
                      <w:tab w:val="left" w:pos="1215"/>
                    </w:tabs>
                    <w:adjustRightInd w:val="0"/>
                    <w:snapToGrid w:val="0"/>
                    <w:spacing w:line="240" w:lineRule="auto"/>
                    <w:jc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等效连续A声级</w:t>
                  </w:r>
                </w:p>
              </w:tc>
              <w:tc>
                <w:tcPr>
                  <w:tcW w:w="1519" w:type="pct"/>
                  <w:tcBorders>
                    <w:top w:val="single" w:color="auto" w:sz="4" w:space="0"/>
                    <w:left w:val="single" w:color="auto" w:sz="4" w:space="0"/>
                    <w:bottom w:val="single" w:color="auto" w:sz="4" w:space="0"/>
                    <w:right w:val="single" w:color="auto" w:sz="4" w:space="0"/>
                  </w:tcBorders>
                  <w:noWrap w:val="0"/>
                  <w:vAlign w:val="center"/>
                </w:tcPr>
                <w:p w14:paraId="3A2BB18C">
                  <w:pPr>
                    <w:tabs>
                      <w:tab w:val="left" w:pos="1215"/>
                    </w:tabs>
                    <w:adjustRightInd w:val="0"/>
                    <w:snapToGrid w:val="0"/>
                    <w:spacing w:line="240" w:lineRule="auto"/>
                    <w:jc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一次/季度</w:t>
                  </w:r>
                </w:p>
              </w:tc>
            </w:tr>
            <w:tr w14:paraId="4C0EC2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74" w:type="pct"/>
                  <w:tcBorders>
                    <w:top w:val="single" w:color="auto" w:sz="4" w:space="0"/>
                    <w:left w:val="single" w:color="auto" w:sz="4" w:space="0"/>
                    <w:bottom w:val="single" w:color="auto" w:sz="4" w:space="0"/>
                    <w:right w:val="single" w:color="auto" w:sz="4" w:space="0"/>
                  </w:tcBorders>
                  <w:noWrap w:val="0"/>
                  <w:vAlign w:val="center"/>
                </w:tcPr>
                <w:p w14:paraId="0FD2B847">
                  <w:pPr>
                    <w:tabs>
                      <w:tab w:val="left" w:pos="1215"/>
                    </w:tabs>
                    <w:adjustRightInd w:val="0"/>
                    <w:snapToGrid w:val="0"/>
                    <w:spacing w:line="240" w:lineRule="auto"/>
                    <w:jc w:val="center"/>
                    <w:rPr>
                      <w:rFonts w:hint="eastAsia"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谢庄</w:t>
                  </w:r>
                </w:p>
              </w:tc>
              <w:tc>
                <w:tcPr>
                  <w:tcW w:w="3167" w:type="dxa"/>
                  <w:tcBorders>
                    <w:top w:val="single" w:color="auto" w:sz="4" w:space="0"/>
                    <w:left w:val="single" w:color="auto" w:sz="4" w:space="0"/>
                    <w:bottom w:val="single" w:color="auto" w:sz="4" w:space="0"/>
                    <w:right w:val="single" w:color="auto" w:sz="4" w:space="0"/>
                  </w:tcBorders>
                  <w:noWrap w:val="0"/>
                  <w:vAlign w:val="center"/>
                </w:tcPr>
                <w:p w14:paraId="290DCB0D">
                  <w:pPr>
                    <w:tabs>
                      <w:tab w:val="left" w:pos="1215"/>
                    </w:tabs>
                    <w:adjustRightInd w:val="0"/>
                    <w:snapToGrid w:val="0"/>
                    <w:spacing w:line="240" w:lineRule="auto"/>
                    <w:jc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等效连续A声级</w:t>
                  </w:r>
                </w:p>
              </w:tc>
              <w:tc>
                <w:tcPr>
                  <w:tcW w:w="2664" w:type="dxa"/>
                  <w:tcBorders>
                    <w:top w:val="single" w:color="auto" w:sz="4" w:space="0"/>
                    <w:left w:val="single" w:color="auto" w:sz="4" w:space="0"/>
                    <w:bottom w:val="single" w:color="auto" w:sz="4" w:space="0"/>
                    <w:right w:val="single" w:color="auto" w:sz="4" w:space="0"/>
                  </w:tcBorders>
                  <w:noWrap w:val="0"/>
                  <w:vAlign w:val="center"/>
                </w:tcPr>
                <w:p w14:paraId="352658E1">
                  <w:pPr>
                    <w:tabs>
                      <w:tab w:val="left" w:pos="1215"/>
                    </w:tabs>
                    <w:adjustRightInd w:val="0"/>
                    <w:snapToGrid w:val="0"/>
                    <w:spacing w:line="240" w:lineRule="auto"/>
                    <w:jc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一次/季度</w:t>
                  </w:r>
                </w:p>
              </w:tc>
            </w:tr>
          </w:tbl>
          <w:p w14:paraId="61E78AF7">
            <w:pPr>
              <w:keepNext w:val="0"/>
              <w:keepLines w:val="0"/>
              <w:pageBreakBefore w:val="0"/>
              <w:widowControl w:val="0"/>
              <w:tabs>
                <w:tab w:val="left" w:pos="1215"/>
              </w:tabs>
              <w:kinsoku/>
              <w:wordWrap/>
              <w:overflowPunct/>
              <w:topLinePunct w:val="0"/>
              <w:bidi w:val="0"/>
              <w:adjustRightInd w:val="0"/>
              <w:snapToGrid w:val="0"/>
              <w:spacing w:line="360" w:lineRule="auto"/>
              <w:ind w:right="0"/>
              <w:jc w:val="left"/>
              <w:textAlignment w:val="auto"/>
              <w:rPr>
                <w:rFonts w:hint="default"/>
                <w:b/>
                <w:bCs/>
                <w:color w:val="000000" w:themeColor="text1"/>
                <w:sz w:val="24"/>
                <w:szCs w:val="24"/>
              </w:rPr>
            </w:pPr>
            <w:r>
              <w:rPr>
                <w:rFonts w:hint="default"/>
                <w:b/>
                <w:bCs/>
                <w:color w:val="000000" w:themeColor="text1"/>
                <w:sz w:val="24"/>
                <w:szCs w:val="24"/>
              </w:rPr>
              <w:t>四、运营期固体废物</w:t>
            </w:r>
          </w:p>
          <w:p w14:paraId="71DA2FA0">
            <w:pPr>
              <w:keepNext w:val="0"/>
              <w:keepLines w:val="0"/>
              <w:pageBreakBefore w:val="0"/>
              <w:widowControl w:val="0"/>
              <w:tabs>
                <w:tab w:val="left" w:pos="1215"/>
              </w:tabs>
              <w:kinsoku/>
              <w:wordWrap/>
              <w:overflowPunct/>
              <w:topLinePunct w:val="0"/>
              <w:bidi w:val="0"/>
              <w:adjustRightInd w:val="0"/>
              <w:snapToGrid w:val="0"/>
              <w:spacing w:line="360" w:lineRule="auto"/>
              <w:ind w:left="0" w:right="0" w:firstLine="480" w:firstLineChars="200"/>
              <w:jc w:val="left"/>
              <w:textAlignment w:val="auto"/>
              <w:rPr>
                <w:rFonts w:hint="default"/>
                <w:color w:val="000000" w:themeColor="text1"/>
                <w:sz w:val="24"/>
                <w:szCs w:val="24"/>
              </w:rPr>
            </w:pPr>
            <w:r>
              <w:rPr>
                <w:rFonts w:hint="default"/>
                <w:color w:val="000000" w:themeColor="text1"/>
                <w:sz w:val="24"/>
                <w:szCs w:val="24"/>
              </w:rPr>
              <w:t>（一）固体废物产生情况</w:t>
            </w:r>
          </w:p>
          <w:p w14:paraId="769175AE">
            <w:pPr>
              <w:keepNext w:val="0"/>
              <w:keepLines w:val="0"/>
              <w:pageBreakBefore w:val="0"/>
              <w:widowControl w:val="0"/>
              <w:kinsoku/>
              <w:wordWrap/>
              <w:overflowPunct/>
              <w:topLinePunct w:val="0"/>
              <w:bidi w:val="0"/>
              <w:spacing w:line="360" w:lineRule="auto"/>
              <w:ind w:left="0" w:right="0" w:firstLine="480" w:firstLineChars="200"/>
              <w:textAlignment w:val="auto"/>
              <w:rPr>
                <w:rFonts w:hint="eastAsia"/>
                <w:color w:val="000000" w:themeColor="text1"/>
                <w:sz w:val="24"/>
                <w:szCs w:val="24"/>
                <w:lang w:val="en-US" w:eastAsia="zh-CN"/>
              </w:rPr>
            </w:pPr>
            <w:r>
              <w:rPr>
                <w:rFonts w:hint="eastAsia"/>
                <w:color w:val="000000" w:themeColor="text1"/>
                <w:sz w:val="24"/>
                <w:szCs w:val="24"/>
                <w:lang w:val="en-US" w:eastAsia="zh-CN"/>
              </w:rPr>
              <w:t>本项目产生的固体废物主要为废铜（铝）线、废铜（铝）箔、废绝缘材料、焊渣、废边角料、废包装材料（不含化学品包装桶）、废滤芯、油渣、</w:t>
            </w:r>
            <w:r>
              <w:rPr>
                <w:rFonts w:hint="eastAsia" w:cs="Times New Roman"/>
                <w:color w:val="000000" w:themeColor="text1"/>
                <w:kern w:val="0"/>
                <w:sz w:val="24"/>
                <w:szCs w:val="24"/>
                <w:lang w:val="en-US" w:eastAsia="zh-CN"/>
              </w:rPr>
              <w:t>固化后的废环氧树脂料</w:t>
            </w:r>
            <w:r>
              <w:rPr>
                <w:rFonts w:hint="eastAsia"/>
                <w:color w:val="000000" w:themeColor="text1"/>
                <w:sz w:val="24"/>
                <w:szCs w:val="24"/>
                <w:lang w:val="en-US" w:eastAsia="zh-CN"/>
              </w:rPr>
              <w:t>、废脱模剂、废环氧树脂桶、废活性炭、废过滤棉及生活垃圾等。</w:t>
            </w:r>
          </w:p>
          <w:p w14:paraId="713C1A4A">
            <w:pPr>
              <w:keepNext w:val="0"/>
              <w:keepLines w:val="0"/>
              <w:pageBreakBefore w:val="0"/>
              <w:widowControl w:val="0"/>
              <w:kinsoku/>
              <w:wordWrap/>
              <w:overflowPunct/>
              <w:topLinePunct w:val="0"/>
              <w:bidi w:val="0"/>
              <w:spacing w:line="360" w:lineRule="auto"/>
              <w:ind w:left="0" w:right="0" w:firstLine="480" w:firstLineChars="200"/>
              <w:textAlignment w:val="auto"/>
              <w:rPr>
                <w:rFonts w:hint="default" w:eastAsia="宋体"/>
                <w:color w:val="000000" w:themeColor="text1"/>
                <w:sz w:val="24"/>
                <w:szCs w:val="24"/>
                <w:lang w:val="en-US" w:eastAsia="zh-CN"/>
              </w:rPr>
            </w:pPr>
            <w:r>
              <w:rPr>
                <w:rFonts w:hint="default"/>
                <w:color w:val="000000" w:themeColor="text1"/>
                <w:sz w:val="24"/>
                <w:szCs w:val="24"/>
              </w:rPr>
              <w:t>（1）</w:t>
            </w:r>
            <w:r>
              <w:rPr>
                <w:rFonts w:hint="eastAsia"/>
                <w:color w:val="000000" w:themeColor="text1"/>
                <w:sz w:val="24"/>
                <w:szCs w:val="24"/>
                <w:lang w:val="en-US" w:eastAsia="zh-CN"/>
              </w:rPr>
              <w:t>废铜（铝）线：</w:t>
            </w:r>
            <w:r>
              <w:rPr>
                <w:rFonts w:hint="default" w:ascii="Times New Roman" w:hAnsi="Times New Roman" w:cs="Times New Roman"/>
                <w:color w:val="000000" w:themeColor="text1"/>
                <w:sz w:val="24"/>
                <w:szCs w:val="24"/>
                <w:lang w:val="en-US" w:eastAsia="zh-CN"/>
              </w:rPr>
              <w:t>来自绕线工段</w:t>
            </w:r>
            <w:r>
              <w:rPr>
                <w:rFonts w:hint="eastAsia" w:cs="Times New Roman"/>
                <w:color w:val="000000" w:themeColor="text1"/>
                <w:sz w:val="24"/>
                <w:szCs w:val="24"/>
                <w:lang w:val="en-US" w:eastAsia="zh-CN"/>
              </w:rPr>
              <w:t>和检修不合格产品</w:t>
            </w:r>
            <w:r>
              <w:rPr>
                <w:rFonts w:hint="default" w:ascii="Times New Roman" w:hAnsi="Times New Roman" w:cs="Times New Roman"/>
                <w:color w:val="000000" w:themeColor="text1"/>
                <w:sz w:val="24"/>
                <w:szCs w:val="24"/>
                <w:lang w:val="en-US" w:eastAsia="zh-CN"/>
              </w:rPr>
              <w:t>。按物料的0.1%计算，</w:t>
            </w:r>
            <w:r>
              <w:rPr>
                <w:rFonts w:hint="eastAsia" w:ascii="Times New Roman" w:hAnsi="Times New Roman" w:cs="Times New Roman"/>
                <w:color w:val="000000" w:themeColor="text1"/>
                <w:sz w:val="24"/>
                <w:szCs w:val="24"/>
                <w:lang w:val="en-US" w:eastAsia="zh-CN"/>
              </w:rPr>
              <w:t>则废铜</w:t>
            </w:r>
            <w:r>
              <w:rPr>
                <w:rFonts w:hint="eastAsia"/>
                <w:color w:val="000000" w:themeColor="text1"/>
                <w:sz w:val="24"/>
                <w:szCs w:val="24"/>
                <w:lang w:val="en-US" w:eastAsia="zh-CN"/>
              </w:rPr>
              <w:t>（铝）</w:t>
            </w:r>
            <w:r>
              <w:rPr>
                <w:rFonts w:hint="eastAsia" w:ascii="Times New Roman" w:hAnsi="Times New Roman" w:cs="Times New Roman"/>
                <w:color w:val="000000" w:themeColor="text1"/>
                <w:sz w:val="24"/>
                <w:szCs w:val="24"/>
                <w:lang w:val="en-US" w:eastAsia="zh-CN"/>
              </w:rPr>
              <w:t>线产生量约为0.09t/a</w:t>
            </w:r>
            <w:r>
              <w:rPr>
                <w:rFonts w:hint="default" w:ascii="Times New Roman" w:hAnsi="Times New Roman" w:cs="Times New Roman"/>
                <w:color w:val="000000" w:themeColor="text1"/>
                <w:sz w:val="24"/>
                <w:szCs w:val="24"/>
                <w:lang w:val="en-US" w:eastAsia="zh-CN"/>
              </w:rPr>
              <w:t>。收集后外售。</w:t>
            </w:r>
          </w:p>
          <w:p w14:paraId="78D0E40D">
            <w:pPr>
              <w:keepNext w:val="0"/>
              <w:keepLines w:val="0"/>
              <w:pageBreakBefore w:val="0"/>
              <w:widowControl w:val="0"/>
              <w:kinsoku/>
              <w:wordWrap/>
              <w:overflowPunct/>
              <w:topLinePunct w:val="0"/>
              <w:bidi w:val="0"/>
              <w:spacing w:line="360" w:lineRule="auto"/>
              <w:ind w:left="0" w:right="0" w:firstLine="480" w:firstLineChars="200"/>
              <w:textAlignment w:val="auto"/>
              <w:rPr>
                <w:rFonts w:hint="default" w:eastAsia="宋体"/>
                <w:color w:val="000000" w:themeColor="text1"/>
                <w:sz w:val="24"/>
                <w:szCs w:val="24"/>
                <w:lang w:val="en-US" w:eastAsia="zh-CN"/>
              </w:rPr>
            </w:pPr>
            <w:r>
              <w:rPr>
                <w:rFonts w:hint="eastAsia"/>
                <w:color w:val="000000" w:themeColor="text1"/>
                <w:sz w:val="24"/>
                <w:szCs w:val="24"/>
                <w:lang w:eastAsia="zh-CN"/>
              </w:rPr>
              <w:t>（</w:t>
            </w:r>
            <w:r>
              <w:rPr>
                <w:rFonts w:hint="eastAsia"/>
                <w:color w:val="000000" w:themeColor="text1"/>
                <w:sz w:val="24"/>
                <w:szCs w:val="24"/>
                <w:lang w:val="en-US" w:eastAsia="zh-CN"/>
              </w:rPr>
              <w:t>2</w:t>
            </w:r>
            <w:r>
              <w:rPr>
                <w:rFonts w:hint="eastAsia"/>
                <w:color w:val="000000" w:themeColor="text1"/>
                <w:sz w:val="24"/>
                <w:szCs w:val="24"/>
                <w:lang w:eastAsia="zh-CN"/>
              </w:rPr>
              <w:t>）</w:t>
            </w:r>
            <w:r>
              <w:rPr>
                <w:rFonts w:hint="eastAsia"/>
                <w:color w:val="000000" w:themeColor="text1"/>
                <w:sz w:val="24"/>
                <w:szCs w:val="24"/>
                <w:lang w:val="en-US" w:eastAsia="zh-CN"/>
              </w:rPr>
              <w:t>废铜（铝）箔：</w:t>
            </w:r>
            <w:r>
              <w:rPr>
                <w:rFonts w:hint="default" w:ascii="Times New Roman" w:hAnsi="Times New Roman" w:cs="Times New Roman"/>
                <w:color w:val="000000" w:themeColor="text1"/>
                <w:sz w:val="24"/>
                <w:szCs w:val="24"/>
                <w:lang w:val="en-US" w:eastAsia="zh-CN"/>
              </w:rPr>
              <w:t>来自绕线工段</w:t>
            </w:r>
            <w:r>
              <w:rPr>
                <w:rFonts w:hint="eastAsia" w:cs="Times New Roman"/>
                <w:color w:val="000000" w:themeColor="text1"/>
                <w:sz w:val="24"/>
                <w:szCs w:val="24"/>
                <w:lang w:val="en-US" w:eastAsia="zh-CN"/>
              </w:rPr>
              <w:t>和检修不合格产品</w:t>
            </w:r>
            <w:r>
              <w:rPr>
                <w:rFonts w:hint="default" w:ascii="Times New Roman" w:hAnsi="Times New Roman" w:cs="Times New Roman"/>
                <w:color w:val="000000" w:themeColor="text1"/>
                <w:sz w:val="24"/>
                <w:szCs w:val="24"/>
                <w:lang w:val="en-US" w:eastAsia="zh-CN"/>
              </w:rPr>
              <w:t>。按物料的0.1%计算，</w:t>
            </w:r>
            <w:r>
              <w:rPr>
                <w:rFonts w:hint="eastAsia" w:ascii="Times New Roman" w:hAnsi="Times New Roman" w:cs="Times New Roman"/>
                <w:color w:val="000000" w:themeColor="text1"/>
                <w:sz w:val="24"/>
                <w:szCs w:val="24"/>
                <w:lang w:val="en-US" w:eastAsia="zh-CN"/>
              </w:rPr>
              <w:t>则废铜</w:t>
            </w:r>
            <w:r>
              <w:rPr>
                <w:rFonts w:hint="eastAsia"/>
                <w:color w:val="000000" w:themeColor="text1"/>
                <w:sz w:val="24"/>
                <w:szCs w:val="24"/>
                <w:lang w:val="en-US" w:eastAsia="zh-CN"/>
              </w:rPr>
              <w:t>（铝）箔</w:t>
            </w:r>
            <w:r>
              <w:rPr>
                <w:rFonts w:hint="eastAsia" w:ascii="Times New Roman" w:hAnsi="Times New Roman" w:cs="Times New Roman"/>
                <w:color w:val="000000" w:themeColor="text1"/>
                <w:sz w:val="24"/>
                <w:szCs w:val="24"/>
                <w:lang w:val="en-US" w:eastAsia="zh-CN"/>
              </w:rPr>
              <w:t>产生量约为0.08t/a</w:t>
            </w:r>
            <w:r>
              <w:rPr>
                <w:rFonts w:hint="default" w:ascii="Times New Roman" w:hAnsi="Times New Roman" w:cs="Times New Roman"/>
                <w:color w:val="000000" w:themeColor="text1"/>
                <w:sz w:val="24"/>
                <w:szCs w:val="24"/>
                <w:lang w:val="en-US" w:eastAsia="zh-CN"/>
              </w:rPr>
              <w:t>。收集后外售。</w:t>
            </w:r>
          </w:p>
          <w:p w14:paraId="2881631C">
            <w:pPr>
              <w:keepNext w:val="0"/>
              <w:keepLines w:val="0"/>
              <w:pageBreakBefore w:val="0"/>
              <w:widowControl w:val="0"/>
              <w:kinsoku/>
              <w:wordWrap/>
              <w:overflowPunct/>
              <w:topLinePunct w:val="0"/>
              <w:bidi w:val="0"/>
              <w:spacing w:line="360" w:lineRule="auto"/>
              <w:ind w:left="0" w:right="0" w:firstLine="480" w:firstLineChars="200"/>
              <w:textAlignment w:val="auto"/>
              <w:rPr>
                <w:rFonts w:hint="default" w:eastAsia="宋体"/>
                <w:color w:val="000000" w:themeColor="text1"/>
                <w:sz w:val="24"/>
                <w:szCs w:val="24"/>
                <w:lang w:val="en-US" w:eastAsia="zh-CN"/>
              </w:rPr>
            </w:pPr>
            <w:r>
              <w:rPr>
                <w:rFonts w:hint="eastAsia"/>
                <w:color w:val="000000" w:themeColor="text1"/>
                <w:sz w:val="24"/>
                <w:szCs w:val="24"/>
                <w:lang w:eastAsia="zh-CN"/>
              </w:rPr>
              <w:t>（</w:t>
            </w:r>
            <w:r>
              <w:rPr>
                <w:rFonts w:hint="eastAsia"/>
                <w:color w:val="000000" w:themeColor="text1"/>
                <w:sz w:val="24"/>
                <w:szCs w:val="24"/>
                <w:lang w:val="en-US" w:eastAsia="zh-CN"/>
              </w:rPr>
              <w:t>3</w:t>
            </w:r>
            <w:r>
              <w:rPr>
                <w:rFonts w:hint="eastAsia"/>
                <w:color w:val="000000" w:themeColor="text1"/>
                <w:sz w:val="24"/>
                <w:szCs w:val="24"/>
                <w:lang w:eastAsia="zh-CN"/>
              </w:rPr>
              <w:t>）</w:t>
            </w:r>
            <w:r>
              <w:rPr>
                <w:rFonts w:hint="eastAsia"/>
                <w:color w:val="000000" w:themeColor="text1"/>
                <w:sz w:val="24"/>
                <w:szCs w:val="24"/>
                <w:lang w:val="en-US" w:eastAsia="zh-CN"/>
              </w:rPr>
              <w:t>废绝缘材料：电磁线包纸生产过程和</w:t>
            </w:r>
            <w:r>
              <w:rPr>
                <w:rFonts w:hint="eastAsia" w:cs="Times New Roman"/>
                <w:color w:val="000000" w:themeColor="text1"/>
                <w:sz w:val="24"/>
                <w:szCs w:val="24"/>
                <w:lang w:val="en-US" w:eastAsia="zh-CN"/>
              </w:rPr>
              <w:t>和检修不合格产品</w:t>
            </w:r>
            <w:r>
              <w:rPr>
                <w:rFonts w:hint="eastAsia"/>
                <w:color w:val="000000" w:themeColor="text1"/>
                <w:sz w:val="24"/>
                <w:szCs w:val="24"/>
                <w:lang w:val="en-US" w:eastAsia="zh-CN"/>
              </w:rPr>
              <w:t>会产生少量废绝缘材料，</w:t>
            </w:r>
            <w:r>
              <w:rPr>
                <w:rFonts w:hint="default" w:ascii="Times New Roman" w:hAnsi="Times New Roman" w:cs="Times New Roman"/>
                <w:color w:val="000000" w:themeColor="text1"/>
                <w:sz w:val="24"/>
                <w:szCs w:val="24"/>
                <w:lang w:val="en-US" w:eastAsia="zh-CN"/>
              </w:rPr>
              <w:t>按物料的0.1%计算，</w:t>
            </w:r>
            <w:r>
              <w:rPr>
                <w:rFonts w:hint="eastAsia" w:ascii="Times New Roman" w:hAnsi="Times New Roman" w:cs="Times New Roman"/>
                <w:color w:val="000000" w:themeColor="text1"/>
                <w:sz w:val="24"/>
                <w:szCs w:val="24"/>
                <w:lang w:val="en-US" w:eastAsia="zh-CN"/>
              </w:rPr>
              <w:t>绝缘材料</w:t>
            </w:r>
            <w:r>
              <w:rPr>
                <w:rFonts w:hint="default" w:ascii="Times New Roman" w:hAnsi="Times New Roman" w:cs="Times New Roman"/>
                <w:color w:val="000000" w:themeColor="text1"/>
                <w:sz w:val="24"/>
                <w:szCs w:val="24"/>
                <w:lang w:val="en-US" w:eastAsia="zh-CN"/>
              </w:rPr>
              <w:t>年用量为</w:t>
            </w:r>
            <w:r>
              <w:rPr>
                <w:rFonts w:hint="eastAsia" w:ascii="Times New Roman" w:hAnsi="Times New Roman" w:cs="Times New Roman"/>
                <w:color w:val="000000" w:themeColor="text1"/>
                <w:sz w:val="24"/>
                <w:szCs w:val="24"/>
                <w:lang w:val="en-US" w:eastAsia="zh-CN"/>
              </w:rPr>
              <w:t>17</w:t>
            </w:r>
            <w:r>
              <w:rPr>
                <w:rFonts w:hint="default" w:ascii="Times New Roman" w:hAnsi="Times New Roman" w:cs="Times New Roman"/>
                <w:color w:val="000000" w:themeColor="text1"/>
                <w:sz w:val="24"/>
                <w:szCs w:val="24"/>
                <w:lang w:val="en-US" w:eastAsia="zh-CN"/>
              </w:rPr>
              <w:t>t，则产生</w:t>
            </w:r>
            <w:r>
              <w:rPr>
                <w:rFonts w:hint="eastAsia" w:ascii="Times New Roman" w:hAnsi="Times New Roman" w:cs="Times New Roman"/>
                <w:color w:val="000000" w:themeColor="text1"/>
                <w:sz w:val="24"/>
                <w:szCs w:val="24"/>
                <w:lang w:val="en-US" w:eastAsia="zh-CN"/>
              </w:rPr>
              <w:t>废绝缘材料0.017t</w:t>
            </w:r>
            <w:r>
              <w:rPr>
                <w:rFonts w:hint="default" w:ascii="Times New Roman" w:hAnsi="Times New Roman" w:cs="Times New Roman"/>
                <w:color w:val="000000" w:themeColor="text1"/>
                <w:sz w:val="24"/>
                <w:szCs w:val="24"/>
                <w:lang w:val="en-US" w:eastAsia="zh-CN"/>
              </w:rPr>
              <w:t>/a。收集后外售。</w:t>
            </w:r>
          </w:p>
          <w:p w14:paraId="3D1288DC">
            <w:pPr>
              <w:keepNext w:val="0"/>
              <w:keepLines w:val="0"/>
              <w:pageBreakBefore w:val="0"/>
              <w:widowControl w:val="0"/>
              <w:kinsoku/>
              <w:wordWrap/>
              <w:overflowPunct/>
              <w:topLinePunct w:val="0"/>
              <w:bidi w:val="0"/>
              <w:spacing w:line="360" w:lineRule="auto"/>
              <w:ind w:left="0" w:right="0" w:firstLine="480" w:firstLineChars="200"/>
              <w:textAlignment w:val="auto"/>
              <w:rPr>
                <w:rFonts w:hint="default" w:ascii="Times New Roman" w:hAnsi="Times New Roman" w:eastAsia="宋体" w:cs="Times New Roman"/>
                <w:color w:val="000000" w:themeColor="text1"/>
                <w:sz w:val="24"/>
                <w:szCs w:val="24"/>
                <w:lang w:val="en-US" w:eastAsia="zh-CN"/>
              </w:rPr>
            </w:pPr>
            <w:r>
              <w:rPr>
                <w:rFonts w:hint="default" w:ascii="Times New Roman" w:hAnsi="Times New Roman" w:cs="Times New Roman"/>
                <w:color w:val="000000" w:themeColor="text1"/>
                <w:sz w:val="24"/>
                <w:szCs w:val="24"/>
                <w:lang w:val="en-US" w:eastAsia="zh-CN"/>
              </w:rPr>
              <w:t>（4）焊渣：来自焊接工段。以物料的1%，焊丝年用量为</w:t>
            </w:r>
            <w:r>
              <w:rPr>
                <w:rFonts w:hint="eastAsia" w:ascii="Times New Roman" w:hAnsi="Times New Roman" w:cs="Times New Roman"/>
                <w:color w:val="000000" w:themeColor="text1"/>
                <w:sz w:val="24"/>
                <w:szCs w:val="24"/>
                <w:lang w:val="en-US" w:eastAsia="zh-CN"/>
              </w:rPr>
              <w:t>0.04</w:t>
            </w:r>
            <w:r>
              <w:rPr>
                <w:rFonts w:hint="default" w:ascii="Times New Roman" w:hAnsi="Times New Roman" w:cs="Times New Roman"/>
                <w:color w:val="000000" w:themeColor="text1"/>
                <w:sz w:val="24"/>
                <w:szCs w:val="24"/>
                <w:lang w:val="en-US" w:eastAsia="zh-CN"/>
              </w:rPr>
              <w:t>t，则产生焊渣0.0</w:t>
            </w:r>
            <w:r>
              <w:rPr>
                <w:rFonts w:hint="eastAsia" w:ascii="Times New Roman" w:hAnsi="Times New Roman" w:cs="Times New Roman"/>
                <w:color w:val="000000" w:themeColor="text1"/>
                <w:sz w:val="24"/>
                <w:szCs w:val="24"/>
                <w:lang w:val="en-US" w:eastAsia="zh-CN"/>
              </w:rPr>
              <w:t>004</w:t>
            </w:r>
            <w:r>
              <w:rPr>
                <w:rFonts w:hint="default" w:ascii="Times New Roman" w:hAnsi="Times New Roman" w:cs="Times New Roman"/>
                <w:color w:val="000000" w:themeColor="text1"/>
                <w:sz w:val="24"/>
                <w:szCs w:val="24"/>
                <w:lang w:val="en-US" w:eastAsia="zh-CN"/>
              </w:rPr>
              <w:t>t/a。收集后外售。</w:t>
            </w:r>
          </w:p>
          <w:p w14:paraId="472E0B56">
            <w:pPr>
              <w:keepNext w:val="0"/>
              <w:keepLines w:val="0"/>
              <w:pageBreakBefore w:val="0"/>
              <w:widowControl w:val="0"/>
              <w:kinsoku/>
              <w:wordWrap/>
              <w:overflowPunct/>
              <w:topLinePunct w:val="0"/>
              <w:bidi w:val="0"/>
              <w:spacing w:line="360" w:lineRule="auto"/>
              <w:ind w:left="0" w:right="0" w:firstLine="480" w:firstLineChars="200"/>
              <w:textAlignment w:val="auto"/>
              <w:rPr>
                <w:rFonts w:hint="default" w:ascii="Times New Roman" w:hAnsi="Times New Roman" w:eastAsia="宋体" w:cs="Times New Roman"/>
                <w:color w:val="000000" w:themeColor="text1"/>
                <w:sz w:val="24"/>
                <w:szCs w:val="24"/>
                <w:lang w:val="en-US" w:eastAsia="zh-CN"/>
              </w:rPr>
            </w:pPr>
            <w:r>
              <w:rPr>
                <w:rFonts w:hint="eastAsia" w:ascii="Times New Roman" w:hAnsi="Times New Roman" w:cs="Times New Roman"/>
                <w:color w:val="000000" w:themeColor="text1"/>
                <w:sz w:val="24"/>
                <w:szCs w:val="24"/>
                <w:lang w:eastAsia="zh-CN"/>
              </w:rPr>
              <w:t>（</w:t>
            </w:r>
            <w:r>
              <w:rPr>
                <w:rFonts w:hint="eastAsia" w:ascii="Times New Roman" w:hAnsi="Times New Roman" w:cs="Times New Roman"/>
                <w:color w:val="000000" w:themeColor="text1"/>
                <w:sz w:val="24"/>
                <w:szCs w:val="24"/>
                <w:lang w:val="en-US" w:eastAsia="zh-CN"/>
              </w:rPr>
              <w:t>5</w:t>
            </w:r>
            <w:r>
              <w:rPr>
                <w:rFonts w:hint="eastAsia" w:ascii="Times New Roman" w:hAnsi="Times New Roman" w:cs="Times New Roman"/>
                <w:color w:val="000000" w:themeColor="text1"/>
                <w:sz w:val="24"/>
                <w:szCs w:val="24"/>
                <w:lang w:eastAsia="zh-CN"/>
              </w:rPr>
              <w:t>）</w:t>
            </w:r>
            <w:r>
              <w:rPr>
                <w:rFonts w:hint="eastAsia" w:ascii="Times New Roman" w:hAnsi="Times New Roman" w:cs="Times New Roman"/>
                <w:color w:val="000000" w:themeColor="text1"/>
                <w:sz w:val="24"/>
                <w:szCs w:val="24"/>
                <w:lang w:val="en-US" w:eastAsia="zh-CN"/>
              </w:rPr>
              <w:t>废边角料：环氧树脂浇注固化后需采用美工刀进行修整，该过程会产生一定量的废边角料，产生量约为 0.03t/a，该部分废品为一般工业固体废物，集中收集后由专业回收单位回收利用。</w:t>
            </w:r>
          </w:p>
          <w:p w14:paraId="4BE1EC82">
            <w:pPr>
              <w:pStyle w:val="154"/>
              <w:keepNext w:val="0"/>
              <w:keepLines w:val="0"/>
              <w:pageBreakBefore w:val="0"/>
              <w:widowControl w:val="0"/>
              <w:numPr>
                <w:ilvl w:val="0"/>
                <w:numId w:val="0"/>
              </w:numPr>
              <w:kinsoku/>
              <w:wordWrap/>
              <w:overflowPunct/>
              <w:topLinePunct w:val="0"/>
              <w:autoSpaceDE w:val="0"/>
              <w:autoSpaceDN/>
              <w:bidi w:val="0"/>
              <w:adjustRightInd/>
              <w:snapToGrid/>
              <w:spacing w:line="360" w:lineRule="auto"/>
              <w:ind w:leftChars="0" w:firstLine="480" w:firstLineChars="200"/>
              <w:textAlignment w:val="auto"/>
              <w:rPr>
                <w:rFonts w:hint="default" w:ascii="Times New Roman" w:hAnsi="Times New Roman" w:cs="Times New Roman"/>
                <w:color w:val="000000" w:themeColor="text1"/>
                <w:sz w:val="24"/>
                <w:szCs w:val="24"/>
                <w:lang w:val="en-US" w:eastAsia="zh-CN"/>
              </w:rPr>
            </w:pPr>
            <w:r>
              <w:rPr>
                <w:rFonts w:hint="eastAsia" w:ascii="Times New Roman" w:hAnsi="Times New Roman" w:cs="Times New Roman"/>
                <w:color w:val="000000" w:themeColor="text1"/>
                <w:sz w:val="24"/>
                <w:szCs w:val="24"/>
                <w:lang w:eastAsia="zh-CN"/>
              </w:rPr>
              <w:t>（</w:t>
            </w:r>
            <w:r>
              <w:rPr>
                <w:rFonts w:hint="eastAsia" w:ascii="Times New Roman" w:hAnsi="Times New Roman" w:cs="Times New Roman"/>
                <w:color w:val="000000" w:themeColor="text1"/>
                <w:sz w:val="24"/>
                <w:szCs w:val="24"/>
                <w:lang w:val="en-US" w:eastAsia="zh-CN"/>
              </w:rPr>
              <w:t>6</w:t>
            </w:r>
            <w:r>
              <w:rPr>
                <w:rFonts w:hint="eastAsia" w:ascii="Times New Roman" w:hAnsi="Times New Roman" w:cs="Times New Roman"/>
                <w:color w:val="000000" w:themeColor="text1"/>
                <w:sz w:val="24"/>
                <w:szCs w:val="24"/>
                <w:lang w:eastAsia="zh-CN"/>
              </w:rPr>
              <w:t>）</w:t>
            </w:r>
            <w:r>
              <w:rPr>
                <w:rFonts w:hint="eastAsia"/>
                <w:color w:val="000000" w:themeColor="text1"/>
                <w:sz w:val="24"/>
                <w:szCs w:val="24"/>
                <w:lang w:val="en-US" w:eastAsia="zh-CN"/>
              </w:rPr>
              <w:t>废包装材料（不含化学品包装桶）：项目购买的原料（不含化学品）在使用过程会产生少量废包装材料，产生量约为</w:t>
            </w:r>
            <w:r>
              <w:rPr>
                <w:rFonts w:hint="default" w:ascii="Times New Roman" w:hAnsi="Times New Roman" w:cs="Times New Roman"/>
                <w:color w:val="000000" w:themeColor="text1"/>
                <w:sz w:val="24"/>
                <w:szCs w:val="24"/>
                <w:lang w:val="en-US" w:eastAsia="zh-CN"/>
              </w:rPr>
              <w:t>0.1t/a</w:t>
            </w:r>
            <w:r>
              <w:rPr>
                <w:rFonts w:hint="eastAsia" w:ascii="Times New Roman" w:hAnsi="Times New Roman" w:cs="Times New Roman"/>
                <w:color w:val="000000" w:themeColor="text1"/>
                <w:sz w:val="24"/>
                <w:szCs w:val="24"/>
                <w:lang w:val="en-US" w:eastAsia="zh-CN"/>
              </w:rPr>
              <w:t>，收集后外售一般固废处置单位。</w:t>
            </w:r>
          </w:p>
          <w:p w14:paraId="1B2B81CC">
            <w:pPr>
              <w:pStyle w:val="154"/>
              <w:keepNext w:val="0"/>
              <w:keepLines w:val="0"/>
              <w:pageBreakBefore w:val="0"/>
              <w:widowControl w:val="0"/>
              <w:numPr>
                <w:ilvl w:val="0"/>
                <w:numId w:val="0"/>
              </w:numPr>
              <w:kinsoku/>
              <w:wordWrap/>
              <w:overflowPunct/>
              <w:topLinePunct w:val="0"/>
              <w:autoSpaceDE w:val="0"/>
              <w:autoSpaceDN/>
              <w:bidi w:val="0"/>
              <w:adjustRightInd/>
              <w:snapToGrid/>
              <w:spacing w:line="360" w:lineRule="auto"/>
              <w:ind w:leftChars="0" w:firstLine="480" w:firstLineChars="200"/>
              <w:textAlignment w:val="auto"/>
              <w:rPr>
                <w:rFonts w:hint="default" w:ascii="Times New Roman" w:hAnsi="Times New Roman"/>
                <w:color w:val="000000" w:themeColor="text1"/>
                <w:szCs w:val="24"/>
                <w:lang w:val="en-US" w:eastAsia="zh-CN" w:bidi="ar"/>
              </w:rPr>
            </w:pPr>
            <w:r>
              <w:rPr>
                <w:rFonts w:hint="default" w:ascii="Times New Roman" w:hAnsi="Times New Roman" w:cs="Times New Roman"/>
                <w:color w:val="000000" w:themeColor="text1"/>
                <w:sz w:val="24"/>
                <w:szCs w:val="24"/>
                <w:lang w:eastAsia="zh-CN"/>
              </w:rPr>
              <w:t>（</w:t>
            </w:r>
            <w:r>
              <w:rPr>
                <w:rFonts w:hint="eastAsia" w:ascii="Times New Roman" w:hAnsi="Times New Roman" w:cs="Times New Roman"/>
                <w:color w:val="000000" w:themeColor="text1"/>
                <w:sz w:val="24"/>
                <w:szCs w:val="24"/>
                <w:lang w:val="en-US" w:eastAsia="zh-CN"/>
              </w:rPr>
              <w:t>7</w:t>
            </w:r>
            <w:r>
              <w:rPr>
                <w:rFonts w:hint="default" w:ascii="Times New Roman" w:hAnsi="Times New Roman" w:cs="Times New Roman"/>
                <w:color w:val="000000" w:themeColor="text1"/>
                <w:sz w:val="24"/>
                <w:szCs w:val="24"/>
                <w:lang w:eastAsia="zh-CN"/>
              </w:rPr>
              <w:t>）</w:t>
            </w:r>
            <w:r>
              <w:rPr>
                <w:rFonts w:hint="eastAsia" w:ascii="Times New Roman" w:hAnsi="Times New Roman" w:cs="Times New Roman"/>
                <w:color w:val="000000" w:themeColor="text1"/>
                <w:sz w:val="24"/>
                <w:szCs w:val="24"/>
                <w:lang w:val="en-US" w:eastAsia="zh-CN"/>
              </w:rPr>
              <w:t>废滤芯</w:t>
            </w:r>
            <w:r>
              <w:rPr>
                <w:rFonts w:hint="default" w:ascii="Times New Roman" w:hAnsi="Times New Roman" w:cs="Times New Roman"/>
                <w:color w:val="000000" w:themeColor="text1"/>
                <w:sz w:val="24"/>
                <w:szCs w:val="24"/>
                <w:lang w:eastAsia="zh-CN"/>
              </w:rPr>
              <w:t>：</w:t>
            </w:r>
            <w:r>
              <w:rPr>
                <w:rFonts w:hint="eastAsia" w:ascii="Times New Roman" w:hAnsi="Times New Roman" w:cs="Times New Roman"/>
                <w:color w:val="000000" w:themeColor="text1"/>
                <w:sz w:val="24"/>
                <w:szCs w:val="24"/>
                <w:lang w:val="en-US" w:eastAsia="zh-CN"/>
              </w:rPr>
              <w:t>变压器油使用前需经过滤油机过滤，过滤油品会产生废滤芯，产生量约0.02t/a，属于危险废物 HW49，废物代码为 900-041-49，危险特性为 T/In，经危废暂存间暂存后委托有资质单位处理。</w:t>
            </w:r>
          </w:p>
          <w:p w14:paraId="5CB9C936">
            <w:pPr>
              <w:keepNext w:val="0"/>
              <w:keepLines w:val="0"/>
              <w:pageBreakBefore w:val="0"/>
              <w:widowControl w:val="0"/>
              <w:kinsoku/>
              <w:wordWrap/>
              <w:overflowPunct/>
              <w:topLinePunct w:val="0"/>
              <w:bidi w:val="0"/>
              <w:spacing w:line="360" w:lineRule="auto"/>
              <w:ind w:left="0" w:right="0" w:firstLine="480" w:firstLineChars="200"/>
              <w:textAlignment w:val="auto"/>
              <w:rPr>
                <w:rFonts w:hint="default" w:ascii="Times New Roman" w:hAnsi="Times New Roman" w:eastAsia="宋体" w:cs="Times New Roman"/>
                <w:color w:val="000000" w:themeColor="text1"/>
                <w:sz w:val="24"/>
                <w:szCs w:val="24"/>
                <w:lang w:val="en-US" w:eastAsia="zh-CN"/>
              </w:rPr>
            </w:pPr>
            <w:r>
              <w:rPr>
                <w:rFonts w:hint="default" w:ascii="Times New Roman" w:hAnsi="Times New Roman" w:cs="Times New Roman"/>
                <w:color w:val="000000" w:themeColor="text1"/>
                <w:sz w:val="24"/>
                <w:szCs w:val="24"/>
                <w:lang w:eastAsia="zh-CN"/>
              </w:rPr>
              <w:t>（</w:t>
            </w:r>
            <w:r>
              <w:rPr>
                <w:rFonts w:hint="eastAsia" w:cs="Times New Roman"/>
                <w:color w:val="000000" w:themeColor="text1"/>
                <w:sz w:val="24"/>
                <w:szCs w:val="24"/>
                <w:lang w:val="en-US" w:eastAsia="zh-CN"/>
              </w:rPr>
              <w:t>8</w:t>
            </w:r>
            <w:r>
              <w:rPr>
                <w:rFonts w:hint="default" w:ascii="Times New Roman" w:hAnsi="Times New Roman" w:cs="Times New Roman"/>
                <w:color w:val="000000" w:themeColor="text1"/>
                <w:sz w:val="24"/>
                <w:szCs w:val="24"/>
                <w:lang w:eastAsia="zh-CN"/>
              </w:rPr>
              <w:t>）</w:t>
            </w:r>
            <w:r>
              <w:rPr>
                <w:rFonts w:hint="eastAsia" w:ascii="Times New Roman" w:hAnsi="Times New Roman" w:cs="Times New Roman"/>
                <w:color w:val="000000" w:themeColor="text1"/>
                <w:sz w:val="24"/>
                <w:szCs w:val="24"/>
                <w:lang w:val="en-US" w:eastAsia="zh-CN"/>
              </w:rPr>
              <w:t>油渣</w:t>
            </w:r>
            <w:r>
              <w:rPr>
                <w:rFonts w:hint="default" w:ascii="Times New Roman" w:hAnsi="Times New Roman" w:cs="Times New Roman"/>
                <w:color w:val="000000" w:themeColor="text1"/>
                <w:sz w:val="24"/>
                <w:szCs w:val="24"/>
                <w:lang w:val="en-US" w:eastAsia="zh-CN"/>
              </w:rPr>
              <w:t>：项目使用变压油将通过真空滤油机进行过滤，将产生少量油渣，本项目变压油较为纯净，根据建设单位提供资料，产生油渣约为 0.</w:t>
            </w:r>
            <w:r>
              <w:rPr>
                <w:rFonts w:hint="eastAsia" w:ascii="Times New Roman" w:hAnsi="Times New Roman" w:cs="Times New Roman"/>
                <w:color w:val="000000" w:themeColor="text1"/>
                <w:sz w:val="24"/>
                <w:szCs w:val="24"/>
                <w:lang w:val="en-US" w:eastAsia="zh-CN"/>
              </w:rPr>
              <w:t>00</w:t>
            </w:r>
            <w:r>
              <w:rPr>
                <w:rFonts w:hint="default" w:ascii="Times New Roman" w:hAnsi="Times New Roman" w:cs="Times New Roman"/>
                <w:color w:val="000000" w:themeColor="text1"/>
                <w:sz w:val="24"/>
                <w:szCs w:val="24"/>
                <w:lang w:val="en-US" w:eastAsia="zh-CN"/>
              </w:rPr>
              <w:t>1t/a。根据《国家危险废物名录（202</w:t>
            </w:r>
            <w:r>
              <w:rPr>
                <w:rFonts w:hint="eastAsia" w:ascii="Times New Roman" w:hAnsi="Times New Roman" w:cs="Times New Roman"/>
                <w:color w:val="000000" w:themeColor="text1"/>
                <w:sz w:val="24"/>
                <w:szCs w:val="24"/>
                <w:lang w:val="en-US" w:eastAsia="zh-CN"/>
              </w:rPr>
              <w:t>5年版）》，</w:t>
            </w:r>
            <w:r>
              <w:rPr>
                <w:rFonts w:hint="default" w:ascii="Times New Roman" w:hAnsi="Times New Roman" w:cs="Times New Roman"/>
                <w:color w:val="000000" w:themeColor="text1"/>
                <w:sz w:val="24"/>
                <w:szCs w:val="24"/>
                <w:lang w:val="en-US" w:eastAsia="zh-CN"/>
              </w:rPr>
              <w:t>属于危险废物 HW08 废矿物油与含矿物油废物类别，代码 900-249-08，</w:t>
            </w:r>
            <w:r>
              <w:rPr>
                <w:rFonts w:hint="eastAsia" w:ascii="Times New Roman" w:hAnsi="Times New Roman" w:cs="Times New Roman"/>
                <w:color w:val="000000" w:themeColor="text1"/>
                <w:sz w:val="24"/>
                <w:szCs w:val="24"/>
                <w:lang w:val="en-US" w:eastAsia="zh-CN"/>
              </w:rPr>
              <w:t>经危废暂存间暂存后委托有资质单位处理</w:t>
            </w:r>
            <w:r>
              <w:rPr>
                <w:rFonts w:hint="default" w:ascii="Times New Roman" w:hAnsi="Times New Roman" w:cs="Times New Roman"/>
                <w:color w:val="000000" w:themeColor="text1"/>
                <w:sz w:val="24"/>
                <w:szCs w:val="24"/>
                <w:lang w:val="en-US" w:eastAsia="zh-CN"/>
              </w:rPr>
              <w:t>。</w:t>
            </w:r>
          </w:p>
          <w:p w14:paraId="65389C3A">
            <w:pPr>
              <w:keepNext w:val="0"/>
              <w:keepLines w:val="0"/>
              <w:pageBreakBefore w:val="0"/>
              <w:widowControl w:val="0"/>
              <w:kinsoku/>
              <w:wordWrap/>
              <w:overflowPunct/>
              <w:topLinePunct w:val="0"/>
              <w:bidi w:val="0"/>
              <w:spacing w:line="360" w:lineRule="auto"/>
              <w:ind w:left="0" w:right="0" w:firstLine="480" w:firstLineChars="200"/>
              <w:textAlignment w:val="auto"/>
              <w:rPr>
                <w:rFonts w:hint="default"/>
                <w:color w:val="000000" w:themeColor="text1"/>
                <w:sz w:val="24"/>
                <w:szCs w:val="24"/>
                <w:lang w:val="en-US" w:eastAsia="zh-CN"/>
              </w:rPr>
            </w:pPr>
            <w:r>
              <w:rPr>
                <w:rFonts w:hint="eastAsia"/>
                <w:color w:val="000000" w:themeColor="text1"/>
                <w:sz w:val="24"/>
                <w:szCs w:val="24"/>
                <w:lang w:eastAsia="zh-CN"/>
              </w:rPr>
              <w:t>（</w:t>
            </w:r>
            <w:r>
              <w:rPr>
                <w:rFonts w:hint="eastAsia"/>
                <w:color w:val="000000" w:themeColor="text1"/>
                <w:sz w:val="24"/>
                <w:szCs w:val="24"/>
                <w:lang w:val="en-US" w:eastAsia="zh-CN"/>
              </w:rPr>
              <w:t>9</w:t>
            </w:r>
            <w:r>
              <w:rPr>
                <w:rFonts w:hint="eastAsia"/>
                <w:color w:val="000000" w:themeColor="text1"/>
                <w:sz w:val="24"/>
                <w:szCs w:val="24"/>
                <w:lang w:eastAsia="zh-CN"/>
              </w:rPr>
              <w:t>）</w:t>
            </w:r>
            <w:r>
              <w:rPr>
                <w:rFonts w:hint="eastAsia" w:cs="Times New Roman"/>
                <w:color w:val="000000" w:themeColor="text1"/>
                <w:kern w:val="0"/>
                <w:sz w:val="24"/>
                <w:szCs w:val="24"/>
                <w:lang w:val="en-US" w:eastAsia="zh-CN"/>
              </w:rPr>
              <w:t>固化后的废环氧树脂料：项目产生少量不合格品无法返修，进行报废处置，会产生少量固化后的废环氧树脂料无法回用，根据物料平衡，该部分产生量为1.048t/a。</w:t>
            </w:r>
            <w:r>
              <w:rPr>
                <w:rFonts w:hint="eastAsia"/>
                <w:color w:val="000000" w:themeColor="text1"/>
                <w:sz w:val="24"/>
                <w:szCs w:val="24"/>
                <w:lang w:val="en-US" w:eastAsia="zh-CN"/>
              </w:rPr>
              <w:t>根据《国家危险废物名录》（2025年版），废物类别为HW13有机树脂类废物，废物代码为900-014-13，收集后暂存于危废暂存间，定期交由有危废处理资质单位清运处理。</w:t>
            </w:r>
          </w:p>
          <w:p w14:paraId="590E260F">
            <w:pPr>
              <w:keepNext w:val="0"/>
              <w:keepLines w:val="0"/>
              <w:pageBreakBefore w:val="0"/>
              <w:widowControl w:val="0"/>
              <w:kinsoku/>
              <w:wordWrap/>
              <w:overflowPunct/>
              <w:topLinePunct w:val="0"/>
              <w:bidi w:val="0"/>
              <w:spacing w:line="360" w:lineRule="auto"/>
              <w:ind w:left="0" w:right="0" w:firstLine="480" w:firstLineChars="200"/>
              <w:textAlignment w:val="auto"/>
              <w:rPr>
                <w:rFonts w:hint="default"/>
                <w:color w:val="000000" w:themeColor="text1"/>
                <w:sz w:val="24"/>
                <w:szCs w:val="24"/>
                <w:lang w:val="en-US" w:eastAsia="zh-CN"/>
              </w:rPr>
            </w:pPr>
            <w:r>
              <w:rPr>
                <w:rFonts w:hint="eastAsia"/>
                <w:color w:val="000000" w:themeColor="text1"/>
                <w:sz w:val="24"/>
                <w:szCs w:val="24"/>
                <w:lang w:eastAsia="zh-CN"/>
              </w:rPr>
              <w:t>（</w:t>
            </w:r>
            <w:r>
              <w:rPr>
                <w:rFonts w:hint="eastAsia"/>
                <w:color w:val="000000" w:themeColor="text1"/>
                <w:sz w:val="24"/>
                <w:szCs w:val="24"/>
                <w:lang w:val="en-US" w:eastAsia="zh-CN"/>
              </w:rPr>
              <w:t>10</w:t>
            </w:r>
            <w:r>
              <w:rPr>
                <w:rFonts w:hint="eastAsia"/>
                <w:color w:val="000000" w:themeColor="text1"/>
                <w:sz w:val="24"/>
                <w:szCs w:val="24"/>
                <w:lang w:eastAsia="zh-CN"/>
              </w:rPr>
              <w:t>）</w:t>
            </w:r>
            <w:r>
              <w:rPr>
                <w:rFonts w:hint="eastAsia"/>
                <w:color w:val="000000" w:themeColor="text1"/>
                <w:sz w:val="24"/>
                <w:szCs w:val="24"/>
                <w:lang w:val="en-US" w:eastAsia="zh-CN"/>
              </w:rPr>
              <w:t>废原料桶：项目产生的废原料桶包括废脱模剂桶和废环氧树脂桶，树脂桶单桶重约为10kg，脱模剂桶单桶重约为6kg，树脂桶基本由厂家回收作为原始用途，仅约40个左右作为危废处置，脱模剂桶产生量约为7个，则废原料桶产生量为0.44t/a。根据《国家危险废物名录》（2025年版），废物类别为HW49其他废物，废物代码为900-041-49，收集后暂存于危废暂存间，定期交由有危废处理资质单位清运处理。</w:t>
            </w:r>
          </w:p>
          <w:p w14:paraId="41363166">
            <w:pPr>
              <w:keepNext w:val="0"/>
              <w:keepLines w:val="0"/>
              <w:pageBreakBefore w:val="0"/>
              <w:widowControl w:val="0"/>
              <w:kinsoku/>
              <w:wordWrap/>
              <w:overflowPunct/>
              <w:topLinePunct w:val="0"/>
              <w:bidi w:val="0"/>
              <w:spacing w:line="360" w:lineRule="auto"/>
              <w:ind w:left="0" w:right="0" w:firstLine="480" w:firstLineChars="200"/>
              <w:textAlignment w:val="auto"/>
              <w:rPr>
                <w:rFonts w:hint="eastAsia" w:ascii="Times New Roman" w:hAnsi="Times New Roman" w:cs="Times New Roman"/>
                <w:color w:val="000000" w:themeColor="text1"/>
                <w:sz w:val="24"/>
                <w:szCs w:val="24"/>
                <w:lang w:val="en-US" w:eastAsia="zh-CN"/>
              </w:rPr>
            </w:pPr>
            <w:r>
              <w:rPr>
                <w:rFonts w:hint="eastAsia"/>
                <w:color w:val="000000" w:themeColor="text1"/>
                <w:sz w:val="24"/>
                <w:szCs w:val="24"/>
                <w:lang w:eastAsia="zh-CN"/>
              </w:rPr>
              <w:t>（</w:t>
            </w:r>
            <w:r>
              <w:rPr>
                <w:rFonts w:hint="eastAsia"/>
                <w:color w:val="000000" w:themeColor="text1"/>
                <w:sz w:val="24"/>
                <w:szCs w:val="24"/>
                <w:lang w:val="en-US" w:eastAsia="zh-CN"/>
              </w:rPr>
              <w:t>11</w:t>
            </w:r>
            <w:r>
              <w:rPr>
                <w:rFonts w:hint="eastAsia"/>
                <w:color w:val="000000" w:themeColor="text1"/>
                <w:sz w:val="24"/>
                <w:szCs w:val="24"/>
                <w:lang w:eastAsia="zh-CN"/>
              </w:rPr>
              <w:t>）</w:t>
            </w:r>
            <w:r>
              <w:rPr>
                <w:rFonts w:hint="eastAsia"/>
                <w:color w:val="000000" w:themeColor="text1"/>
                <w:sz w:val="24"/>
                <w:szCs w:val="24"/>
                <w:lang w:val="en-US" w:eastAsia="zh-CN"/>
              </w:rPr>
              <w:t>废活性炭、废过滤棉：活性炭更换频率根据实际吸附量及污染物产排浓度、活性炭装置等确定更换由活性炭厂家负责实施，预计六个月更换一次。</w:t>
            </w:r>
            <w:r>
              <w:rPr>
                <w:rFonts w:hint="eastAsia" w:ascii="Times New Roman" w:hAnsi="Times New Roman" w:cs="Times New Roman"/>
                <w:color w:val="000000" w:themeColor="text1"/>
                <w:sz w:val="24"/>
                <w:szCs w:val="24"/>
                <w:lang w:val="en-US" w:eastAsia="zh-CN"/>
              </w:rPr>
              <w:t>根据前文表4-5，二级活性炭填充量为</w:t>
            </w:r>
            <w:r>
              <w:rPr>
                <w:rFonts w:hint="eastAsia" w:cs="Times New Roman"/>
                <w:color w:val="000000" w:themeColor="text1"/>
                <w:sz w:val="24"/>
                <w:szCs w:val="24"/>
                <w:lang w:val="en-US" w:eastAsia="zh-CN"/>
              </w:rPr>
              <w:t>4.08</w:t>
            </w:r>
            <w:r>
              <w:rPr>
                <w:rFonts w:hint="eastAsia" w:ascii="Times New Roman" w:hAnsi="Times New Roman" w:cs="Times New Roman"/>
                <w:color w:val="000000" w:themeColor="text1"/>
                <w:sz w:val="24"/>
                <w:szCs w:val="24"/>
                <w:lang w:val="en-US" w:eastAsia="zh-CN"/>
              </w:rPr>
              <w:t>t，一年需更换</w:t>
            </w:r>
            <w:r>
              <w:rPr>
                <w:rFonts w:hint="eastAsia" w:cs="Times New Roman"/>
                <w:color w:val="000000" w:themeColor="text1"/>
                <w:sz w:val="24"/>
                <w:szCs w:val="24"/>
                <w:lang w:val="en-US" w:eastAsia="zh-CN"/>
              </w:rPr>
              <w:t>2</w:t>
            </w:r>
            <w:r>
              <w:rPr>
                <w:rFonts w:hint="eastAsia" w:ascii="Times New Roman" w:hAnsi="Times New Roman" w:cs="Times New Roman"/>
                <w:color w:val="000000" w:themeColor="text1"/>
                <w:sz w:val="24"/>
                <w:szCs w:val="24"/>
                <w:lang w:val="en-US" w:eastAsia="zh-CN"/>
              </w:rPr>
              <w:t>次，则共产生废活性炭为</w:t>
            </w:r>
            <w:r>
              <w:rPr>
                <w:rFonts w:hint="eastAsia" w:cs="Times New Roman"/>
                <w:color w:val="000000" w:themeColor="text1"/>
                <w:sz w:val="24"/>
                <w:szCs w:val="24"/>
                <w:lang w:val="en-US" w:eastAsia="zh-CN"/>
              </w:rPr>
              <w:t>8.16</w:t>
            </w:r>
            <w:r>
              <w:rPr>
                <w:rFonts w:hint="eastAsia" w:ascii="Times New Roman" w:hAnsi="Times New Roman" w:cs="Times New Roman"/>
                <w:color w:val="000000" w:themeColor="text1"/>
                <w:sz w:val="24"/>
                <w:szCs w:val="24"/>
                <w:lang w:val="en-US" w:eastAsia="zh-CN"/>
              </w:rPr>
              <w:t>t/a，</w:t>
            </w:r>
            <w:r>
              <w:rPr>
                <w:rFonts w:hint="default" w:ascii="Times New Roman" w:hAnsi="Times New Roman" w:cs="Times New Roman"/>
                <w:color w:val="000000" w:themeColor="text1"/>
                <w:sz w:val="24"/>
                <w:szCs w:val="24"/>
                <w:lang w:val="en-US" w:eastAsia="zh-CN"/>
              </w:rPr>
              <w:t>该部分废物属于 HW49 其他废物，废物代码 900-039-49，危险特性为T，集中收集后暂存于危废暂存间</w:t>
            </w:r>
            <w:r>
              <w:rPr>
                <w:rFonts w:hint="eastAsia" w:ascii="Times New Roman" w:hAnsi="Times New Roman" w:cs="Times New Roman"/>
                <w:color w:val="000000" w:themeColor="text1"/>
                <w:sz w:val="24"/>
                <w:szCs w:val="24"/>
                <w:lang w:val="en-US" w:eastAsia="zh-CN"/>
              </w:rPr>
              <w:t>，</w:t>
            </w:r>
            <w:r>
              <w:rPr>
                <w:rFonts w:hint="default" w:ascii="Times New Roman" w:hAnsi="Times New Roman" w:cs="Times New Roman"/>
                <w:color w:val="000000" w:themeColor="text1"/>
                <w:sz w:val="24"/>
                <w:szCs w:val="24"/>
                <w:lang w:val="en-US" w:eastAsia="zh-CN"/>
              </w:rPr>
              <w:t>定期交由有危险废物处理处置资质的单位处理</w:t>
            </w:r>
            <w:r>
              <w:rPr>
                <w:rFonts w:hint="eastAsia" w:ascii="Times New Roman" w:hAnsi="Times New Roman" w:cs="Times New Roman"/>
                <w:color w:val="000000" w:themeColor="text1"/>
                <w:sz w:val="24"/>
                <w:szCs w:val="24"/>
                <w:lang w:val="en-US" w:eastAsia="zh-CN"/>
              </w:rPr>
              <w:t>。</w:t>
            </w:r>
          </w:p>
          <w:p w14:paraId="37819DEA">
            <w:pPr>
              <w:keepNext w:val="0"/>
              <w:keepLines w:val="0"/>
              <w:pageBreakBefore w:val="0"/>
              <w:widowControl w:val="0"/>
              <w:kinsoku/>
              <w:wordWrap/>
              <w:overflowPunct/>
              <w:topLinePunct w:val="0"/>
              <w:bidi w:val="0"/>
              <w:spacing w:line="360" w:lineRule="auto"/>
              <w:ind w:left="0" w:right="0" w:firstLine="480" w:firstLineChars="200"/>
              <w:textAlignment w:val="auto"/>
              <w:rPr>
                <w:rFonts w:hint="default" w:ascii="Times New Roman" w:hAnsi="Times New Roman" w:cs="Times New Roman"/>
                <w:color w:val="000000" w:themeColor="text1"/>
                <w:sz w:val="24"/>
                <w:szCs w:val="24"/>
                <w:lang w:val="en-US" w:eastAsia="zh-CN"/>
              </w:rPr>
            </w:pPr>
            <w:r>
              <w:rPr>
                <w:rFonts w:hint="eastAsia" w:ascii="Times New Roman" w:hAnsi="Times New Roman" w:cs="Times New Roman"/>
                <w:color w:val="000000" w:themeColor="text1"/>
                <w:sz w:val="24"/>
                <w:szCs w:val="24"/>
                <w:lang w:val="en-US" w:eastAsia="zh-CN"/>
              </w:rPr>
              <w:t>浇筑固化废气在进入活性炭吸附装之前，采用干式过滤棉对有机废气进行过滤，此过程中会产生废过滤棉，产生量约为0.2t/a，暂存于危废暂存间，定期委托有资质单位处置。</w:t>
            </w:r>
          </w:p>
          <w:p w14:paraId="1784C874">
            <w:pPr>
              <w:keepNext w:val="0"/>
              <w:keepLines w:val="0"/>
              <w:pageBreakBefore w:val="0"/>
              <w:widowControl w:val="0"/>
              <w:numPr>
                <w:ilvl w:val="0"/>
                <w:numId w:val="0"/>
              </w:numPr>
              <w:kinsoku/>
              <w:wordWrap/>
              <w:overflowPunct/>
              <w:topLinePunct w:val="0"/>
              <w:bidi w:val="0"/>
              <w:spacing w:line="360" w:lineRule="auto"/>
              <w:ind w:left="0" w:leftChars="0" w:right="0" w:rightChars="0" w:firstLine="480" w:firstLineChars="200"/>
              <w:textAlignment w:val="auto"/>
              <w:rPr>
                <w:rFonts w:hint="eastAsia" w:cs="Times New Roman"/>
                <w:color w:val="000000" w:themeColor="text1"/>
                <w:sz w:val="24"/>
                <w:szCs w:val="24"/>
                <w:lang w:val="en-US" w:eastAsia="zh-CN"/>
              </w:rPr>
            </w:pPr>
            <w:r>
              <w:rPr>
                <w:rFonts w:hint="eastAsia" w:ascii="Times New Roman" w:hAnsi="Times New Roman" w:eastAsia="宋体" w:cs="Times New Roman"/>
                <w:color w:val="000000" w:themeColor="text1"/>
                <w:kern w:val="2"/>
                <w:sz w:val="24"/>
                <w:szCs w:val="24"/>
                <w:lang w:val="en-US" w:eastAsia="zh-CN" w:bidi="ar-SA"/>
              </w:rPr>
              <w:t>（12）</w:t>
            </w:r>
            <w:r>
              <w:rPr>
                <w:rFonts w:hint="eastAsia" w:cs="Times New Roman"/>
                <w:color w:val="000000" w:themeColor="text1"/>
                <w:sz w:val="24"/>
                <w:szCs w:val="24"/>
                <w:lang w:val="en-US" w:eastAsia="zh-CN"/>
              </w:rPr>
              <w:t>废含油手套抹布</w:t>
            </w:r>
          </w:p>
          <w:p w14:paraId="6C94598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firstLine="480" w:firstLineChars="200"/>
              <w:textAlignment w:val="auto"/>
              <w:rPr>
                <w:rFonts w:hint="default" w:cs="Times New Roman"/>
                <w:color w:val="000000" w:themeColor="text1"/>
                <w:sz w:val="24"/>
                <w:szCs w:val="24"/>
                <w:lang w:val="en-US" w:eastAsia="zh-CN"/>
              </w:rPr>
            </w:pPr>
            <w:r>
              <w:rPr>
                <w:rFonts w:hint="default" w:cs="Times New Roman"/>
                <w:color w:val="000000" w:themeColor="text1"/>
                <w:sz w:val="24"/>
                <w:szCs w:val="24"/>
                <w:lang w:val="en-US" w:eastAsia="zh-CN"/>
              </w:rPr>
              <w:t>生产及检修过程中会产生废含油抹布、废手套，产生量约为0.</w:t>
            </w:r>
            <w:r>
              <w:rPr>
                <w:rFonts w:hint="eastAsia" w:cs="Times New Roman"/>
                <w:color w:val="000000" w:themeColor="text1"/>
                <w:sz w:val="24"/>
                <w:szCs w:val="24"/>
                <w:lang w:val="en-US" w:eastAsia="zh-CN"/>
              </w:rPr>
              <w:t>0</w:t>
            </w:r>
            <w:r>
              <w:rPr>
                <w:rFonts w:hint="default" w:cs="Times New Roman"/>
                <w:color w:val="000000" w:themeColor="text1"/>
                <w:sz w:val="24"/>
                <w:szCs w:val="24"/>
                <w:lang w:val="en-US" w:eastAsia="zh-CN"/>
              </w:rPr>
              <w:t>1t/a，属于《国家危险废物名录》（202</w:t>
            </w:r>
            <w:r>
              <w:rPr>
                <w:rFonts w:hint="eastAsia" w:cs="Times New Roman"/>
                <w:color w:val="000000" w:themeColor="text1"/>
                <w:sz w:val="24"/>
                <w:szCs w:val="24"/>
                <w:lang w:val="en-US" w:eastAsia="zh-CN"/>
              </w:rPr>
              <w:t>5</w:t>
            </w:r>
            <w:r>
              <w:rPr>
                <w:rFonts w:hint="default" w:cs="Times New Roman"/>
                <w:color w:val="000000" w:themeColor="text1"/>
                <w:sz w:val="24"/>
                <w:szCs w:val="24"/>
                <w:lang w:val="en-US" w:eastAsia="zh-CN"/>
              </w:rPr>
              <w:t>版）“HW49 其他废物”，废物代码为 900-041-49。</w:t>
            </w:r>
            <w:r>
              <w:rPr>
                <w:rFonts w:hint="eastAsia" w:cs="Times New Roman"/>
                <w:color w:val="000000" w:themeColor="text1"/>
                <w:sz w:val="24"/>
                <w:szCs w:val="24"/>
                <w:lang w:val="en-US" w:eastAsia="zh-CN"/>
              </w:rPr>
              <w:t>收集后暂存于危废暂存间，定期委托有资质单位处置。</w:t>
            </w:r>
          </w:p>
          <w:p w14:paraId="3A434204">
            <w:pPr>
              <w:keepNext w:val="0"/>
              <w:keepLines w:val="0"/>
              <w:pageBreakBefore w:val="0"/>
              <w:widowControl w:val="0"/>
              <w:kinsoku/>
              <w:wordWrap/>
              <w:overflowPunct/>
              <w:topLinePunct w:val="0"/>
              <w:bidi w:val="0"/>
              <w:spacing w:line="360" w:lineRule="auto"/>
              <w:ind w:left="0" w:right="0" w:firstLine="480" w:firstLineChars="200"/>
              <w:textAlignment w:val="auto"/>
              <w:rPr>
                <w:rFonts w:hint="default" w:ascii="Times New Roman" w:hAnsi="Times New Roman" w:cs="Times New Roman"/>
                <w:color w:val="000000" w:themeColor="text1"/>
                <w:sz w:val="24"/>
                <w:szCs w:val="24"/>
                <w:lang w:eastAsia="zh-CN"/>
              </w:rPr>
            </w:pPr>
            <w:r>
              <w:rPr>
                <w:rFonts w:hint="default" w:ascii="Times New Roman" w:hAnsi="Times New Roman" w:cs="Times New Roman"/>
                <w:color w:val="000000" w:themeColor="text1"/>
                <w:sz w:val="24"/>
                <w:szCs w:val="24"/>
                <w:lang w:eastAsia="zh-CN"/>
              </w:rPr>
              <w:t>（</w:t>
            </w:r>
            <w:r>
              <w:rPr>
                <w:rFonts w:hint="eastAsia" w:ascii="Times New Roman" w:hAnsi="Times New Roman" w:cs="Times New Roman"/>
                <w:color w:val="000000" w:themeColor="text1"/>
                <w:sz w:val="24"/>
                <w:szCs w:val="24"/>
                <w:lang w:val="en-US" w:eastAsia="zh-CN"/>
              </w:rPr>
              <w:t>1</w:t>
            </w:r>
            <w:r>
              <w:rPr>
                <w:rFonts w:hint="eastAsia" w:cs="Times New Roman"/>
                <w:color w:val="000000" w:themeColor="text1"/>
                <w:sz w:val="24"/>
                <w:szCs w:val="24"/>
                <w:lang w:val="en-US" w:eastAsia="zh-CN"/>
              </w:rPr>
              <w:t>3</w:t>
            </w:r>
            <w:r>
              <w:rPr>
                <w:rFonts w:hint="default" w:ascii="Times New Roman" w:hAnsi="Times New Roman" w:cs="Times New Roman"/>
                <w:color w:val="000000" w:themeColor="text1"/>
                <w:sz w:val="24"/>
                <w:szCs w:val="24"/>
                <w:lang w:eastAsia="zh-CN"/>
              </w:rPr>
              <w:t>）生活垃圾</w:t>
            </w:r>
          </w:p>
          <w:p w14:paraId="44FD103C">
            <w:pPr>
              <w:keepNext w:val="0"/>
              <w:keepLines w:val="0"/>
              <w:pageBreakBefore w:val="0"/>
              <w:widowControl w:val="0"/>
              <w:kinsoku/>
              <w:wordWrap/>
              <w:overflowPunct/>
              <w:topLinePunct w:val="0"/>
              <w:bidi w:val="0"/>
              <w:spacing w:line="360" w:lineRule="auto"/>
              <w:ind w:left="0" w:right="0" w:firstLine="480" w:firstLineChars="200"/>
              <w:textAlignment w:val="auto"/>
              <w:rPr>
                <w:rFonts w:hint="default" w:ascii="Times New Roman" w:hAnsi="Times New Roman" w:cs="Times New Roman"/>
                <w:color w:val="000000" w:themeColor="text1"/>
                <w:sz w:val="24"/>
                <w:szCs w:val="24"/>
                <w:lang w:eastAsia="zh-CN"/>
              </w:rPr>
            </w:pPr>
            <w:r>
              <w:rPr>
                <w:rFonts w:hint="default" w:ascii="Times New Roman" w:hAnsi="Times New Roman" w:cs="Times New Roman"/>
                <w:color w:val="000000" w:themeColor="text1"/>
                <w:sz w:val="24"/>
                <w:szCs w:val="24"/>
                <w:lang w:val="en-US" w:eastAsia="zh-CN"/>
              </w:rPr>
              <w:t>拟建</w:t>
            </w:r>
            <w:r>
              <w:rPr>
                <w:rFonts w:hint="default" w:ascii="Times New Roman" w:hAnsi="Times New Roman" w:cs="Times New Roman"/>
                <w:color w:val="000000" w:themeColor="text1"/>
                <w:sz w:val="24"/>
                <w:szCs w:val="24"/>
                <w:lang w:eastAsia="zh-CN"/>
              </w:rPr>
              <w:t>项目职工</w:t>
            </w:r>
            <w:r>
              <w:rPr>
                <w:rFonts w:hint="eastAsia" w:ascii="Times New Roman" w:hAnsi="Times New Roman" w:cs="Times New Roman"/>
                <w:color w:val="000000" w:themeColor="text1"/>
                <w:sz w:val="24"/>
                <w:szCs w:val="24"/>
                <w:lang w:val="en-US" w:eastAsia="zh-CN"/>
              </w:rPr>
              <w:t>20</w:t>
            </w:r>
            <w:r>
              <w:rPr>
                <w:rFonts w:hint="default" w:ascii="Times New Roman" w:hAnsi="Times New Roman" w:cs="Times New Roman"/>
                <w:color w:val="000000" w:themeColor="text1"/>
                <w:sz w:val="24"/>
                <w:szCs w:val="24"/>
                <w:lang w:eastAsia="zh-CN"/>
              </w:rPr>
              <w:t>人，生活垃圾产生量为0.</w:t>
            </w:r>
            <w:r>
              <w:rPr>
                <w:rFonts w:hint="eastAsia" w:ascii="Times New Roman" w:hAnsi="Times New Roman" w:cs="Times New Roman"/>
                <w:color w:val="000000" w:themeColor="text1"/>
                <w:sz w:val="24"/>
                <w:szCs w:val="24"/>
                <w:lang w:val="en-US" w:eastAsia="zh-CN"/>
              </w:rPr>
              <w:t>1</w:t>
            </w:r>
            <w:r>
              <w:rPr>
                <w:rFonts w:hint="default" w:ascii="Times New Roman" w:hAnsi="Times New Roman" w:cs="Times New Roman"/>
                <w:color w:val="000000" w:themeColor="text1"/>
                <w:sz w:val="24"/>
                <w:szCs w:val="24"/>
                <w:lang w:eastAsia="zh-CN"/>
              </w:rPr>
              <w:t>kg/d，年工作</w:t>
            </w:r>
            <w:r>
              <w:rPr>
                <w:rFonts w:hint="default" w:ascii="Times New Roman" w:hAnsi="Times New Roman" w:cs="Times New Roman"/>
                <w:color w:val="000000" w:themeColor="text1"/>
                <w:sz w:val="24"/>
                <w:szCs w:val="24"/>
                <w:lang w:val="en-US" w:eastAsia="zh-CN"/>
              </w:rPr>
              <w:t>300</w:t>
            </w:r>
            <w:r>
              <w:rPr>
                <w:rFonts w:hint="default" w:ascii="Times New Roman" w:hAnsi="Times New Roman" w:cs="Times New Roman"/>
                <w:color w:val="000000" w:themeColor="text1"/>
                <w:sz w:val="24"/>
                <w:szCs w:val="24"/>
                <w:lang w:eastAsia="zh-CN"/>
              </w:rPr>
              <w:t>天，则员工生活垃圾产生量约为</w:t>
            </w:r>
            <w:r>
              <w:rPr>
                <w:rFonts w:hint="eastAsia" w:ascii="Times New Roman" w:hAnsi="Times New Roman" w:cs="Times New Roman"/>
                <w:color w:val="000000" w:themeColor="text1"/>
                <w:sz w:val="24"/>
                <w:szCs w:val="24"/>
                <w:lang w:val="en-US" w:eastAsia="zh-CN"/>
              </w:rPr>
              <w:t>0.6</w:t>
            </w:r>
            <w:r>
              <w:rPr>
                <w:rFonts w:hint="default" w:ascii="Times New Roman" w:hAnsi="Times New Roman" w:cs="Times New Roman"/>
                <w:color w:val="000000" w:themeColor="text1"/>
                <w:sz w:val="24"/>
                <w:szCs w:val="24"/>
                <w:lang w:eastAsia="zh-CN"/>
              </w:rPr>
              <w:t>t/a，交由环卫部门处理。</w:t>
            </w:r>
          </w:p>
          <w:p w14:paraId="38768C88">
            <w:pPr>
              <w:spacing w:line="360" w:lineRule="auto"/>
              <w:ind w:firstLine="480" w:firstLineChars="20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本项目营运期固体废弃物分析结果汇总见表4-</w:t>
            </w:r>
            <w:r>
              <w:rPr>
                <w:rFonts w:hint="default" w:ascii="Times New Roman" w:hAnsi="Times New Roman" w:cs="Times New Roman"/>
                <w:color w:val="000000" w:themeColor="text1"/>
                <w:sz w:val="24"/>
                <w:szCs w:val="24"/>
                <w:lang w:val="en-US" w:eastAsia="zh-CN"/>
              </w:rPr>
              <w:t>1</w:t>
            </w:r>
            <w:r>
              <w:rPr>
                <w:rFonts w:hint="eastAsia" w:ascii="Times New Roman" w:hAnsi="Times New Roman" w:cs="Times New Roman"/>
                <w:color w:val="000000" w:themeColor="text1"/>
                <w:sz w:val="24"/>
                <w:szCs w:val="24"/>
                <w:lang w:val="en-US" w:eastAsia="zh-CN"/>
              </w:rPr>
              <w:t>7</w:t>
            </w:r>
            <w:r>
              <w:rPr>
                <w:rFonts w:hint="default" w:ascii="Times New Roman" w:hAnsi="Times New Roman" w:cs="Times New Roman"/>
                <w:color w:val="000000" w:themeColor="text1"/>
                <w:sz w:val="24"/>
                <w:szCs w:val="24"/>
              </w:rPr>
              <w:t>。</w:t>
            </w:r>
          </w:p>
          <w:p w14:paraId="77776367">
            <w:pPr>
              <w:ind w:firstLine="482" w:firstLineChars="200"/>
              <w:jc w:val="center"/>
              <w:rPr>
                <w:rFonts w:hint="default" w:ascii="Times New Roman" w:hAnsi="Times New Roman" w:cs="Times New Roman"/>
                <w:b/>
                <w:bCs/>
                <w:color w:val="000000" w:themeColor="text1"/>
                <w:sz w:val="24"/>
                <w:szCs w:val="24"/>
                <w:lang w:val="en-US" w:eastAsia="zh-CN"/>
              </w:rPr>
            </w:pPr>
            <w:r>
              <w:rPr>
                <w:rFonts w:hint="default" w:ascii="Times New Roman" w:hAnsi="Times New Roman" w:cs="Times New Roman"/>
                <w:b/>
                <w:bCs/>
                <w:color w:val="000000" w:themeColor="text1"/>
                <w:sz w:val="24"/>
                <w:szCs w:val="24"/>
              </w:rPr>
              <w:t>表4-</w:t>
            </w:r>
            <w:r>
              <w:rPr>
                <w:rFonts w:hint="default" w:ascii="Times New Roman" w:hAnsi="Times New Roman" w:cs="Times New Roman"/>
                <w:b/>
                <w:bCs/>
                <w:color w:val="000000" w:themeColor="text1"/>
                <w:sz w:val="24"/>
                <w:szCs w:val="24"/>
                <w:lang w:val="en-US" w:eastAsia="zh-CN"/>
              </w:rPr>
              <w:t>1</w:t>
            </w:r>
            <w:r>
              <w:rPr>
                <w:rFonts w:hint="eastAsia" w:ascii="Times New Roman" w:hAnsi="Times New Roman" w:cs="Times New Roman"/>
                <w:b/>
                <w:bCs/>
                <w:color w:val="000000" w:themeColor="text1"/>
                <w:sz w:val="24"/>
                <w:szCs w:val="24"/>
                <w:lang w:val="en-US" w:eastAsia="zh-CN"/>
              </w:rPr>
              <w:t>7</w:t>
            </w:r>
            <w:r>
              <w:rPr>
                <w:rFonts w:hint="default" w:ascii="Times New Roman" w:hAnsi="Times New Roman" w:cs="Times New Roman"/>
                <w:b/>
                <w:bCs/>
                <w:color w:val="000000" w:themeColor="text1"/>
                <w:sz w:val="24"/>
                <w:szCs w:val="24"/>
                <w:lang w:val="en-US" w:eastAsia="zh-CN"/>
              </w:rPr>
              <w:t xml:space="preserve"> </w:t>
            </w:r>
            <w:r>
              <w:rPr>
                <w:rFonts w:hint="default" w:ascii="Times New Roman" w:hAnsi="Times New Roman" w:cs="Times New Roman"/>
                <w:b/>
                <w:bCs/>
                <w:color w:val="000000" w:themeColor="text1"/>
                <w:sz w:val="24"/>
                <w:szCs w:val="24"/>
              </w:rPr>
              <w:t xml:space="preserve"> 固废产生情况一览表</w:t>
            </w:r>
            <w:r>
              <w:rPr>
                <w:rFonts w:hint="default" w:ascii="Times New Roman" w:hAnsi="Times New Roman" w:cs="Times New Roman"/>
                <w:b/>
                <w:bCs/>
                <w:color w:val="000000" w:themeColor="text1"/>
                <w:sz w:val="24"/>
                <w:szCs w:val="24"/>
                <w:lang w:val="en-US" w:eastAsia="zh-CN"/>
              </w:rPr>
              <w:t xml:space="preserve"> 单位：t/a</w:t>
            </w:r>
          </w:p>
          <w:tbl>
            <w:tblPr>
              <w:tblStyle w:val="3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7"/>
              <w:gridCol w:w="1712"/>
              <w:gridCol w:w="1509"/>
              <w:gridCol w:w="636"/>
              <w:gridCol w:w="1095"/>
              <w:gridCol w:w="1135"/>
              <w:gridCol w:w="1895"/>
            </w:tblGrid>
            <w:tr w14:paraId="23904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noWrap w:val="0"/>
                  <w:vAlign w:val="center"/>
                </w:tcPr>
                <w:p w14:paraId="07ED6222">
                  <w:pPr>
                    <w:spacing w:line="240" w:lineRule="auto"/>
                    <w:jc w:val="center"/>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lang w:val="en-US" w:eastAsia="zh-CN"/>
                    </w:rPr>
                    <w:t>固体废物分类</w:t>
                  </w:r>
                </w:p>
              </w:tc>
              <w:tc>
                <w:tcPr>
                  <w:tcW w:w="0" w:type="auto"/>
                  <w:noWrap w:val="0"/>
                  <w:vAlign w:val="center"/>
                </w:tcPr>
                <w:p w14:paraId="12A71BC7">
                  <w:pPr>
                    <w:spacing w:line="240" w:lineRule="auto"/>
                    <w:jc w:val="center"/>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lang w:val="en-US" w:eastAsia="zh-CN"/>
                    </w:rPr>
                    <w:t>废物名称</w:t>
                  </w:r>
                </w:p>
              </w:tc>
              <w:tc>
                <w:tcPr>
                  <w:tcW w:w="0" w:type="auto"/>
                  <w:noWrap w:val="0"/>
                  <w:vAlign w:val="center"/>
                </w:tcPr>
                <w:p w14:paraId="31E6C0B2">
                  <w:pPr>
                    <w:spacing w:line="240" w:lineRule="auto"/>
                    <w:jc w:val="center"/>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lang w:val="en-US" w:eastAsia="zh-CN"/>
                    </w:rPr>
                    <w:t>废物类别、代码</w:t>
                  </w:r>
                </w:p>
              </w:tc>
              <w:tc>
                <w:tcPr>
                  <w:tcW w:w="0" w:type="auto"/>
                  <w:noWrap w:val="0"/>
                  <w:vAlign w:val="center"/>
                </w:tcPr>
                <w:p w14:paraId="1E804256">
                  <w:pPr>
                    <w:spacing w:line="240" w:lineRule="auto"/>
                    <w:jc w:val="center"/>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lang w:val="en-US" w:eastAsia="zh-CN"/>
                    </w:rPr>
                    <w:t>性状</w:t>
                  </w:r>
                </w:p>
              </w:tc>
              <w:tc>
                <w:tcPr>
                  <w:tcW w:w="0" w:type="auto"/>
                  <w:noWrap w:val="0"/>
                  <w:vAlign w:val="center"/>
                </w:tcPr>
                <w:p w14:paraId="23E17092">
                  <w:pPr>
                    <w:spacing w:line="240" w:lineRule="auto"/>
                    <w:jc w:val="center"/>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lang w:val="en-US" w:eastAsia="zh-CN"/>
                    </w:rPr>
                    <w:t>产生量（t/a）</w:t>
                  </w:r>
                </w:p>
              </w:tc>
              <w:tc>
                <w:tcPr>
                  <w:tcW w:w="0" w:type="auto"/>
                  <w:noWrap w:val="0"/>
                  <w:vAlign w:val="center"/>
                </w:tcPr>
                <w:p w14:paraId="679D82BB">
                  <w:pPr>
                    <w:spacing w:line="240" w:lineRule="auto"/>
                    <w:jc w:val="center"/>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lang w:val="en-US" w:eastAsia="zh-CN"/>
                    </w:rPr>
                    <w:t>主要成分</w:t>
                  </w:r>
                </w:p>
              </w:tc>
              <w:tc>
                <w:tcPr>
                  <w:tcW w:w="0" w:type="auto"/>
                  <w:noWrap w:val="0"/>
                  <w:vAlign w:val="center"/>
                </w:tcPr>
                <w:p w14:paraId="5377FFF5">
                  <w:pPr>
                    <w:spacing w:line="240" w:lineRule="auto"/>
                    <w:jc w:val="center"/>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lang w:val="en-US" w:eastAsia="zh-CN"/>
                    </w:rPr>
                    <w:t>处置方式</w:t>
                  </w:r>
                </w:p>
              </w:tc>
            </w:tr>
            <w:tr w14:paraId="5A941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restart"/>
                  <w:noWrap w:val="0"/>
                  <w:vAlign w:val="center"/>
                </w:tcPr>
                <w:p w14:paraId="275A52A4">
                  <w:pPr>
                    <w:spacing w:line="240" w:lineRule="auto"/>
                    <w:jc w:val="center"/>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lang w:val="en-US" w:eastAsia="zh-CN"/>
                    </w:rPr>
                    <w:t>一般固体废物</w:t>
                  </w:r>
                </w:p>
              </w:tc>
              <w:tc>
                <w:tcPr>
                  <w:tcW w:w="0" w:type="auto"/>
                  <w:noWrap w:val="0"/>
                  <w:vAlign w:val="center"/>
                </w:tcPr>
                <w:p w14:paraId="0CFC34E7">
                  <w:pPr>
                    <w:spacing w:line="240" w:lineRule="auto"/>
                    <w:jc w:val="center"/>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lang w:val="en-US" w:eastAsia="zh-CN"/>
                    </w:rPr>
                    <w:t>废铜（铝）线</w:t>
                  </w:r>
                </w:p>
              </w:tc>
              <w:tc>
                <w:tcPr>
                  <w:tcW w:w="0" w:type="auto"/>
                  <w:noWrap w:val="0"/>
                  <w:vAlign w:val="center"/>
                </w:tcPr>
                <w:p w14:paraId="447A7B64">
                  <w:pPr>
                    <w:spacing w:line="240" w:lineRule="auto"/>
                    <w:jc w:val="center"/>
                    <w:rPr>
                      <w:rFonts w:hint="default" w:ascii="Times New Roman" w:hAnsi="Times New Roman" w:cs="Times New Roman"/>
                      <w:color w:val="000000" w:themeColor="text1"/>
                      <w:lang w:val="en-US" w:eastAsia="zh-CN"/>
                    </w:rPr>
                  </w:pPr>
                  <w:r>
                    <w:rPr>
                      <w:rFonts w:hint="eastAsia" w:cs="Times New Roman"/>
                      <w:color w:val="000000" w:themeColor="text1"/>
                      <w:lang w:val="en-US" w:eastAsia="zh-CN"/>
                    </w:rPr>
                    <w:t>900-002-17</w:t>
                  </w:r>
                </w:p>
              </w:tc>
              <w:tc>
                <w:tcPr>
                  <w:tcW w:w="0" w:type="auto"/>
                  <w:noWrap w:val="0"/>
                  <w:vAlign w:val="center"/>
                </w:tcPr>
                <w:p w14:paraId="605A9CE4">
                  <w:pPr>
                    <w:spacing w:line="240" w:lineRule="auto"/>
                    <w:jc w:val="center"/>
                    <w:rPr>
                      <w:rFonts w:hint="default" w:ascii="Times New Roman" w:hAnsi="Times New Roman" w:cs="Times New Roman"/>
                      <w:color w:val="000000" w:themeColor="text1"/>
                      <w:lang w:val="en-US" w:eastAsia="zh-CN"/>
                    </w:rPr>
                  </w:pPr>
                  <w:r>
                    <w:rPr>
                      <w:rFonts w:hint="eastAsia" w:ascii="Times New Roman" w:hAnsi="Times New Roman" w:cs="Times New Roman"/>
                      <w:color w:val="000000" w:themeColor="text1"/>
                      <w:lang w:val="en-US" w:eastAsia="zh-CN"/>
                    </w:rPr>
                    <w:t>固态</w:t>
                  </w:r>
                </w:p>
              </w:tc>
              <w:tc>
                <w:tcPr>
                  <w:tcW w:w="0" w:type="auto"/>
                  <w:noWrap w:val="0"/>
                  <w:vAlign w:val="center"/>
                </w:tcPr>
                <w:p w14:paraId="6DCFEA3E">
                  <w:pPr>
                    <w:spacing w:line="240" w:lineRule="auto"/>
                    <w:jc w:val="center"/>
                    <w:rPr>
                      <w:rFonts w:hint="default" w:ascii="Times New Roman" w:hAnsi="Times New Roman" w:cs="Times New Roman"/>
                      <w:color w:val="000000" w:themeColor="text1"/>
                      <w:lang w:val="en-US" w:eastAsia="zh-CN"/>
                    </w:rPr>
                  </w:pPr>
                  <w:r>
                    <w:rPr>
                      <w:rFonts w:hint="eastAsia" w:ascii="Times New Roman" w:hAnsi="Times New Roman" w:cs="Times New Roman"/>
                      <w:color w:val="000000" w:themeColor="text1"/>
                      <w:lang w:val="en-US" w:eastAsia="zh-CN"/>
                    </w:rPr>
                    <w:t>0.09</w:t>
                  </w:r>
                </w:p>
              </w:tc>
              <w:tc>
                <w:tcPr>
                  <w:tcW w:w="0" w:type="auto"/>
                  <w:noWrap w:val="0"/>
                  <w:vAlign w:val="center"/>
                </w:tcPr>
                <w:p w14:paraId="1E400BCE">
                  <w:pPr>
                    <w:spacing w:line="240" w:lineRule="auto"/>
                    <w:jc w:val="center"/>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lang w:val="en-US" w:eastAsia="zh-CN"/>
                    </w:rPr>
                    <w:t>铜（铝）线</w:t>
                  </w:r>
                </w:p>
              </w:tc>
              <w:tc>
                <w:tcPr>
                  <w:tcW w:w="0" w:type="auto"/>
                  <w:vMerge w:val="restart"/>
                  <w:noWrap w:val="0"/>
                  <w:vAlign w:val="center"/>
                </w:tcPr>
                <w:p w14:paraId="2B958825">
                  <w:pPr>
                    <w:spacing w:line="240" w:lineRule="auto"/>
                    <w:jc w:val="center"/>
                    <w:rPr>
                      <w:rFonts w:hint="default" w:ascii="Times New Roman" w:hAnsi="Times New Roman" w:cs="Times New Roman"/>
                      <w:color w:val="000000" w:themeColor="text1"/>
                      <w:lang w:val="en-US" w:eastAsia="zh-CN"/>
                    </w:rPr>
                  </w:pPr>
                  <w:r>
                    <w:rPr>
                      <w:rFonts w:hint="eastAsia" w:ascii="Times New Roman" w:hAnsi="Times New Roman" w:cs="Times New Roman"/>
                      <w:color w:val="000000" w:themeColor="text1"/>
                      <w:lang w:val="en-US" w:eastAsia="zh-CN"/>
                    </w:rPr>
                    <w:t>委托一般固废处置单位回收</w:t>
                  </w:r>
                </w:p>
              </w:tc>
            </w:tr>
            <w:tr w14:paraId="353436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noWrap w:val="0"/>
                  <w:vAlign w:val="center"/>
                </w:tcPr>
                <w:p w14:paraId="652C2F1C">
                  <w:pPr>
                    <w:spacing w:line="240" w:lineRule="auto"/>
                    <w:jc w:val="center"/>
                    <w:rPr>
                      <w:rFonts w:hint="default" w:ascii="Times New Roman" w:hAnsi="Times New Roman" w:cs="Times New Roman"/>
                      <w:color w:val="000000" w:themeColor="text1"/>
                      <w:lang w:val="en-US" w:eastAsia="zh-CN"/>
                    </w:rPr>
                  </w:pPr>
                </w:p>
              </w:tc>
              <w:tc>
                <w:tcPr>
                  <w:tcW w:w="0" w:type="auto"/>
                  <w:noWrap w:val="0"/>
                  <w:vAlign w:val="center"/>
                </w:tcPr>
                <w:p w14:paraId="0417EB20">
                  <w:pPr>
                    <w:spacing w:line="240" w:lineRule="auto"/>
                    <w:jc w:val="center"/>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lang w:val="en-US" w:eastAsia="zh-CN"/>
                    </w:rPr>
                    <w:t>废铜（铝）箔</w:t>
                  </w:r>
                </w:p>
              </w:tc>
              <w:tc>
                <w:tcPr>
                  <w:tcW w:w="0" w:type="auto"/>
                  <w:noWrap w:val="0"/>
                  <w:vAlign w:val="center"/>
                </w:tcPr>
                <w:p w14:paraId="7C25AECA">
                  <w:pPr>
                    <w:spacing w:line="240" w:lineRule="auto"/>
                    <w:jc w:val="center"/>
                    <w:rPr>
                      <w:rFonts w:hint="default" w:ascii="Times New Roman" w:hAnsi="Times New Roman" w:cs="Times New Roman"/>
                      <w:color w:val="000000" w:themeColor="text1"/>
                      <w:lang w:val="en-US" w:eastAsia="zh-CN"/>
                    </w:rPr>
                  </w:pPr>
                  <w:r>
                    <w:rPr>
                      <w:rFonts w:hint="eastAsia" w:cs="Times New Roman"/>
                      <w:color w:val="000000" w:themeColor="text1"/>
                      <w:lang w:val="en-US" w:eastAsia="zh-CN"/>
                    </w:rPr>
                    <w:t>900-002-17</w:t>
                  </w:r>
                </w:p>
              </w:tc>
              <w:tc>
                <w:tcPr>
                  <w:tcW w:w="0" w:type="auto"/>
                  <w:noWrap w:val="0"/>
                  <w:vAlign w:val="center"/>
                </w:tcPr>
                <w:p w14:paraId="5688811E">
                  <w:pPr>
                    <w:spacing w:line="240" w:lineRule="auto"/>
                    <w:jc w:val="center"/>
                    <w:rPr>
                      <w:rFonts w:hint="default" w:ascii="Times New Roman" w:hAnsi="Times New Roman" w:cs="Times New Roman"/>
                      <w:color w:val="000000" w:themeColor="text1"/>
                      <w:lang w:val="en-US" w:eastAsia="zh-CN"/>
                    </w:rPr>
                  </w:pPr>
                  <w:r>
                    <w:rPr>
                      <w:rFonts w:hint="eastAsia" w:ascii="Times New Roman" w:hAnsi="Times New Roman" w:cs="Times New Roman"/>
                      <w:color w:val="000000" w:themeColor="text1"/>
                      <w:lang w:val="en-US" w:eastAsia="zh-CN"/>
                    </w:rPr>
                    <w:t>固态</w:t>
                  </w:r>
                </w:p>
              </w:tc>
              <w:tc>
                <w:tcPr>
                  <w:tcW w:w="0" w:type="auto"/>
                  <w:noWrap w:val="0"/>
                  <w:vAlign w:val="center"/>
                </w:tcPr>
                <w:p w14:paraId="36CE03D2">
                  <w:pPr>
                    <w:spacing w:line="240" w:lineRule="auto"/>
                    <w:jc w:val="center"/>
                    <w:rPr>
                      <w:rFonts w:hint="default" w:ascii="Times New Roman" w:hAnsi="Times New Roman" w:cs="Times New Roman"/>
                      <w:color w:val="000000" w:themeColor="text1"/>
                      <w:lang w:val="en-US" w:eastAsia="zh-CN"/>
                    </w:rPr>
                  </w:pPr>
                  <w:r>
                    <w:rPr>
                      <w:rFonts w:hint="eastAsia" w:ascii="Times New Roman" w:hAnsi="Times New Roman" w:cs="Times New Roman"/>
                      <w:color w:val="000000" w:themeColor="text1"/>
                      <w:lang w:val="en-US" w:eastAsia="zh-CN"/>
                    </w:rPr>
                    <w:t>0.08</w:t>
                  </w:r>
                </w:p>
              </w:tc>
              <w:tc>
                <w:tcPr>
                  <w:tcW w:w="0" w:type="auto"/>
                  <w:noWrap w:val="0"/>
                  <w:vAlign w:val="center"/>
                </w:tcPr>
                <w:p w14:paraId="70382D76">
                  <w:pPr>
                    <w:spacing w:line="240" w:lineRule="auto"/>
                    <w:jc w:val="center"/>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lang w:val="en-US" w:eastAsia="zh-CN"/>
                    </w:rPr>
                    <w:t>铜（铝）箔</w:t>
                  </w:r>
                </w:p>
              </w:tc>
              <w:tc>
                <w:tcPr>
                  <w:tcW w:w="0" w:type="auto"/>
                  <w:vMerge w:val="continue"/>
                  <w:noWrap w:val="0"/>
                  <w:vAlign w:val="center"/>
                </w:tcPr>
                <w:p w14:paraId="2F7F1250">
                  <w:pPr>
                    <w:spacing w:line="240" w:lineRule="auto"/>
                    <w:jc w:val="center"/>
                    <w:rPr>
                      <w:rFonts w:hint="default" w:ascii="Times New Roman" w:hAnsi="Times New Roman" w:cs="Times New Roman"/>
                      <w:color w:val="000000" w:themeColor="text1"/>
                      <w:lang w:val="en-US" w:eastAsia="zh-CN"/>
                    </w:rPr>
                  </w:pPr>
                </w:p>
              </w:tc>
            </w:tr>
            <w:tr w14:paraId="02EE8A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noWrap w:val="0"/>
                  <w:vAlign w:val="center"/>
                </w:tcPr>
                <w:p w14:paraId="4D931E01">
                  <w:pPr>
                    <w:spacing w:line="240" w:lineRule="auto"/>
                    <w:jc w:val="center"/>
                    <w:rPr>
                      <w:rFonts w:hint="default" w:ascii="Times New Roman" w:hAnsi="Times New Roman" w:cs="Times New Roman"/>
                      <w:color w:val="000000" w:themeColor="text1"/>
                      <w:lang w:val="en-US" w:eastAsia="zh-CN"/>
                    </w:rPr>
                  </w:pPr>
                </w:p>
              </w:tc>
              <w:tc>
                <w:tcPr>
                  <w:tcW w:w="0" w:type="auto"/>
                  <w:noWrap w:val="0"/>
                  <w:vAlign w:val="center"/>
                </w:tcPr>
                <w:p w14:paraId="6B98F961">
                  <w:pPr>
                    <w:spacing w:line="240" w:lineRule="auto"/>
                    <w:jc w:val="center"/>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lang w:val="en-US" w:eastAsia="zh-CN"/>
                    </w:rPr>
                    <w:t>废绝缘材料</w:t>
                  </w:r>
                </w:p>
              </w:tc>
              <w:tc>
                <w:tcPr>
                  <w:tcW w:w="0" w:type="auto"/>
                  <w:noWrap w:val="0"/>
                  <w:vAlign w:val="center"/>
                </w:tcPr>
                <w:p w14:paraId="26B2DBAD">
                  <w:pPr>
                    <w:spacing w:line="240" w:lineRule="auto"/>
                    <w:jc w:val="center"/>
                    <w:rPr>
                      <w:rFonts w:hint="eastAsia" w:ascii="Times New Roman" w:hAnsi="Times New Roman" w:cs="Times New Roman"/>
                      <w:color w:val="000000" w:themeColor="text1"/>
                      <w:lang w:val="en-US" w:eastAsia="zh-CN"/>
                    </w:rPr>
                  </w:pPr>
                  <w:r>
                    <w:rPr>
                      <w:rFonts w:hint="eastAsia" w:cs="Times New Roman"/>
                      <w:color w:val="000000" w:themeColor="text1"/>
                      <w:lang w:val="en-US" w:eastAsia="zh-CN"/>
                    </w:rPr>
                    <w:t>900-099-S59</w:t>
                  </w:r>
                </w:p>
              </w:tc>
              <w:tc>
                <w:tcPr>
                  <w:tcW w:w="0" w:type="auto"/>
                  <w:noWrap w:val="0"/>
                  <w:vAlign w:val="center"/>
                </w:tcPr>
                <w:p w14:paraId="361BEF4F">
                  <w:pPr>
                    <w:spacing w:line="240" w:lineRule="auto"/>
                    <w:jc w:val="center"/>
                    <w:rPr>
                      <w:rFonts w:hint="eastAsia" w:ascii="Times New Roman" w:hAnsi="Times New Roman" w:cs="Times New Roman"/>
                      <w:color w:val="000000" w:themeColor="text1"/>
                      <w:lang w:val="en-US" w:eastAsia="zh-CN"/>
                    </w:rPr>
                  </w:pPr>
                  <w:r>
                    <w:rPr>
                      <w:rFonts w:hint="eastAsia" w:ascii="Times New Roman" w:hAnsi="Times New Roman" w:cs="Times New Roman"/>
                      <w:color w:val="000000" w:themeColor="text1"/>
                      <w:lang w:val="en-US" w:eastAsia="zh-CN"/>
                    </w:rPr>
                    <w:t>固态</w:t>
                  </w:r>
                </w:p>
              </w:tc>
              <w:tc>
                <w:tcPr>
                  <w:tcW w:w="0" w:type="auto"/>
                  <w:noWrap w:val="0"/>
                  <w:vAlign w:val="center"/>
                </w:tcPr>
                <w:p w14:paraId="585A11A6">
                  <w:pPr>
                    <w:spacing w:line="240" w:lineRule="auto"/>
                    <w:jc w:val="center"/>
                    <w:rPr>
                      <w:rFonts w:hint="default" w:ascii="Times New Roman" w:hAnsi="Times New Roman" w:cs="Times New Roman"/>
                      <w:color w:val="000000" w:themeColor="text1"/>
                      <w:lang w:val="en-US" w:eastAsia="zh-CN"/>
                    </w:rPr>
                  </w:pPr>
                  <w:r>
                    <w:rPr>
                      <w:rFonts w:hint="eastAsia" w:ascii="Times New Roman" w:hAnsi="Times New Roman" w:cs="Times New Roman"/>
                      <w:color w:val="000000" w:themeColor="text1"/>
                      <w:lang w:val="en-US" w:eastAsia="zh-CN"/>
                    </w:rPr>
                    <w:t>0.017</w:t>
                  </w:r>
                </w:p>
              </w:tc>
              <w:tc>
                <w:tcPr>
                  <w:tcW w:w="0" w:type="auto"/>
                  <w:noWrap w:val="0"/>
                  <w:vAlign w:val="center"/>
                </w:tcPr>
                <w:p w14:paraId="5A0681CC">
                  <w:pPr>
                    <w:spacing w:line="240" w:lineRule="auto"/>
                    <w:jc w:val="center"/>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lang w:val="en-US" w:eastAsia="zh-CN"/>
                    </w:rPr>
                    <w:t>绝缘材料</w:t>
                  </w:r>
                </w:p>
              </w:tc>
              <w:tc>
                <w:tcPr>
                  <w:tcW w:w="0" w:type="auto"/>
                  <w:vMerge w:val="continue"/>
                  <w:noWrap w:val="0"/>
                  <w:vAlign w:val="center"/>
                </w:tcPr>
                <w:p w14:paraId="725196EC">
                  <w:pPr>
                    <w:spacing w:line="240" w:lineRule="auto"/>
                    <w:jc w:val="center"/>
                    <w:rPr>
                      <w:rFonts w:hint="default" w:ascii="Times New Roman" w:hAnsi="Times New Roman" w:cs="Times New Roman"/>
                      <w:color w:val="000000" w:themeColor="text1"/>
                      <w:lang w:val="en-US" w:eastAsia="zh-CN"/>
                    </w:rPr>
                  </w:pPr>
                </w:p>
              </w:tc>
            </w:tr>
            <w:tr w14:paraId="03A4AD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noWrap w:val="0"/>
                  <w:vAlign w:val="center"/>
                </w:tcPr>
                <w:p w14:paraId="5763A5F9">
                  <w:pPr>
                    <w:spacing w:line="240" w:lineRule="auto"/>
                    <w:jc w:val="center"/>
                    <w:rPr>
                      <w:rFonts w:hint="default" w:ascii="Times New Roman" w:hAnsi="Times New Roman" w:cs="Times New Roman"/>
                      <w:color w:val="000000" w:themeColor="text1"/>
                      <w:lang w:val="en-US" w:eastAsia="zh-CN"/>
                    </w:rPr>
                  </w:pPr>
                </w:p>
              </w:tc>
              <w:tc>
                <w:tcPr>
                  <w:tcW w:w="0" w:type="auto"/>
                  <w:noWrap w:val="0"/>
                  <w:vAlign w:val="center"/>
                </w:tcPr>
                <w:p w14:paraId="773F35BA">
                  <w:pPr>
                    <w:spacing w:line="240" w:lineRule="auto"/>
                    <w:jc w:val="center"/>
                    <w:rPr>
                      <w:rFonts w:hint="default" w:ascii="Times New Roman" w:hAnsi="Times New Roman" w:cs="Times New Roman"/>
                      <w:color w:val="000000" w:themeColor="text1"/>
                      <w:lang w:val="en-US" w:eastAsia="zh-CN"/>
                    </w:rPr>
                  </w:pPr>
                  <w:r>
                    <w:rPr>
                      <w:rFonts w:hint="eastAsia" w:ascii="Times New Roman" w:hAnsi="Times New Roman" w:cs="Times New Roman"/>
                      <w:color w:val="000000" w:themeColor="text1"/>
                      <w:lang w:val="en-US" w:eastAsia="zh-CN"/>
                    </w:rPr>
                    <w:t>焊渣</w:t>
                  </w:r>
                </w:p>
              </w:tc>
              <w:tc>
                <w:tcPr>
                  <w:tcW w:w="0" w:type="auto"/>
                  <w:noWrap w:val="0"/>
                  <w:vAlign w:val="center"/>
                </w:tcPr>
                <w:p w14:paraId="459C7C04">
                  <w:pPr>
                    <w:spacing w:line="240" w:lineRule="auto"/>
                    <w:jc w:val="center"/>
                    <w:rPr>
                      <w:rFonts w:hint="eastAsia" w:ascii="Times New Roman" w:hAnsi="Times New Roman" w:cs="Times New Roman"/>
                      <w:color w:val="000000" w:themeColor="text1"/>
                      <w:lang w:val="en-US" w:eastAsia="zh-CN"/>
                    </w:rPr>
                  </w:pPr>
                  <w:r>
                    <w:rPr>
                      <w:rFonts w:hint="eastAsia" w:cs="Times New Roman"/>
                      <w:color w:val="000000" w:themeColor="text1"/>
                      <w:lang w:val="en-US" w:eastAsia="zh-CN"/>
                    </w:rPr>
                    <w:t>900-099-S59</w:t>
                  </w:r>
                </w:p>
              </w:tc>
              <w:tc>
                <w:tcPr>
                  <w:tcW w:w="0" w:type="auto"/>
                  <w:noWrap w:val="0"/>
                  <w:vAlign w:val="center"/>
                </w:tcPr>
                <w:p w14:paraId="5C06499C">
                  <w:pPr>
                    <w:spacing w:line="240" w:lineRule="auto"/>
                    <w:jc w:val="center"/>
                    <w:rPr>
                      <w:rFonts w:hint="eastAsia" w:ascii="Times New Roman" w:hAnsi="Times New Roman" w:cs="Times New Roman"/>
                      <w:color w:val="000000" w:themeColor="text1"/>
                      <w:lang w:val="en-US" w:eastAsia="zh-CN"/>
                    </w:rPr>
                  </w:pPr>
                  <w:r>
                    <w:rPr>
                      <w:rFonts w:hint="eastAsia" w:ascii="Times New Roman" w:hAnsi="Times New Roman" w:cs="Times New Roman"/>
                      <w:color w:val="000000" w:themeColor="text1"/>
                      <w:lang w:val="en-US" w:eastAsia="zh-CN"/>
                    </w:rPr>
                    <w:t>固态</w:t>
                  </w:r>
                </w:p>
              </w:tc>
              <w:tc>
                <w:tcPr>
                  <w:tcW w:w="0" w:type="auto"/>
                  <w:noWrap w:val="0"/>
                  <w:vAlign w:val="center"/>
                </w:tcPr>
                <w:p w14:paraId="3F435419">
                  <w:pPr>
                    <w:spacing w:line="240" w:lineRule="auto"/>
                    <w:jc w:val="center"/>
                    <w:rPr>
                      <w:rFonts w:hint="default" w:ascii="Times New Roman" w:hAnsi="Times New Roman" w:cs="Times New Roman"/>
                      <w:color w:val="000000" w:themeColor="text1"/>
                      <w:lang w:val="en-US" w:eastAsia="zh-CN"/>
                    </w:rPr>
                  </w:pPr>
                  <w:r>
                    <w:rPr>
                      <w:rFonts w:hint="eastAsia" w:ascii="Times New Roman" w:hAnsi="Times New Roman" w:cs="Times New Roman"/>
                      <w:color w:val="000000" w:themeColor="text1"/>
                      <w:lang w:val="en-US" w:eastAsia="zh-CN"/>
                    </w:rPr>
                    <w:t>0.0004</w:t>
                  </w:r>
                </w:p>
              </w:tc>
              <w:tc>
                <w:tcPr>
                  <w:tcW w:w="0" w:type="auto"/>
                  <w:noWrap w:val="0"/>
                  <w:vAlign w:val="center"/>
                </w:tcPr>
                <w:p w14:paraId="33C08CC7">
                  <w:pPr>
                    <w:spacing w:line="240" w:lineRule="auto"/>
                    <w:jc w:val="center"/>
                    <w:rPr>
                      <w:rFonts w:hint="default" w:ascii="Times New Roman" w:hAnsi="Times New Roman" w:cs="Times New Roman"/>
                      <w:color w:val="000000" w:themeColor="text1"/>
                      <w:lang w:val="en-US" w:eastAsia="zh-CN"/>
                    </w:rPr>
                  </w:pPr>
                  <w:r>
                    <w:rPr>
                      <w:rFonts w:hint="eastAsia" w:ascii="Times New Roman" w:hAnsi="Times New Roman" w:cs="Times New Roman"/>
                      <w:color w:val="000000" w:themeColor="text1"/>
                      <w:lang w:val="en-US" w:eastAsia="zh-CN"/>
                    </w:rPr>
                    <w:t>/</w:t>
                  </w:r>
                </w:p>
              </w:tc>
              <w:tc>
                <w:tcPr>
                  <w:tcW w:w="0" w:type="auto"/>
                  <w:vMerge w:val="continue"/>
                  <w:noWrap w:val="0"/>
                  <w:vAlign w:val="center"/>
                </w:tcPr>
                <w:p w14:paraId="55C1CFCA">
                  <w:pPr>
                    <w:spacing w:line="240" w:lineRule="auto"/>
                    <w:jc w:val="center"/>
                    <w:rPr>
                      <w:rFonts w:hint="default" w:ascii="Times New Roman" w:hAnsi="Times New Roman" w:cs="Times New Roman"/>
                      <w:color w:val="000000" w:themeColor="text1"/>
                      <w:lang w:val="en-US" w:eastAsia="zh-CN"/>
                    </w:rPr>
                  </w:pPr>
                </w:p>
              </w:tc>
            </w:tr>
            <w:tr w14:paraId="49F31C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noWrap w:val="0"/>
                  <w:vAlign w:val="center"/>
                </w:tcPr>
                <w:p w14:paraId="5D328BDC">
                  <w:pPr>
                    <w:spacing w:line="240" w:lineRule="auto"/>
                    <w:jc w:val="center"/>
                    <w:rPr>
                      <w:rFonts w:hint="default" w:ascii="Times New Roman" w:hAnsi="Times New Roman" w:cs="Times New Roman"/>
                      <w:color w:val="000000" w:themeColor="text1"/>
                      <w:lang w:val="en-US" w:eastAsia="zh-CN"/>
                    </w:rPr>
                  </w:pPr>
                </w:p>
              </w:tc>
              <w:tc>
                <w:tcPr>
                  <w:tcW w:w="0" w:type="auto"/>
                  <w:noWrap w:val="0"/>
                  <w:vAlign w:val="center"/>
                </w:tcPr>
                <w:p w14:paraId="38BD4E89">
                  <w:pPr>
                    <w:spacing w:line="240" w:lineRule="auto"/>
                    <w:jc w:val="center"/>
                    <w:rPr>
                      <w:rFonts w:hint="default" w:ascii="Times New Roman" w:hAnsi="Times New Roman" w:eastAsia="宋体" w:cs="Times New Roman"/>
                      <w:color w:val="000000" w:themeColor="text1"/>
                      <w:lang w:val="en-US" w:eastAsia="zh-CN"/>
                    </w:rPr>
                  </w:pPr>
                  <w:r>
                    <w:rPr>
                      <w:rFonts w:hint="eastAsia" w:ascii="Times New Roman" w:hAnsi="Times New Roman" w:cs="Times New Roman"/>
                      <w:color w:val="000000" w:themeColor="text1"/>
                      <w:sz w:val="21"/>
                      <w:szCs w:val="21"/>
                      <w:lang w:val="en-US" w:eastAsia="zh-CN"/>
                    </w:rPr>
                    <w:t>废边角料</w:t>
                  </w:r>
                </w:p>
              </w:tc>
              <w:tc>
                <w:tcPr>
                  <w:tcW w:w="0" w:type="auto"/>
                  <w:noWrap w:val="0"/>
                  <w:vAlign w:val="center"/>
                </w:tcPr>
                <w:p w14:paraId="3AA16F0E">
                  <w:pPr>
                    <w:spacing w:line="240" w:lineRule="auto"/>
                    <w:jc w:val="center"/>
                    <w:rPr>
                      <w:rFonts w:hint="default" w:ascii="Times New Roman" w:hAnsi="Times New Roman" w:eastAsia="宋体" w:cs="Times New Roman"/>
                      <w:color w:val="000000" w:themeColor="text1"/>
                      <w:lang w:val="en-US" w:eastAsia="zh-CN"/>
                    </w:rPr>
                  </w:pPr>
                  <w:r>
                    <w:rPr>
                      <w:rFonts w:hint="eastAsia" w:cs="Times New Roman"/>
                      <w:color w:val="000000" w:themeColor="text1"/>
                      <w:lang w:val="en-US" w:eastAsia="zh-CN"/>
                    </w:rPr>
                    <w:t>900-099-S59</w:t>
                  </w:r>
                </w:p>
              </w:tc>
              <w:tc>
                <w:tcPr>
                  <w:tcW w:w="0" w:type="auto"/>
                  <w:noWrap w:val="0"/>
                  <w:vAlign w:val="center"/>
                </w:tcPr>
                <w:p w14:paraId="59C09D4A">
                  <w:pPr>
                    <w:spacing w:line="240" w:lineRule="auto"/>
                    <w:jc w:val="center"/>
                    <w:rPr>
                      <w:rFonts w:hint="default" w:ascii="Times New Roman" w:hAnsi="Times New Roman" w:eastAsia="宋体" w:cs="Times New Roman"/>
                      <w:color w:val="000000" w:themeColor="text1"/>
                      <w:lang w:val="en-US" w:eastAsia="zh-CN"/>
                    </w:rPr>
                  </w:pPr>
                  <w:r>
                    <w:rPr>
                      <w:rFonts w:hint="eastAsia" w:ascii="Times New Roman" w:hAnsi="Times New Roman" w:eastAsia="宋体" w:cs="Times New Roman"/>
                      <w:color w:val="000000" w:themeColor="text1"/>
                      <w:lang w:val="en-US" w:eastAsia="zh-CN"/>
                    </w:rPr>
                    <w:t>固态</w:t>
                  </w:r>
                </w:p>
              </w:tc>
              <w:tc>
                <w:tcPr>
                  <w:tcW w:w="0" w:type="auto"/>
                  <w:noWrap w:val="0"/>
                  <w:vAlign w:val="center"/>
                </w:tcPr>
                <w:p w14:paraId="1855F92E">
                  <w:pPr>
                    <w:spacing w:line="240" w:lineRule="auto"/>
                    <w:jc w:val="center"/>
                    <w:rPr>
                      <w:rFonts w:hint="default" w:ascii="Times New Roman" w:hAnsi="Times New Roman" w:eastAsia="宋体" w:cs="Times New Roman"/>
                      <w:color w:val="000000" w:themeColor="text1"/>
                      <w:lang w:val="en-US" w:eastAsia="zh-CN"/>
                    </w:rPr>
                  </w:pPr>
                  <w:r>
                    <w:rPr>
                      <w:rFonts w:hint="eastAsia" w:ascii="Times New Roman" w:hAnsi="Times New Roman" w:eastAsia="宋体" w:cs="Times New Roman"/>
                      <w:color w:val="000000" w:themeColor="text1"/>
                      <w:lang w:val="en-US" w:eastAsia="zh-CN"/>
                    </w:rPr>
                    <w:t>0.03</w:t>
                  </w:r>
                </w:p>
              </w:tc>
              <w:tc>
                <w:tcPr>
                  <w:tcW w:w="0" w:type="auto"/>
                  <w:noWrap w:val="0"/>
                  <w:vAlign w:val="center"/>
                </w:tcPr>
                <w:p w14:paraId="28D38CB0">
                  <w:pPr>
                    <w:spacing w:line="240" w:lineRule="auto"/>
                    <w:jc w:val="center"/>
                    <w:rPr>
                      <w:rFonts w:hint="default" w:ascii="Times New Roman" w:hAnsi="Times New Roman" w:eastAsia="宋体" w:cs="Times New Roman"/>
                      <w:color w:val="000000" w:themeColor="text1"/>
                      <w:lang w:val="en-US" w:eastAsia="zh-CN"/>
                    </w:rPr>
                  </w:pPr>
                  <w:r>
                    <w:rPr>
                      <w:rFonts w:hint="eastAsia" w:ascii="Times New Roman" w:hAnsi="Times New Roman" w:eastAsia="宋体" w:cs="Times New Roman"/>
                      <w:color w:val="000000" w:themeColor="text1"/>
                      <w:lang w:val="en-US" w:eastAsia="zh-CN"/>
                    </w:rPr>
                    <w:t>/</w:t>
                  </w:r>
                </w:p>
              </w:tc>
              <w:tc>
                <w:tcPr>
                  <w:tcW w:w="0" w:type="auto"/>
                  <w:vMerge w:val="continue"/>
                  <w:noWrap w:val="0"/>
                  <w:vAlign w:val="center"/>
                </w:tcPr>
                <w:p w14:paraId="4643B841">
                  <w:pPr>
                    <w:spacing w:line="240" w:lineRule="auto"/>
                    <w:jc w:val="center"/>
                    <w:rPr>
                      <w:rFonts w:hint="default" w:ascii="Times New Roman" w:hAnsi="Times New Roman" w:eastAsia="宋体" w:cs="Times New Roman"/>
                      <w:color w:val="000000" w:themeColor="text1"/>
                      <w:lang w:val="en-US" w:eastAsia="zh-CN"/>
                    </w:rPr>
                  </w:pPr>
                </w:p>
              </w:tc>
            </w:tr>
            <w:tr w14:paraId="73BF1D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noWrap w:val="0"/>
                  <w:vAlign w:val="center"/>
                </w:tcPr>
                <w:p w14:paraId="238C8866">
                  <w:pPr>
                    <w:spacing w:line="240" w:lineRule="auto"/>
                    <w:jc w:val="center"/>
                    <w:rPr>
                      <w:rFonts w:hint="default" w:ascii="Times New Roman" w:hAnsi="Times New Roman" w:cs="Times New Roman"/>
                      <w:color w:val="000000" w:themeColor="text1"/>
                      <w:lang w:val="en-US" w:eastAsia="zh-CN"/>
                    </w:rPr>
                  </w:pPr>
                </w:p>
              </w:tc>
              <w:tc>
                <w:tcPr>
                  <w:tcW w:w="0" w:type="auto"/>
                  <w:noWrap w:val="0"/>
                  <w:vAlign w:val="center"/>
                </w:tcPr>
                <w:p w14:paraId="029A935B">
                  <w:pPr>
                    <w:spacing w:line="240" w:lineRule="auto"/>
                    <w:jc w:val="center"/>
                    <w:rPr>
                      <w:rFonts w:hint="eastAsia" w:ascii="Times New Roman" w:hAnsi="Times New Roman" w:cs="Times New Roman"/>
                      <w:color w:val="000000" w:themeColor="text1"/>
                      <w:sz w:val="21"/>
                      <w:szCs w:val="21"/>
                      <w:lang w:val="en-US" w:eastAsia="zh-CN"/>
                    </w:rPr>
                  </w:pPr>
                  <w:r>
                    <w:rPr>
                      <w:rFonts w:hint="eastAsia" w:ascii="Times New Roman" w:hAnsi="Times New Roman" w:cs="Times New Roman"/>
                      <w:color w:val="000000" w:themeColor="text1"/>
                      <w:sz w:val="21"/>
                      <w:szCs w:val="21"/>
                      <w:lang w:val="en-US" w:eastAsia="zh-CN"/>
                    </w:rPr>
                    <w:t>废包装材料（不含化学品包装桶）</w:t>
                  </w:r>
                </w:p>
              </w:tc>
              <w:tc>
                <w:tcPr>
                  <w:tcW w:w="0" w:type="auto"/>
                  <w:noWrap w:val="0"/>
                  <w:vAlign w:val="center"/>
                </w:tcPr>
                <w:p w14:paraId="3E3117E0">
                  <w:pPr>
                    <w:spacing w:line="240" w:lineRule="auto"/>
                    <w:jc w:val="center"/>
                    <w:rPr>
                      <w:rFonts w:hint="default" w:ascii="Times New Roman" w:hAnsi="Times New Roman" w:eastAsia="宋体" w:cs="Times New Roman"/>
                      <w:color w:val="000000" w:themeColor="text1"/>
                      <w:lang w:val="en-US" w:eastAsia="zh-CN"/>
                    </w:rPr>
                  </w:pPr>
                  <w:r>
                    <w:rPr>
                      <w:rFonts w:hint="eastAsia" w:cs="Times New Roman"/>
                      <w:color w:val="000000" w:themeColor="text1"/>
                      <w:lang w:val="en-US" w:eastAsia="zh-CN"/>
                    </w:rPr>
                    <w:t>900-099-S59</w:t>
                  </w:r>
                </w:p>
              </w:tc>
              <w:tc>
                <w:tcPr>
                  <w:tcW w:w="0" w:type="auto"/>
                  <w:noWrap w:val="0"/>
                  <w:vAlign w:val="center"/>
                </w:tcPr>
                <w:p w14:paraId="6BA84847">
                  <w:pPr>
                    <w:spacing w:line="240" w:lineRule="auto"/>
                    <w:jc w:val="center"/>
                    <w:rPr>
                      <w:rFonts w:hint="eastAsia" w:ascii="Times New Roman" w:hAnsi="Times New Roman" w:eastAsia="宋体" w:cs="Times New Roman"/>
                      <w:color w:val="000000" w:themeColor="text1"/>
                      <w:lang w:val="en-US" w:eastAsia="zh-CN"/>
                    </w:rPr>
                  </w:pPr>
                  <w:r>
                    <w:rPr>
                      <w:rFonts w:hint="eastAsia" w:ascii="Times New Roman" w:hAnsi="Times New Roman" w:eastAsia="宋体" w:cs="Times New Roman"/>
                      <w:color w:val="000000" w:themeColor="text1"/>
                      <w:lang w:val="en-US" w:eastAsia="zh-CN"/>
                    </w:rPr>
                    <w:t>固态</w:t>
                  </w:r>
                </w:p>
              </w:tc>
              <w:tc>
                <w:tcPr>
                  <w:tcW w:w="0" w:type="auto"/>
                  <w:noWrap w:val="0"/>
                  <w:vAlign w:val="center"/>
                </w:tcPr>
                <w:p w14:paraId="01393E0B">
                  <w:pPr>
                    <w:spacing w:line="240" w:lineRule="auto"/>
                    <w:jc w:val="center"/>
                    <w:rPr>
                      <w:rFonts w:hint="default" w:ascii="Times New Roman" w:hAnsi="Times New Roman" w:eastAsia="宋体" w:cs="Times New Roman"/>
                      <w:color w:val="000000" w:themeColor="text1"/>
                      <w:lang w:val="en-US" w:eastAsia="zh-CN"/>
                    </w:rPr>
                  </w:pPr>
                  <w:r>
                    <w:rPr>
                      <w:rFonts w:hint="eastAsia" w:cs="Times New Roman"/>
                      <w:color w:val="000000" w:themeColor="text1"/>
                      <w:lang w:val="en-US" w:eastAsia="zh-CN"/>
                    </w:rPr>
                    <w:t>0.1</w:t>
                  </w:r>
                </w:p>
              </w:tc>
              <w:tc>
                <w:tcPr>
                  <w:tcW w:w="0" w:type="auto"/>
                  <w:noWrap w:val="0"/>
                  <w:vAlign w:val="center"/>
                </w:tcPr>
                <w:p w14:paraId="318CCD96">
                  <w:pPr>
                    <w:spacing w:line="240" w:lineRule="auto"/>
                    <w:jc w:val="center"/>
                    <w:rPr>
                      <w:rFonts w:hint="default" w:ascii="Times New Roman" w:hAnsi="Times New Roman" w:eastAsia="宋体" w:cs="Times New Roman"/>
                      <w:color w:val="000000" w:themeColor="text1"/>
                      <w:lang w:val="en-US" w:eastAsia="zh-CN"/>
                    </w:rPr>
                  </w:pPr>
                  <w:r>
                    <w:rPr>
                      <w:rFonts w:hint="eastAsia" w:cs="Times New Roman"/>
                      <w:color w:val="000000" w:themeColor="text1"/>
                      <w:lang w:val="en-US" w:eastAsia="zh-CN"/>
                    </w:rPr>
                    <w:t>/</w:t>
                  </w:r>
                </w:p>
              </w:tc>
              <w:tc>
                <w:tcPr>
                  <w:tcW w:w="0" w:type="auto"/>
                  <w:vMerge w:val="continue"/>
                  <w:noWrap w:val="0"/>
                  <w:vAlign w:val="center"/>
                </w:tcPr>
                <w:p w14:paraId="39F53518">
                  <w:pPr>
                    <w:spacing w:line="240" w:lineRule="auto"/>
                    <w:jc w:val="center"/>
                    <w:rPr>
                      <w:rFonts w:hint="default" w:ascii="Times New Roman" w:hAnsi="Times New Roman" w:eastAsia="宋体" w:cs="Times New Roman"/>
                      <w:color w:val="000000" w:themeColor="text1"/>
                      <w:lang w:val="en-US" w:eastAsia="zh-CN"/>
                    </w:rPr>
                  </w:pPr>
                </w:p>
              </w:tc>
            </w:tr>
            <w:tr w14:paraId="2C24D9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restart"/>
                  <w:noWrap w:val="0"/>
                  <w:vAlign w:val="center"/>
                </w:tcPr>
                <w:p w14:paraId="4517465B">
                  <w:pPr>
                    <w:spacing w:line="240" w:lineRule="auto"/>
                    <w:jc w:val="center"/>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lang w:val="en-US" w:eastAsia="zh-CN"/>
                    </w:rPr>
                    <w:t>危险废物</w:t>
                  </w:r>
                </w:p>
              </w:tc>
              <w:tc>
                <w:tcPr>
                  <w:tcW w:w="0" w:type="auto"/>
                  <w:noWrap w:val="0"/>
                  <w:vAlign w:val="center"/>
                </w:tcPr>
                <w:p w14:paraId="3225B017">
                  <w:pPr>
                    <w:spacing w:line="240" w:lineRule="auto"/>
                    <w:jc w:val="center"/>
                    <w:rPr>
                      <w:rFonts w:hint="default" w:ascii="Times New Roman" w:hAnsi="Times New Roman" w:cs="Times New Roman"/>
                      <w:color w:val="000000" w:themeColor="text1"/>
                      <w:lang w:val="en-US" w:eastAsia="zh-CN"/>
                    </w:rPr>
                  </w:pPr>
                  <w:r>
                    <w:rPr>
                      <w:rFonts w:hint="eastAsia" w:ascii="Times New Roman" w:hAnsi="Times New Roman" w:cs="Times New Roman"/>
                      <w:color w:val="000000" w:themeColor="text1"/>
                      <w:lang w:val="en-US" w:eastAsia="zh-CN"/>
                    </w:rPr>
                    <w:t>废滤芯</w:t>
                  </w:r>
                </w:p>
              </w:tc>
              <w:tc>
                <w:tcPr>
                  <w:tcW w:w="0" w:type="auto"/>
                  <w:noWrap w:val="0"/>
                  <w:vAlign w:val="center"/>
                </w:tcPr>
                <w:p w14:paraId="621047F3">
                  <w:pPr>
                    <w:spacing w:line="240" w:lineRule="auto"/>
                    <w:jc w:val="center"/>
                    <w:rPr>
                      <w:rFonts w:hint="default" w:ascii="Times New Roman" w:hAnsi="Times New Roman" w:eastAsia="宋体" w:cs="Times New Roman"/>
                      <w:color w:val="000000" w:themeColor="text1"/>
                      <w:lang w:val="en-US" w:eastAsia="zh-CN"/>
                    </w:rPr>
                  </w:pPr>
                  <w:r>
                    <w:rPr>
                      <w:rFonts w:hint="eastAsia" w:ascii="Times New Roman" w:hAnsi="Times New Roman" w:eastAsia="宋体" w:cs="Times New Roman"/>
                      <w:color w:val="000000" w:themeColor="text1"/>
                      <w:lang w:val="en-US" w:eastAsia="zh-CN"/>
                    </w:rPr>
                    <w:t>HW49</w:t>
                  </w:r>
                </w:p>
                <w:p w14:paraId="19790356">
                  <w:pPr>
                    <w:spacing w:line="240" w:lineRule="auto"/>
                    <w:jc w:val="center"/>
                    <w:rPr>
                      <w:rFonts w:hint="default"/>
                      <w:color w:val="000000" w:themeColor="text1"/>
                      <w:lang w:val="en-US" w:eastAsia="zh-CN"/>
                    </w:rPr>
                  </w:pPr>
                  <w:r>
                    <w:rPr>
                      <w:rFonts w:hint="eastAsia" w:ascii="Times New Roman" w:hAnsi="Times New Roman" w:eastAsia="宋体" w:cs="Times New Roman"/>
                      <w:color w:val="000000" w:themeColor="text1"/>
                      <w:lang w:val="en-US" w:eastAsia="zh-CN"/>
                    </w:rPr>
                    <w:t>900-041-49</w:t>
                  </w:r>
                </w:p>
              </w:tc>
              <w:tc>
                <w:tcPr>
                  <w:tcW w:w="0" w:type="auto"/>
                  <w:noWrap w:val="0"/>
                  <w:vAlign w:val="center"/>
                </w:tcPr>
                <w:p w14:paraId="20D78843">
                  <w:pPr>
                    <w:spacing w:line="240" w:lineRule="auto"/>
                    <w:jc w:val="center"/>
                    <w:rPr>
                      <w:rFonts w:hint="default" w:ascii="Times New Roman" w:hAnsi="Times New Roman" w:cs="Times New Roman"/>
                      <w:color w:val="000000" w:themeColor="text1"/>
                      <w:lang w:val="en-US" w:eastAsia="zh-CN"/>
                    </w:rPr>
                  </w:pPr>
                  <w:r>
                    <w:rPr>
                      <w:rFonts w:hint="eastAsia" w:ascii="Times New Roman" w:hAnsi="Times New Roman" w:cs="Times New Roman"/>
                      <w:color w:val="000000" w:themeColor="text1"/>
                      <w:lang w:val="en-US" w:eastAsia="zh-CN"/>
                    </w:rPr>
                    <w:t>固态</w:t>
                  </w:r>
                </w:p>
              </w:tc>
              <w:tc>
                <w:tcPr>
                  <w:tcW w:w="0" w:type="auto"/>
                  <w:noWrap w:val="0"/>
                  <w:vAlign w:val="center"/>
                </w:tcPr>
                <w:p w14:paraId="3702FBDE">
                  <w:pPr>
                    <w:spacing w:line="240" w:lineRule="auto"/>
                    <w:jc w:val="center"/>
                    <w:rPr>
                      <w:rFonts w:hint="default" w:ascii="Times New Roman" w:hAnsi="Times New Roman" w:cs="Times New Roman"/>
                      <w:color w:val="000000" w:themeColor="text1"/>
                      <w:lang w:val="en-US" w:eastAsia="zh-CN"/>
                    </w:rPr>
                  </w:pPr>
                  <w:r>
                    <w:rPr>
                      <w:rFonts w:hint="eastAsia" w:ascii="Times New Roman" w:hAnsi="Times New Roman" w:cs="Times New Roman"/>
                      <w:color w:val="000000" w:themeColor="text1"/>
                      <w:lang w:val="en-US" w:eastAsia="zh-CN"/>
                    </w:rPr>
                    <w:t>0.02</w:t>
                  </w:r>
                </w:p>
              </w:tc>
              <w:tc>
                <w:tcPr>
                  <w:tcW w:w="0" w:type="auto"/>
                  <w:noWrap w:val="0"/>
                  <w:vAlign w:val="center"/>
                </w:tcPr>
                <w:p w14:paraId="00CA5458">
                  <w:pPr>
                    <w:spacing w:line="240" w:lineRule="auto"/>
                    <w:jc w:val="center"/>
                    <w:rPr>
                      <w:rFonts w:hint="default" w:ascii="Times New Roman" w:hAnsi="Times New Roman" w:cs="Times New Roman"/>
                      <w:color w:val="000000" w:themeColor="text1"/>
                      <w:lang w:val="en-US" w:eastAsia="zh-CN"/>
                    </w:rPr>
                  </w:pPr>
                  <w:r>
                    <w:rPr>
                      <w:rFonts w:hint="eastAsia" w:ascii="Times New Roman" w:hAnsi="Times New Roman" w:cs="Times New Roman"/>
                      <w:color w:val="000000" w:themeColor="text1"/>
                      <w:lang w:val="en-US" w:eastAsia="zh-CN"/>
                    </w:rPr>
                    <w:t>废滤芯</w:t>
                  </w:r>
                </w:p>
              </w:tc>
              <w:tc>
                <w:tcPr>
                  <w:tcW w:w="1836" w:type="dxa"/>
                  <w:vMerge w:val="restart"/>
                  <w:noWrap w:val="0"/>
                  <w:vAlign w:val="center"/>
                </w:tcPr>
                <w:p w14:paraId="71868021">
                  <w:pPr>
                    <w:spacing w:line="240" w:lineRule="auto"/>
                    <w:jc w:val="center"/>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lang w:val="en-US" w:eastAsia="zh-CN"/>
                    </w:rPr>
                    <w:t>暂存于危废暂存间，委托有资质单位处置</w:t>
                  </w:r>
                </w:p>
              </w:tc>
            </w:tr>
            <w:tr w14:paraId="054879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noWrap w:val="0"/>
                  <w:vAlign w:val="center"/>
                </w:tcPr>
                <w:p w14:paraId="065EF84D">
                  <w:pPr>
                    <w:spacing w:line="240" w:lineRule="auto"/>
                    <w:jc w:val="center"/>
                    <w:rPr>
                      <w:rFonts w:hint="default" w:ascii="Times New Roman" w:hAnsi="Times New Roman" w:cs="Times New Roman"/>
                      <w:color w:val="000000" w:themeColor="text1"/>
                      <w:lang w:val="en-US" w:eastAsia="zh-CN"/>
                    </w:rPr>
                  </w:pPr>
                </w:p>
              </w:tc>
              <w:tc>
                <w:tcPr>
                  <w:tcW w:w="0" w:type="auto"/>
                  <w:noWrap w:val="0"/>
                  <w:vAlign w:val="center"/>
                </w:tcPr>
                <w:p w14:paraId="3A50CCA7">
                  <w:pPr>
                    <w:spacing w:line="240" w:lineRule="auto"/>
                    <w:jc w:val="center"/>
                    <w:rPr>
                      <w:rFonts w:hint="default" w:ascii="Times New Roman" w:hAnsi="Times New Roman" w:cs="Times New Roman"/>
                      <w:color w:val="000000" w:themeColor="text1"/>
                      <w:kern w:val="2"/>
                      <w:sz w:val="21"/>
                      <w:szCs w:val="21"/>
                      <w:lang w:val="en-US" w:eastAsia="zh-CN" w:bidi="ar-SA"/>
                    </w:rPr>
                  </w:pPr>
                  <w:r>
                    <w:rPr>
                      <w:rFonts w:hint="default" w:ascii="Times New Roman" w:hAnsi="Times New Roman" w:cs="Times New Roman"/>
                      <w:color w:val="000000" w:themeColor="text1"/>
                      <w:lang w:val="en-US" w:eastAsia="zh-CN"/>
                    </w:rPr>
                    <w:t>油渣</w:t>
                  </w:r>
                </w:p>
              </w:tc>
              <w:tc>
                <w:tcPr>
                  <w:tcW w:w="0" w:type="auto"/>
                  <w:noWrap w:val="0"/>
                  <w:vAlign w:val="center"/>
                </w:tcPr>
                <w:p w14:paraId="3327DBD9">
                  <w:pPr>
                    <w:spacing w:line="240" w:lineRule="auto"/>
                    <w:jc w:val="center"/>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lang w:val="en-US" w:eastAsia="zh-CN"/>
                    </w:rPr>
                    <w:t>HW08</w:t>
                  </w:r>
                </w:p>
                <w:p w14:paraId="1D1E6F46">
                  <w:pPr>
                    <w:spacing w:line="240" w:lineRule="auto"/>
                    <w:jc w:val="center"/>
                    <w:rPr>
                      <w:rFonts w:hint="default" w:ascii="Times New Roman" w:hAnsi="Times New Roman" w:cs="Times New Roman"/>
                      <w:color w:val="000000" w:themeColor="text1"/>
                      <w:kern w:val="2"/>
                      <w:sz w:val="21"/>
                      <w:szCs w:val="21"/>
                      <w:lang w:val="en-US" w:eastAsia="zh-CN" w:bidi="ar-SA"/>
                    </w:rPr>
                  </w:pPr>
                  <w:r>
                    <w:rPr>
                      <w:rFonts w:hint="default" w:ascii="Times New Roman" w:hAnsi="Times New Roman" w:cs="Times New Roman"/>
                      <w:color w:val="000000" w:themeColor="text1"/>
                      <w:lang w:val="en-US" w:eastAsia="zh-CN"/>
                    </w:rPr>
                    <w:t>900-2</w:t>
                  </w:r>
                  <w:r>
                    <w:rPr>
                      <w:rFonts w:hint="eastAsia" w:ascii="Times New Roman" w:hAnsi="Times New Roman" w:cs="Times New Roman"/>
                      <w:color w:val="000000" w:themeColor="text1"/>
                      <w:lang w:val="en-US" w:eastAsia="zh-CN"/>
                    </w:rPr>
                    <w:t>49</w:t>
                  </w:r>
                  <w:r>
                    <w:rPr>
                      <w:rFonts w:hint="default" w:ascii="Times New Roman" w:hAnsi="Times New Roman" w:cs="Times New Roman"/>
                      <w:color w:val="000000" w:themeColor="text1"/>
                      <w:lang w:val="en-US" w:eastAsia="zh-CN"/>
                    </w:rPr>
                    <w:t>-08</w:t>
                  </w:r>
                </w:p>
              </w:tc>
              <w:tc>
                <w:tcPr>
                  <w:tcW w:w="0" w:type="auto"/>
                  <w:noWrap w:val="0"/>
                  <w:vAlign w:val="center"/>
                </w:tcPr>
                <w:p w14:paraId="07C7F06F">
                  <w:pPr>
                    <w:spacing w:line="240" w:lineRule="auto"/>
                    <w:jc w:val="center"/>
                    <w:rPr>
                      <w:rFonts w:hint="default" w:ascii="Times New Roman" w:hAnsi="Times New Roman" w:cs="Times New Roman"/>
                      <w:color w:val="000000" w:themeColor="text1"/>
                      <w:kern w:val="2"/>
                      <w:sz w:val="21"/>
                      <w:szCs w:val="21"/>
                      <w:lang w:val="en-US" w:eastAsia="zh-CN" w:bidi="ar-SA"/>
                    </w:rPr>
                  </w:pPr>
                  <w:r>
                    <w:rPr>
                      <w:rFonts w:hint="default" w:ascii="Times New Roman" w:hAnsi="Times New Roman" w:cs="Times New Roman"/>
                      <w:color w:val="000000" w:themeColor="text1"/>
                      <w:lang w:val="en-US" w:eastAsia="zh-CN"/>
                    </w:rPr>
                    <w:t>液态</w:t>
                  </w:r>
                </w:p>
              </w:tc>
              <w:tc>
                <w:tcPr>
                  <w:tcW w:w="0" w:type="auto"/>
                  <w:noWrap w:val="0"/>
                  <w:vAlign w:val="center"/>
                </w:tcPr>
                <w:p w14:paraId="60A79CF0">
                  <w:pPr>
                    <w:spacing w:line="240" w:lineRule="auto"/>
                    <w:jc w:val="center"/>
                    <w:rPr>
                      <w:rFonts w:hint="default" w:ascii="Times New Roman" w:hAnsi="Times New Roman" w:cs="Times New Roman"/>
                      <w:color w:val="000000" w:themeColor="text1"/>
                      <w:kern w:val="2"/>
                      <w:sz w:val="21"/>
                      <w:szCs w:val="21"/>
                      <w:lang w:val="en-US" w:eastAsia="zh-CN" w:bidi="ar-SA"/>
                    </w:rPr>
                  </w:pPr>
                  <w:r>
                    <w:rPr>
                      <w:rFonts w:hint="default" w:ascii="Times New Roman" w:hAnsi="Times New Roman" w:cs="Times New Roman"/>
                      <w:color w:val="000000" w:themeColor="text1"/>
                      <w:lang w:val="en-US" w:eastAsia="zh-CN"/>
                    </w:rPr>
                    <w:t>0.</w:t>
                  </w:r>
                  <w:r>
                    <w:rPr>
                      <w:rFonts w:hint="eastAsia" w:ascii="Times New Roman" w:hAnsi="Times New Roman" w:cs="Times New Roman"/>
                      <w:color w:val="000000" w:themeColor="text1"/>
                      <w:lang w:val="en-US" w:eastAsia="zh-CN"/>
                    </w:rPr>
                    <w:t>001</w:t>
                  </w:r>
                </w:p>
              </w:tc>
              <w:tc>
                <w:tcPr>
                  <w:tcW w:w="0" w:type="auto"/>
                  <w:noWrap w:val="0"/>
                  <w:vAlign w:val="center"/>
                </w:tcPr>
                <w:p w14:paraId="4D4C02D9">
                  <w:pPr>
                    <w:spacing w:line="240" w:lineRule="auto"/>
                    <w:jc w:val="center"/>
                    <w:rPr>
                      <w:rFonts w:hint="default" w:ascii="Times New Roman" w:hAnsi="Times New Roman" w:cs="Times New Roman"/>
                      <w:color w:val="000000" w:themeColor="text1"/>
                      <w:kern w:val="2"/>
                      <w:sz w:val="21"/>
                      <w:szCs w:val="21"/>
                      <w:lang w:val="en-US" w:eastAsia="zh-CN" w:bidi="ar-SA"/>
                    </w:rPr>
                  </w:pPr>
                  <w:r>
                    <w:rPr>
                      <w:rFonts w:hint="eastAsia" w:ascii="Times New Roman" w:hAnsi="Times New Roman" w:cs="Times New Roman"/>
                      <w:color w:val="000000" w:themeColor="text1"/>
                      <w:lang w:val="en-US" w:eastAsia="zh-CN"/>
                    </w:rPr>
                    <w:t>变压器油</w:t>
                  </w:r>
                </w:p>
              </w:tc>
              <w:tc>
                <w:tcPr>
                  <w:tcW w:w="1836" w:type="dxa"/>
                  <w:vMerge w:val="continue"/>
                  <w:noWrap w:val="0"/>
                  <w:vAlign w:val="center"/>
                </w:tcPr>
                <w:p w14:paraId="4766DBEE">
                  <w:pPr>
                    <w:spacing w:line="240" w:lineRule="auto"/>
                    <w:jc w:val="center"/>
                    <w:rPr>
                      <w:rFonts w:hint="default" w:ascii="Times New Roman" w:hAnsi="Times New Roman" w:cs="Times New Roman"/>
                      <w:color w:val="000000" w:themeColor="text1"/>
                      <w:lang w:val="en-US" w:eastAsia="zh-CN"/>
                    </w:rPr>
                  </w:pPr>
                </w:p>
              </w:tc>
            </w:tr>
            <w:tr w14:paraId="108628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noWrap w:val="0"/>
                  <w:vAlign w:val="center"/>
                </w:tcPr>
                <w:p w14:paraId="27AB3D64">
                  <w:pPr>
                    <w:spacing w:line="240" w:lineRule="auto"/>
                    <w:jc w:val="center"/>
                    <w:rPr>
                      <w:rFonts w:hint="default" w:ascii="Times New Roman" w:hAnsi="Times New Roman" w:cs="Times New Roman"/>
                      <w:color w:val="000000" w:themeColor="text1"/>
                      <w:lang w:val="en-US" w:eastAsia="zh-CN"/>
                    </w:rPr>
                  </w:pPr>
                </w:p>
              </w:tc>
              <w:tc>
                <w:tcPr>
                  <w:tcW w:w="0" w:type="auto"/>
                  <w:noWrap w:val="0"/>
                  <w:vAlign w:val="center"/>
                </w:tcPr>
                <w:p w14:paraId="24584336">
                  <w:pPr>
                    <w:spacing w:line="240" w:lineRule="auto"/>
                    <w:jc w:val="center"/>
                    <w:rPr>
                      <w:rFonts w:hint="default" w:ascii="Times New Roman" w:hAnsi="Times New Roman" w:cs="Times New Roman"/>
                      <w:color w:val="000000" w:themeColor="text1"/>
                      <w:lang w:val="en-US" w:eastAsia="zh-CN"/>
                    </w:rPr>
                  </w:pPr>
                  <w:r>
                    <w:rPr>
                      <w:rFonts w:hint="eastAsia" w:cs="Times New Roman"/>
                      <w:color w:val="000000" w:themeColor="text1"/>
                      <w:kern w:val="0"/>
                      <w:sz w:val="21"/>
                      <w:szCs w:val="21"/>
                      <w:lang w:val="en-US" w:eastAsia="zh-CN"/>
                    </w:rPr>
                    <w:t>固化后的废环氧树脂料</w:t>
                  </w:r>
                </w:p>
              </w:tc>
              <w:tc>
                <w:tcPr>
                  <w:tcW w:w="0" w:type="auto"/>
                  <w:noWrap w:val="0"/>
                  <w:vAlign w:val="center"/>
                </w:tcPr>
                <w:p w14:paraId="7F84B06F">
                  <w:pPr>
                    <w:spacing w:line="240" w:lineRule="auto"/>
                    <w:jc w:val="center"/>
                    <w:rPr>
                      <w:rFonts w:hint="eastAsia" w:ascii="Times New Roman" w:hAnsi="Times New Roman" w:eastAsia="宋体" w:cs="Times New Roman"/>
                      <w:color w:val="000000" w:themeColor="text1"/>
                      <w:lang w:val="en-US" w:eastAsia="zh-CN"/>
                    </w:rPr>
                  </w:pPr>
                  <w:r>
                    <w:rPr>
                      <w:rFonts w:hint="eastAsia" w:ascii="Times New Roman" w:hAnsi="Times New Roman" w:eastAsia="宋体" w:cs="Times New Roman"/>
                      <w:color w:val="000000" w:themeColor="text1"/>
                      <w:lang w:val="en-US" w:eastAsia="zh-CN"/>
                    </w:rPr>
                    <w:t>HW13</w:t>
                  </w:r>
                </w:p>
                <w:p w14:paraId="66C57323">
                  <w:pPr>
                    <w:spacing w:line="240" w:lineRule="auto"/>
                    <w:jc w:val="center"/>
                    <w:rPr>
                      <w:rFonts w:hint="default"/>
                      <w:color w:val="000000" w:themeColor="text1"/>
                      <w:lang w:val="en-US" w:eastAsia="zh-CN"/>
                    </w:rPr>
                  </w:pPr>
                  <w:r>
                    <w:rPr>
                      <w:rFonts w:hint="eastAsia" w:ascii="Times New Roman" w:hAnsi="Times New Roman" w:eastAsia="宋体" w:cs="Times New Roman"/>
                      <w:color w:val="000000" w:themeColor="text1"/>
                      <w:lang w:val="en-US" w:eastAsia="zh-CN"/>
                    </w:rPr>
                    <w:t>900-014-13</w:t>
                  </w:r>
                </w:p>
              </w:tc>
              <w:tc>
                <w:tcPr>
                  <w:tcW w:w="0" w:type="auto"/>
                  <w:noWrap w:val="0"/>
                  <w:vAlign w:val="center"/>
                </w:tcPr>
                <w:p w14:paraId="579518F0">
                  <w:pPr>
                    <w:spacing w:line="240" w:lineRule="auto"/>
                    <w:jc w:val="center"/>
                    <w:rPr>
                      <w:rFonts w:hint="default" w:ascii="Times New Roman" w:hAnsi="Times New Roman" w:cs="Times New Roman"/>
                      <w:color w:val="000000" w:themeColor="text1"/>
                      <w:lang w:val="en-US" w:eastAsia="zh-CN"/>
                    </w:rPr>
                  </w:pPr>
                  <w:r>
                    <w:rPr>
                      <w:rFonts w:hint="eastAsia" w:ascii="Times New Roman" w:hAnsi="Times New Roman" w:cs="Times New Roman"/>
                      <w:color w:val="000000" w:themeColor="text1"/>
                      <w:lang w:val="en-US" w:eastAsia="zh-CN"/>
                    </w:rPr>
                    <w:t>固态</w:t>
                  </w:r>
                </w:p>
              </w:tc>
              <w:tc>
                <w:tcPr>
                  <w:tcW w:w="0" w:type="auto"/>
                  <w:noWrap w:val="0"/>
                  <w:vAlign w:val="center"/>
                </w:tcPr>
                <w:p w14:paraId="51D0397F">
                  <w:pPr>
                    <w:spacing w:line="240" w:lineRule="auto"/>
                    <w:jc w:val="center"/>
                    <w:rPr>
                      <w:rFonts w:hint="default" w:ascii="Times New Roman" w:hAnsi="Times New Roman" w:cs="Times New Roman"/>
                      <w:color w:val="000000" w:themeColor="text1"/>
                      <w:lang w:val="en-US" w:eastAsia="zh-CN"/>
                    </w:rPr>
                  </w:pPr>
                  <w:r>
                    <w:rPr>
                      <w:rFonts w:hint="eastAsia" w:cs="Times New Roman"/>
                      <w:color w:val="000000" w:themeColor="text1"/>
                      <w:lang w:val="en-US" w:eastAsia="zh-CN"/>
                    </w:rPr>
                    <w:t>1.048</w:t>
                  </w:r>
                </w:p>
              </w:tc>
              <w:tc>
                <w:tcPr>
                  <w:tcW w:w="0" w:type="auto"/>
                  <w:noWrap w:val="0"/>
                  <w:vAlign w:val="center"/>
                </w:tcPr>
                <w:p w14:paraId="3B76B87A">
                  <w:pPr>
                    <w:spacing w:line="240" w:lineRule="auto"/>
                    <w:jc w:val="center"/>
                    <w:rPr>
                      <w:rFonts w:hint="default" w:ascii="Times New Roman" w:hAnsi="Times New Roman" w:cs="Times New Roman"/>
                      <w:color w:val="000000" w:themeColor="text1"/>
                      <w:lang w:val="en-US" w:eastAsia="zh-CN"/>
                    </w:rPr>
                  </w:pPr>
                  <w:r>
                    <w:rPr>
                      <w:rFonts w:hint="eastAsia" w:cs="Times New Roman"/>
                      <w:color w:val="000000" w:themeColor="text1"/>
                      <w:lang w:val="en-US" w:eastAsia="zh-CN"/>
                    </w:rPr>
                    <w:t>树脂</w:t>
                  </w:r>
                </w:p>
              </w:tc>
              <w:tc>
                <w:tcPr>
                  <w:tcW w:w="1836" w:type="dxa"/>
                  <w:vMerge w:val="continue"/>
                  <w:noWrap w:val="0"/>
                  <w:vAlign w:val="center"/>
                </w:tcPr>
                <w:p w14:paraId="08D19D8E">
                  <w:pPr>
                    <w:spacing w:line="240" w:lineRule="auto"/>
                    <w:jc w:val="center"/>
                    <w:rPr>
                      <w:rFonts w:hint="default" w:ascii="Times New Roman" w:hAnsi="Times New Roman" w:cs="Times New Roman"/>
                      <w:color w:val="000000" w:themeColor="text1"/>
                      <w:lang w:val="en-US" w:eastAsia="zh-CN"/>
                    </w:rPr>
                  </w:pPr>
                </w:p>
              </w:tc>
            </w:tr>
            <w:tr w14:paraId="116CCC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noWrap w:val="0"/>
                  <w:vAlign w:val="center"/>
                </w:tcPr>
                <w:p w14:paraId="37D0E64D">
                  <w:pPr>
                    <w:spacing w:line="240" w:lineRule="auto"/>
                    <w:jc w:val="center"/>
                    <w:rPr>
                      <w:rFonts w:hint="default" w:ascii="Times New Roman" w:hAnsi="Times New Roman" w:cs="Times New Roman"/>
                      <w:color w:val="000000" w:themeColor="text1"/>
                      <w:lang w:val="en-US" w:eastAsia="zh-CN"/>
                    </w:rPr>
                  </w:pPr>
                </w:p>
              </w:tc>
              <w:tc>
                <w:tcPr>
                  <w:tcW w:w="0" w:type="auto"/>
                  <w:noWrap w:val="0"/>
                  <w:vAlign w:val="center"/>
                </w:tcPr>
                <w:p w14:paraId="3A04D436">
                  <w:pPr>
                    <w:spacing w:line="240" w:lineRule="auto"/>
                    <w:jc w:val="center"/>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lang w:val="en-US" w:eastAsia="zh-CN"/>
                    </w:rPr>
                    <w:t>废</w:t>
                  </w:r>
                  <w:r>
                    <w:rPr>
                      <w:rFonts w:hint="eastAsia" w:ascii="Times New Roman" w:hAnsi="Times New Roman" w:cs="Times New Roman"/>
                      <w:color w:val="000000" w:themeColor="text1"/>
                      <w:lang w:val="en-US" w:eastAsia="zh-CN"/>
                    </w:rPr>
                    <w:t>原料桶</w:t>
                  </w:r>
                </w:p>
              </w:tc>
              <w:tc>
                <w:tcPr>
                  <w:tcW w:w="0" w:type="auto"/>
                  <w:noWrap w:val="0"/>
                  <w:vAlign w:val="center"/>
                </w:tcPr>
                <w:p w14:paraId="32DA0176">
                  <w:pPr>
                    <w:spacing w:line="240" w:lineRule="auto"/>
                    <w:jc w:val="center"/>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lang w:val="en-US" w:eastAsia="zh-CN"/>
                    </w:rPr>
                    <w:t>HW49 900-041-49</w:t>
                  </w:r>
                </w:p>
              </w:tc>
              <w:tc>
                <w:tcPr>
                  <w:tcW w:w="0" w:type="auto"/>
                  <w:noWrap w:val="0"/>
                  <w:vAlign w:val="center"/>
                </w:tcPr>
                <w:p w14:paraId="03449076">
                  <w:pPr>
                    <w:spacing w:line="240" w:lineRule="auto"/>
                    <w:jc w:val="center"/>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lang w:val="en-US" w:eastAsia="zh-CN"/>
                    </w:rPr>
                    <w:t>固态</w:t>
                  </w:r>
                </w:p>
              </w:tc>
              <w:tc>
                <w:tcPr>
                  <w:tcW w:w="0" w:type="auto"/>
                  <w:noWrap w:val="0"/>
                  <w:vAlign w:val="center"/>
                </w:tcPr>
                <w:p w14:paraId="73E91B02">
                  <w:pPr>
                    <w:spacing w:line="240" w:lineRule="auto"/>
                    <w:jc w:val="center"/>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lang w:val="en-US" w:eastAsia="zh-CN"/>
                    </w:rPr>
                    <w:t>0.</w:t>
                  </w:r>
                  <w:r>
                    <w:rPr>
                      <w:rFonts w:hint="eastAsia" w:ascii="Times New Roman" w:hAnsi="Times New Roman" w:cs="Times New Roman"/>
                      <w:color w:val="000000" w:themeColor="text1"/>
                      <w:lang w:val="en-US" w:eastAsia="zh-CN"/>
                    </w:rPr>
                    <w:t>44</w:t>
                  </w:r>
                </w:p>
              </w:tc>
              <w:tc>
                <w:tcPr>
                  <w:tcW w:w="0" w:type="auto"/>
                  <w:noWrap w:val="0"/>
                  <w:vAlign w:val="center"/>
                </w:tcPr>
                <w:p w14:paraId="4DA201F7">
                  <w:pPr>
                    <w:spacing w:line="240" w:lineRule="auto"/>
                    <w:jc w:val="center"/>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lang w:val="en-US" w:eastAsia="zh-CN"/>
                    </w:rPr>
                    <w:t>废包装桶</w:t>
                  </w:r>
                </w:p>
              </w:tc>
              <w:tc>
                <w:tcPr>
                  <w:tcW w:w="1836" w:type="dxa"/>
                  <w:vMerge w:val="continue"/>
                  <w:noWrap w:val="0"/>
                  <w:vAlign w:val="center"/>
                </w:tcPr>
                <w:p w14:paraId="36B88092">
                  <w:pPr>
                    <w:spacing w:line="240" w:lineRule="auto"/>
                    <w:jc w:val="center"/>
                    <w:rPr>
                      <w:rFonts w:hint="default" w:ascii="Times New Roman" w:hAnsi="Times New Roman" w:cs="Times New Roman"/>
                      <w:color w:val="000000" w:themeColor="text1"/>
                      <w:lang w:val="en-US" w:eastAsia="zh-CN"/>
                    </w:rPr>
                  </w:pPr>
                </w:p>
              </w:tc>
            </w:tr>
            <w:tr w14:paraId="2FDC32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noWrap w:val="0"/>
                  <w:vAlign w:val="center"/>
                </w:tcPr>
                <w:p w14:paraId="16BADE8A">
                  <w:pPr>
                    <w:spacing w:line="240" w:lineRule="auto"/>
                    <w:jc w:val="center"/>
                    <w:rPr>
                      <w:rFonts w:hint="default" w:ascii="Times New Roman" w:hAnsi="Times New Roman" w:cs="Times New Roman"/>
                      <w:color w:val="000000" w:themeColor="text1"/>
                      <w:lang w:val="en-US" w:eastAsia="zh-CN"/>
                    </w:rPr>
                  </w:pPr>
                </w:p>
              </w:tc>
              <w:tc>
                <w:tcPr>
                  <w:tcW w:w="0" w:type="auto"/>
                  <w:noWrap w:val="0"/>
                  <w:vAlign w:val="center"/>
                </w:tcPr>
                <w:p w14:paraId="74BE8710">
                  <w:pPr>
                    <w:spacing w:line="240" w:lineRule="auto"/>
                    <w:jc w:val="center"/>
                    <w:rPr>
                      <w:rFonts w:hint="default" w:ascii="Times New Roman" w:hAnsi="Times New Roman" w:cs="Times New Roman"/>
                      <w:color w:val="000000" w:themeColor="text1"/>
                      <w:lang w:val="en-US" w:eastAsia="zh-CN"/>
                    </w:rPr>
                  </w:pPr>
                  <w:r>
                    <w:rPr>
                      <w:rFonts w:hint="eastAsia" w:ascii="Times New Roman" w:hAnsi="Times New Roman" w:cs="Times New Roman"/>
                      <w:color w:val="000000" w:themeColor="text1"/>
                      <w:lang w:val="en-US" w:eastAsia="zh-CN"/>
                    </w:rPr>
                    <w:t>废过滤棉</w:t>
                  </w:r>
                </w:p>
              </w:tc>
              <w:tc>
                <w:tcPr>
                  <w:tcW w:w="0" w:type="auto"/>
                  <w:noWrap w:val="0"/>
                  <w:vAlign w:val="center"/>
                </w:tcPr>
                <w:p w14:paraId="6BC47B02">
                  <w:pPr>
                    <w:spacing w:line="240" w:lineRule="auto"/>
                    <w:jc w:val="center"/>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lang w:val="en-US" w:eastAsia="zh-CN"/>
                    </w:rPr>
                    <w:t>HW49 900-041-49</w:t>
                  </w:r>
                </w:p>
              </w:tc>
              <w:tc>
                <w:tcPr>
                  <w:tcW w:w="0" w:type="auto"/>
                  <w:noWrap w:val="0"/>
                  <w:vAlign w:val="center"/>
                </w:tcPr>
                <w:p w14:paraId="786334C7">
                  <w:pPr>
                    <w:spacing w:line="240" w:lineRule="auto"/>
                    <w:jc w:val="center"/>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lang w:val="en-US" w:eastAsia="zh-CN"/>
                    </w:rPr>
                    <w:t>固态</w:t>
                  </w:r>
                </w:p>
              </w:tc>
              <w:tc>
                <w:tcPr>
                  <w:tcW w:w="0" w:type="auto"/>
                  <w:noWrap w:val="0"/>
                  <w:vAlign w:val="center"/>
                </w:tcPr>
                <w:p w14:paraId="6D7909CF">
                  <w:pPr>
                    <w:spacing w:line="240" w:lineRule="auto"/>
                    <w:jc w:val="center"/>
                    <w:rPr>
                      <w:rFonts w:hint="default" w:ascii="Times New Roman" w:hAnsi="Times New Roman" w:cs="Times New Roman"/>
                      <w:color w:val="000000" w:themeColor="text1"/>
                      <w:lang w:val="en-US" w:eastAsia="zh-CN"/>
                    </w:rPr>
                  </w:pPr>
                  <w:r>
                    <w:rPr>
                      <w:rFonts w:hint="eastAsia" w:ascii="Times New Roman" w:hAnsi="Times New Roman" w:cs="Times New Roman"/>
                      <w:color w:val="000000" w:themeColor="text1"/>
                      <w:lang w:val="en-US" w:eastAsia="zh-CN"/>
                    </w:rPr>
                    <w:t>0.2</w:t>
                  </w:r>
                </w:p>
              </w:tc>
              <w:tc>
                <w:tcPr>
                  <w:tcW w:w="0" w:type="auto"/>
                  <w:noWrap w:val="0"/>
                  <w:vAlign w:val="center"/>
                </w:tcPr>
                <w:p w14:paraId="20FA95E4">
                  <w:pPr>
                    <w:spacing w:line="240" w:lineRule="auto"/>
                    <w:jc w:val="center"/>
                    <w:rPr>
                      <w:rFonts w:hint="default" w:ascii="Times New Roman" w:hAnsi="Times New Roman" w:cs="Times New Roman"/>
                      <w:color w:val="000000" w:themeColor="text1"/>
                      <w:lang w:val="en-US" w:eastAsia="zh-CN"/>
                    </w:rPr>
                  </w:pPr>
                  <w:r>
                    <w:rPr>
                      <w:rFonts w:hint="eastAsia" w:ascii="Times New Roman" w:hAnsi="Times New Roman" w:cs="Times New Roman"/>
                      <w:color w:val="000000" w:themeColor="text1"/>
                      <w:lang w:val="en-US" w:eastAsia="zh-CN"/>
                    </w:rPr>
                    <w:t>废过滤棉</w:t>
                  </w:r>
                </w:p>
              </w:tc>
              <w:tc>
                <w:tcPr>
                  <w:tcW w:w="1836" w:type="dxa"/>
                  <w:vMerge w:val="continue"/>
                  <w:noWrap w:val="0"/>
                  <w:vAlign w:val="center"/>
                </w:tcPr>
                <w:p w14:paraId="4031EEFB">
                  <w:pPr>
                    <w:spacing w:line="240" w:lineRule="auto"/>
                    <w:jc w:val="center"/>
                    <w:rPr>
                      <w:rFonts w:hint="default" w:ascii="Times New Roman" w:hAnsi="Times New Roman" w:cs="Times New Roman"/>
                      <w:color w:val="000000" w:themeColor="text1"/>
                      <w:lang w:val="en-US" w:eastAsia="zh-CN"/>
                    </w:rPr>
                  </w:pPr>
                </w:p>
              </w:tc>
            </w:tr>
            <w:tr w14:paraId="1306B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noWrap w:val="0"/>
                  <w:vAlign w:val="center"/>
                </w:tcPr>
                <w:p w14:paraId="7AC20E3A">
                  <w:pPr>
                    <w:spacing w:line="240" w:lineRule="auto"/>
                    <w:jc w:val="center"/>
                    <w:rPr>
                      <w:rFonts w:hint="default" w:ascii="Times New Roman" w:hAnsi="Times New Roman" w:cs="Times New Roman"/>
                      <w:color w:val="000000" w:themeColor="text1"/>
                      <w:lang w:val="en-US" w:eastAsia="zh-CN"/>
                    </w:rPr>
                  </w:pPr>
                </w:p>
              </w:tc>
              <w:tc>
                <w:tcPr>
                  <w:tcW w:w="0" w:type="auto"/>
                  <w:noWrap w:val="0"/>
                  <w:vAlign w:val="center"/>
                </w:tcPr>
                <w:p w14:paraId="5597076A">
                  <w:pPr>
                    <w:spacing w:line="240" w:lineRule="auto"/>
                    <w:jc w:val="center"/>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lang w:val="en-US" w:eastAsia="zh-CN"/>
                    </w:rPr>
                    <w:t>废活性炭</w:t>
                  </w:r>
                </w:p>
              </w:tc>
              <w:tc>
                <w:tcPr>
                  <w:tcW w:w="0" w:type="auto"/>
                  <w:noWrap w:val="0"/>
                  <w:vAlign w:val="center"/>
                </w:tcPr>
                <w:p w14:paraId="3A739819">
                  <w:pPr>
                    <w:spacing w:line="240" w:lineRule="auto"/>
                    <w:jc w:val="center"/>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lang w:val="en-US" w:eastAsia="zh-CN"/>
                    </w:rPr>
                    <w:t>HW49</w:t>
                  </w:r>
                  <w:r>
                    <w:rPr>
                      <w:rFonts w:hint="eastAsia" w:ascii="Times New Roman" w:hAnsi="Times New Roman" w:cs="Times New Roman"/>
                      <w:color w:val="000000" w:themeColor="text1"/>
                      <w:lang w:val="en-US" w:eastAsia="zh-CN"/>
                    </w:rPr>
                    <w:t xml:space="preserve"> </w:t>
                  </w:r>
                  <w:r>
                    <w:rPr>
                      <w:rFonts w:hint="default" w:ascii="Times New Roman" w:hAnsi="Times New Roman" w:cs="Times New Roman"/>
                      <w:color w:val="000000" w:themeColor="text1"/>
                      <w:lang w:val="en-US" w:eastAsia="zh-CN"/>
                    </w:rPr>
                    <w:t>900-039-49</w:t>
                  </w:r>
                </w:p>
              </w:tc>
              <w:tc>
                <w:tcPr>
                  <w:tcW w:w="0" w:type="auto"/>
                  <w:noWrap w:val="0"/>
                  <w:vAlign w:val="center"/>
                </w:tcPr>
                <w:p w14:paraId="44AE914B">
                  <w:pPr>
                    <w:spacing w:line="240" w:lineRule="auto"/>
                    <w:jc w:val="center"/>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lang w:val="en-US" w:eastAsia="zh-CN"/>
                    </w:rPr>
                    <w:t>固态</w:t>
                  </w:r>
                </w:p>
              </w:tc>
              <w:tc>
                <w:tcPr>
                  <w:tcW w:w="0" w:type="auto"/>
                  <w:noWrap w:val="0"/>
                  <w:vAlign w:val="center"/>
                </w:tcPr>
                <w:p w14:paraId="0ED09FB3">
                  <w:pPr>
                    <w:spacing w:line="240" w:lineRule="auto"/>
                    <w:jc w:val="center"/>
                    <w:rPr>
                      <w:rFonts w:hint="default" w:ascii="Times New Roman" w:hAnsi="Times New Roman" w:cs="Times New Roman"/>
                      <w:color w:val="000000" w:themeColor="text1"/>
                      <w:lang w:val="en-US" w:eastAsia="zh-CN"/>
                    </w:rPr>
                  </w:pPr>
                  <w:r>
                    <w:rPr>
                      <w:rFonts w:hint="eastAsia" w:cs="Times New Roman"/>
                      <w:color w:val="000000" w:themeColor="text1"/>
                      <w:lang w:val="en-US" w:eastAsia="zh-CN"/>
                    </w:rPr>
                    <w:t>8</w:t>
                  </w:r>
                  <w:r>
                    <w:rPr>
                      <w:rFonts w:hint="eastAsia" w:ascii="Times New Roman" w:hAnsi="Times New Roman" w:cs="Times New Roman"/>
                      <w:color w:val="000000" w:themeColor="text1"/>
                      <w:lang w:val="en-US" w:eastAsia="zh-CN"/>
                    </w:rPr>
                    <w:t>.16</w:t>
                  </w:r>
                </w:p>
              </w:tc>
              <w:tc>
                <w:tcPr>
                  <w:tcW w:w="0" w:type="auto"/>
                  <w:noWrap w:val="0"/>
                  <w:vAlign w:val="center"/>
                </w:tcPr>
                <w:p w14:paraId="09EDFE50">
                  <w:pPr>
                    <w:spacing w:line="240" w:lineRule="auto"/>
                    <w:jc w:val="center"/>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lang w:val="en-US" w:eastAsia="zh-CN"/>
                    </w:rPr>
                    <w:t>废活性炭</w:t>
                  </w:r>
                </w:p>
              </w:tc>
              <w:tc>
                <w:tcPr>
                  <w:tcW w:w="1836" w:type="dxa"/>
                  <w:vMerge w:val="continue"/>
                  <w:noWrap w:val="0"/>
                  <w:vAlign w:val="center"/>
                </w:tcPr>
                <w:p w14:paraId="1ACB762D">
                  <w:pPr>
                    <w:spacing w:line="240" w:lineRule="auto"/>
                    <w:jc w:val="center"/>
                    <w:rPr>
                      <w:rFonts w:hint="default" w:ascii="Times New Roman" w:hAnsi="Times New Roman" w:cs="Times New Roman"/>
                      <w:color w:val="000000" w:themeColor="text1"/>
                      <w:lang w:val="en-US" w:eastAsia="zh-CN"/>
                    </w:rPr>
                  </w:pPr>
                </w:p>
              </w:tc>
            </w:tr>
            <w:tr w14:paraId="095791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noWrap w:val="0"/>
                  <w:vAlign w:val="center"/>
                </w:tcPr>
                <w:p w14:paraId="538DCE3F">
                  <w:pPr>
                    <w:spacing w:line="240" w:lineRule="auto"/>
                    <w:jc w:val="center"/>
                    <w:rPr>
                      <w:rFonts w:hint="default" w:ascii="Times New Roman" w:hAnsi="Times New Roman" w:cs="Times New Roman"/>
                      <w:color w:val="000000" w:themeColor="text1"/>
                      <w:lang w:val="en-US" w:eastAsia="zh-CN"/>
                    </w:rPr>
                  </w:pPr>
                </w:p>
              </w:tc>
              <w:tc>
                <w:tcPr>
                  <w:tcW w:w="0" w:type="auto"/>
                  <w:noWrap w:val="0"/>
                  <w:vAlign w:val="center"/>
                </w:tcPr>
                <w:p w14:paraId="1E94973B">
                  <w:pPr>
                    <w:spacing w:line="240" w:lineRule="auto"/>
                    <w:jc w:val="center"/>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lang w:val="en-US" w:eastAsia="zh-CN"/>
                    </w:rPr>
                    <w:t>废含油手套抹布</w:t>
                  </w:r>
                </w:p>
              </w:tc>
              <w:tc>
                <w:tcPr>
                  <w:tcW w:w="1509" w:type="dxa"/>
                  <w:noWrap w:val="0"/>
                  <w:vAlign w:val="center"/>
                </w:tcPr>
                <w:p w14:paraId="7CBF1E2D">
                  <w:pPr>
                    <w:spacing w:line="240" w:lineRule="auto"/>
                    <w:jc w:val="center"/>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lang w:val="en-US" w:eastAsia="zh-CN"/>
                    </w:rPr>
                    <w:t>HW49 900-041-49</w:t>
                  </w:r>
                </w:p>
              </w:tc>
              <w:tc>
                <w:tcPr>
                  <w:tcW w:w="636" w:type="dxa"/>
                  <w:noWrap w:val="0"/>
                  <w:vAlign w:val="center"/>
                </w:tcPr>
                <w:p w14:paraId="27A7864D">
                  <w:pPr>
                    <w:spacing w:line="240" w:lineRule="auto"/>
                    <w:jc w:val="center"/>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lang w:val="en-US" w:eastAsia="zh-CN"/>
                    </w:rPr>
                    <w:t>固态</w:t>
                  </w:r>
                </w:p>
              </w:tc>
              <w:tc>
                <w:tcPr>
                  <w:tcW w:w="1095" w:type="dxa"/>
                  <w:noWrap w:val="0"/>
                  <w:vAlign w:val="center"/>
                </w:tcPr>
                <w:p w14:paraId="05E1F07B">
                  <w:pPr>
                    <w:spacing w:line="240" w:lineRule="auto"/>
                    <w:jc w:val="center"/>
                    <w:rPr>
                      <w:rFonts w:hint="default" w:cs="Times New Roman"/>
                      <w:color w:val="000000" w:themeColor="text1"/>
                      <w:lang w:val="en-US" w:eastAsia="zh-CN"/>
                    </w:rPr>
                  </w:pPr>
                  <w:r>
                    <w:rPr>
                      <w:rFonts w:hint="eastAsia" w:ascii="Times New Roman" w:hAnsi="Times New Roman" w:cs="Times New Roman"/>
                      <w:color w:val="000000" w:themeColor="text1"/>
                      <w:lang w:val="en-US" w:eastAsia="zh-CN"/>
                    </w:rPr>
                    <w:t>0.</w:t>
                  </w:r>
                  <w:r>
                    <w:rPr>
                      <w:rFonts w:hint="eastAsia" w:cs="Times New Roman"/>
                      <w:color w:val="000000" w:themeColor="text1"/>
                      <w:lang w:val="en-US" w:eastAsia="zh-CN"/>
                    </w:rPr>
                    <w:t>01</w:t>
                  </w:r>
                </w:p>
              </w:tc>
              <w:tc>
                <w:tcPr>
                  <w:tcW w:w="0" w:type="auto"/>
                  <w:noWrap w:val="0"/>
                  <w:vAlign w:val="center"/>
                </w:tcPr>
                <w:p w14:paraId="15462757">
                  <w:pPr>
                    <w:spacing w:line="240" w:lineRule="auto"/>
                    <w:jc w:val="center"/>
                    <w:rPr>
                      <w:rFonts w:hint="default" w:ascii="Times New Roman" w:hAnsi="Times New Roman" w:cs="Times New Roman"/>
                      <w:color w:val="000000" w:themeColor="text1"/>
                      <w:lang w:val="en-US" w:eastAsia="zh-CN"/>
                    </w:rPr>
                  </w:pPr>
                  <w:r>
                    <w:rPr>
                      <w:rFonts w:hint="eastAsia" w:cs="Times New Roman"/>
                      <w:color w:val="000000" w:themeColor="text1"/>
                      <w:lang w:val="en-US" w:eastAsia="zh-CN"/>
                    </w:rPr>
                    <w:t>废含有手套抹布</w:t>
                  </w:r>
                </w:p>
              </w:tc>
              <w:tc>
                <w:tcPr>
                  <w:tcW w:w="1836" w:type="dxa"/>
                  <w:vMerge w:val="continue"/>
                  <w:noWrap w:val="0"/>
                  <w:vAlign w:val="center"/>
                </w:tcPr>
                <w:p w14:paraId="27633A8B">
                  <w:pPr>
                    <w:spacing w:line="240" w:lineRule="auto"/>
                    <w:jc w:val="center"/>
                    <w:rPr>
                      <w:rFonts w:hint="default" w:ascii="Times New Roman" w:hAnsi="Times New Roman" w:cs="Times New Roman"/>
                      <w:color w:val="000000" w:themeColor="text1"/>
                      <w:lang w:val="en-US" w:eastAsia="zh-CN"/>
                    </w:rPr>
                  </w:pPr>
                </w:p>
              </w:tc>
            </w:tr>
            <w:tr w14:paraId="791B20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noWrap w:val="0"/>
                  <w:vAlign w:val="center"/>
                </w:tcPr>
                <w:p w14:paraId="35CAA953">
                  <w:pPr>
                    <w:spacing w:line="240" w:lineRule="auto"/>
                    <w:jc w:val="center"/>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lang w:val="en-US" w:eastAsia="zh-CN"/>
                    </w:rPr>
                    <w:t>/</w:t>
                  </w:r>
                </w:p>
              </w:tc>
              <w:tc>
                <w:tcPr>
                  <w:tcW w:w="0" w:type="auto"/>
                  <w:noWrap w:val="0"/>
                  <w:vAlign w:val="center"/>
                </w:tcPr>
                <w:p w14:paraId="4E21ADC2">
                  <w:pPr>
                    <w:spacing w:line="240" w:lineRule="auto"/>
                    <w:jc w:val="center"/>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lang w:val="en-US" w:eastAsia="zh-CN"/>
                    </w:rPr>
                    <w:t>生活垃圾</w:t>
                  </w:r>
                </w:p>
              </w:tc>
              <w:tc>
                <w:tcPr>
                  <w:tcW w:w="0" w:type="auto"/>
                  <w:noWrap w:val="0"/>
                  <w:vAlign w:val="center"/>
                </w:tcPr>
                <w:p w14:paraId="20404457">
                  <w:pPr>
                    <w:spacing w:line="240" w:lineRule="auto"/>
                    <w:jc w:val="center"/>
                    <w:rPr>
                      <w:rFonts w:hint="default" w:ascii="Times New Roman" w:hAnsi="Times New Roman" w:cs="Times New Roman"/>
                      <w:color w:val="000000" w:themeColor="text1"/>
                      <w:lang w:val="en-US" w:eastAsia="zh-CN"/>
                    </w:rPr>
                  </w:pPr>
                  <w:r>
                    <w:rPr>
                      <w:rFonts w:hint="eastAsia" w:cs="Times New Roman"/>
                      <w:color w:val="000000" w:themeColor="text1"/>
                      <w:lang w:val="en-US" w:eastAsia="zh-CN"/>
                    </w:rPr>
                    <w:t>900-099-S64</w:t>
                  </w:r>
                </w:p>
              </w:tc>
              <w:tc>
                <w:tcPr>
                  <w:tcW w:w="0" w:type="auto"/>
                  <w:noWrap w:val="0"/>
                  <w:vAlign w:val="center"/>
                </w:tcPr>
                <w:p w14:paraId="451E9CAA">
                  <w:pPr>
                    <w:spacing w:line="240" w:lineRule="auto"/>
                    <w:jc w:val="center"/>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lang w:val="en-US" w:eastAsia="zh-CN"/>
                    </w:rPr>
                    <w:t>固态</w:t>
                  </w:r>
                </w:p>
              </w:tc>
              <w:tc>
                <w:tcPr>
                  <w:tcW w:w="0" w:type="auto"/>
                  <w:noWrap w:val="0"/>
                  <w:vAlign w:val="center"/>
                </w:tcPr>
                <w:p w14:paraId="65DFF6E5">
                  <w:pPr>
                    <w:spacing w:line="240" w:lineRule="auto"/>
                    <w:jc w:val="center"/>
                    <w:rPr>
                      <w:rFonts w:hint="default" w:ascii="Times New Roman" w:hAnsi="Times New Roman" w:cs="Times New Roman"/>
                      <w:color w:val="000000" w:themeColor="text1"/>
                      <w:lang w:val="en-US" w:eastAsia="zh-CN"/>
                    </w:rPr>
                  </w:pPr>
                  <w:r>
                    <w:rPr>
                      <w:rFonts w:hint="eastAsia" w:ascii="Times New Roman" w:hAnsi="Times New Roman" w:cs="Times New Roman"/>
                      <w:color w:val="000000" w:themeColor="text1"/>
                      <w:lang w:val="en-US" w:eastAsia="zh-CN"/>
                    </w:rPr>
                    <w:t>0.6</w:t>
                  </w:r>
                </w:p>
              </w:tc>
              <w:tc>
                <w:tcPr>
                  <w:tcW w:w="0" w:type="auto"/>
                  <w:noWrap w:val="0"/>
                  <w:vAlign w:val="center"/>
                </w:tcPr>
                <w:p w14:paraId="76CAF519">
                  <w:pPr>
                    <w:spacing w:line="240" w:lineRule="auto"/>
                    <w:jc w:val="center"/>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lang w:val="en-US" w:eastAsia="zh-CN"/>
                    </w:rPr>
                    <w:t>生活垃圾</w:t>
                  </w:r>
                </w:p>
              </w:tc>
              <w:tc>
                <w:tcPr>
                  <w:tcW w:w="0" w:type="auto"/>
                  <w:noWrap w:val="0"/>
                  <w:vAlign w:val="center"/>
                </w:tcPr>
                <w:p w14:paraId="29E76DBA">
                  <w:pPr>
                    <w:spacing w:line="240" w:lineRule="auto"/>
                    <w:jc w:val="center"/>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lang w:val="en-US" w:eastAsia="zh-CN"/>
                    </w:rPr>
                    <w:t>委托环卫部门处置</w:t>
                  </w:r>
                </w:p>
              </w:tc>
            </w:tr>
          </w:tbl>
          <w:p w14:paraId="149539D7">
            <w:pPr>
              <w:pStyle w:val="5"/>
              <w:keepNext/>
              <w:keepLines/>
              <w:pageBreakBefore w:val="0"/>
              <w:widowControl w:val="0"/>
              <w:numPr>
                <w:ilvl w:val="0"/>
                <w:numId w:val="0"/>
              </w:numPr>
              <w:kinsoku/>
              <w:wordWrap/>
              <w:overflowPunct/>
              <w:topLinePunct w:val="0"/>
              <w:autoSpaceDE/>
              <w:autoSpaceDN/>
              <w:bidi w:val="0"/>
              <w:adjustRightInd/>
              <w:snapToGrid/>
              <w:spacing w:before="0" w:after="0" w:line="240" w:lineRule="auto"/>
              <w:ind w:leftChars="0"/>
              <w:jc w:val="center"/>
              <w:textAlignment w:val="auto"/>
              <w:rPr>
                <w:rFonts w:hint="default" w:ascii="Times New Roman" w:hAnsi="Times New Roman" w:eastAsia="宋体" w:cs="Times New Roman"/>
                <w:b/>
                <w:bCs/>
                <w:color w:val="000000" w:themeColor="text1"/>
                <w:sz w:val="24"/>
                <w:szCs w:val="24"/>
                <w:lang w:val="en-US" w:eastAsia="zh-CN"/>
              </w:rPr>
            </w:pPr>
          </w:p>
          <w:p w14:paraId="190AD07C">
            <w:pPr>
              <w:pStyle w:val="5"/>
              <w:keepNext/>
              <w:keepLines/>
              <w:pageBreakBefore w:val="0"/>
              <w:widowControl w:val="0"/>
              <w:numPr>
                <w:ilvl w:val="0"/>
                <w:numId w:val="0"/>
              </w:numPr>
              <w:kinsoku/>
              <w:wordWrap/>
              <w:overflowPunct/>
              <w:topLinePunct w:val="0"/>
              <w:autoSpaceDE/>
              <w:autoSpaceDN/>
              <w:bidi w:val="0"/>
              <w:adjustRightInd/>
              <w:snapToGrid/>
              <w:spacing w:before="0" w:after="0" w:line="240" w:lineRule="auto"/>
              <w:ind w:leftChars="0"/>
              <w:jc w:val="center"/>
              <w:textAlignment w:val="auto"/>
              <w:rPr>
                <w:rFonts w:hint="default" w:ascii="Times New Roman" w:hAnsi="Times New Roman" w:eastAsia="宋体" w:cs="Times New Roman"/>
                <w:b/>
                <w:bCs/>
                <w:color w:val="000000" w:themeColor="text1"/>
                <w:sz w:val="24"/>
                <w:szCs w:val="24"/>
                <w:lang w:val="en-US" w:eastAsia="zh-CN"/>
              </w:rPr>
            </w:pPr>
            <w:r>
              <w:rPr>
                <w:rFonts w:hint="default" w:ascii="Times New Roman" w:hAnsi="Times New Roman" w:eastAsia="宋体" w:cs="Times New Roman"/>
                <w:b/>
                <w:bCs/>
                <w:color w:val="000000" w:themeColor="text1"/>
                <w:sz w:val="24"/>
                <w:szCs w:val="24"/>
                <w:lang w:val="en-US" w:eastAsia="zh-CN"/>
              </w:rPr>
              <w:t>表4-1</w:t>
            </w:r>
            <w:r>
              <w:rPr>
                <w:rFonts w:hint="eastAsia" w:ascii="Times New Roman" w:hAnsi="Times New Roman" w:eastAsia="宋体" w:cs="Times New Roman"/>
                <w:b/>
                <w:bCs/>
                <w:color w:val="000000" w:themeColor="text1"/>
                <w:sz w:val="24"/>
                <w:szCs w:val="24"/>
                <w:lang w:val="en-US" w:eastAsia="zh-CN"/>
              </w:rPr>
              <w:t>8</w:t>
            </w:r>
            <w:r>
              <w:rPr>
                <w:rFonts w:hint="default" w:ascii="Times New Roman" w:hAnsi="Times New Roman" w:eastAsia="宋体" w:cs="Times New Roman"/>
                <w:b/>
                <w:bCs/>
                <w:color w:val="000000" w:themeColor="text1"/>
                <w:sz w:val="24"/>
                <w:szCs w:val="24"/>
                <w:lang w:val="en-US" w:eastAsia="zh-CN"/>
              </w:rPr>
              <w:t xml:space="preserve">  建设项目危废贮存基本情况一览表</w:t>
            </w:r>
          </w:p>
          <w:tbl>
            <w:tblPr>
              <w:tblStyle w:val="3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8"/>
              <w:gridCol w:w="1282"/>
              <w:gridCol w:w="1235"/>
              <w:gridCol w:w="1487"/>
              <w:gridCol w:w="1172"/>
              <w:gridCol w:w="728"/>
              <w:gridCol w:w="1209"/>
              <w:gridCol w:w="728"/>
            </w:tblGrid>
            <w:tr w14:paraId="68E34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noWrap w:val="0"/>
                  <w:vAlign w:val="center"/>
                </w:tcPr>
                <w:p w14:paraId="4ACC0DD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000000" w:themeColor="text1"/>
                      <w:sz w:val="21"/>
                      <w:szCs w:val="21"/>
                      <w:vertAlign w:val="baseline"/>
                      <w:lang w:val="en-US" w:eastAsia="zh-CN"/>
                    </w:rPr>
                  </w:pPr>
                  <w:r>
                    <w:rPr>
                      <w:rFonts w:hint="eastAsia" w:ascii="Times New Roman" w:hAnsi="Times New Roman" w:eastAsia="宋体" w:cs="Times New Roman"/>
                      <w:b/>
                      <w:bCs/>
                      <w:color w:val="000000" w:themeColor="text1"/>
                      <w:sz w:val="21"/>
                      <w:szCs w:val="21"/>
                      <w:vertAlign w:val="baseline"/>
                      <w:lang w:val="en-US" w:eastAsia="zh-CN"/>
                    </w:rPr>
                    <w:t>贮存场所名称</w:t>
                  </w:r>
                </w:p>
              </w:tc>
              <w:tc>
                <w:tcPr>
                  <w:tcW w:w="0" w:type="auto"/>
                  <w:noWrap w:val="0"/>
                  <w:vAlign w:val="center"/>
                </w:tcPr>
                <w:p w14:paraId="482B080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000000" w:themeColor="text1"/>
                      <w:sz w:val="21"/>
                      <w:szCs w:val="21"/>
                      <w:vertAlign w:val="baseline"/>
                      <w:lang w:val="en-US" w:eastAsia="zh-CN"/>
                    </w:rPr>
                  </w:pPr>
                  <w:r>
                    <w:rPr>
                      <w:rFonts w:hint="eastAsia" w:ascii="Times New Roman" w:hAnsi="Times New Roman" w:eastAsia="宋体" w:cs="Times New Roman"/>
                      <w:b/>
                      <w:bCs/>
                      <w:color w:val="000000" w:themeColor="text1"/>
                      <w:sz w:val="21"/>
                      <w:szCs w:val="21"/>
                      <w:vertAlign w:val="baseline"/>
                      <w:lang w:val="en-US" w:eastAsia="zh-CN"/>
                    </w:rPr>
                    <w:t>占地面积（m</w:t>
                  </w:r>
                  <w:r>
                    <w:rPr>
                      <w:rFonts w:hint="eastAsia" w:ascii="Times New Roman" w:hAnsi="Times New Roman" w:eastAsia="宋体" w:cs="Times New Roman"/>
                      <w:b/>
                      <w:bCs/>
                      <w:color w:val="000000" w:themeColor="text1"/>
                      <w:sz w:val="21"/>
                      <w:szCs w:val="21"/>
                      <w:vertAlign w:val="superscript"/>
                      <w:lang w:val="en-US" w:eastAsia="zh-CN"/>
                    </w:rPr>
                    <w:t>2</w:t>
                  </w:r>
                  <w:r>
                    <w:rPr>
                      <w:rFonts w:hint="eastAsia" w:ascii="Times New Roman" w:hAnsi="Times New Roman" w:eastAsia="宋体" w:cs="Times New Roman"/>
                      <w:b/>
                      <w:bCs/>
                      <w:color w:val="000000" w:themeColor="text1"/>
                      <w:sz w:val="21"/>
                      <w:szCs w:val="21"/>
                      <w:vertAlign w:val="baseline"/>
                      <w:lang w:val="en-US" w:eastAsia="zh-CN"/>
                    </w:rPr>
                    <w:t>）</w:t>
                  </w:r>
                </w:p>
              </w:tc>
              <w:tc>
                <w:tcPr>
                  <w:tcW w:w="0" w:type="auto"/>
                  <w:noWrap w:val="0"/>
                  <w:vAlign w:val="center"/>
                </w:tcPr>
                <w:p w14:paraId="1B4C431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000000" w:themeColor="text1"/>
                      <w:sz w:val="21"/>
                      <w:szCs w:val="21"/>
                      <w:vertAlign w:val="baseline"/>
                      <w:lang w:val="en-US" w:eastAsia="zh-CN"/>
                    </w:rPr>
                  </w:pPr>
                  <w:r>
                    <w:rPr>
                      <w:rFonts w:hint="eastAsia" w:ascii="Times New Roman" w:hAnsi="Times New Roman" w:eastAsia="宋体" w:cs="Times New Roman"/>
                      <w:b/>
                      <w:bCs/>
                      <w:color w:val="000000" w:themeColor="text1"/>
                      <w:sz w:val="21"/>
                      <w:szCs w:val="21"/>
                      <w:vertAlign w:val="baseline"/>
                      <w:lang w:val="en-US" w:eastAsia="zh-CN"/>
                    </w:rPr>
                    <w:t>危废名称</w:t>
                  </w:r>
                </w:p>
              </w:tc>
              <w:tc>
                <w:tcPr>
                  <w:tcW w:w="0" w:type="auto"/>
                  <w:noWrap w:val="0"/>
                  <w:vAlign w:val="center"/>
                </w:tcPr>
                <w:p w14:paraId="24EC960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000000" w:themeColor="text1"/>
                      <w:sz w:val="21"/>
                      <w:szCs w:val="21"/>
                      <w:vertAlign w:val="baseline"/>
                      <w:lang w:val="en-US" w:eastAsia="zh-CN"/>
                    </w:rPr>
                  </w:pPr>
                  <w:r>
                    <w:rPr>
                      <w:rFonts w:hint="eastAsia" w:ascii="Times New Roman" w:hAnsi="Times New Roman" w:eastAsia="宋体" w:cs="Times New Roman"/>
                      <w:b/>
                      <w:bCs/>
                      <w:color w:val="000000" w:themeColor="text1"/>
                      <w:sz w:val="21"/>
                      <w:szCs w:val="21"/>
                      <w:vertAlign w:val="baseline"/>
                      <w:lang w:val="en-US" w:eastAsia="zh-CN"/>
                    </w:rPr>
                    <w:t>危废类别和代码</w:t>
                  </w:r>
                </w:p>
              </w:tc>
              <w:tc>
                <w:tcPr>
                  <w:tcW w:w="0" w:type="auto"/>
                  <w:noWrap w:val="0"/>
                  <w:vAlign w:val="center"/>
                </w:tcPr>
                <w:p w14:paraId="66607E4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000000" w:themeColor="text1"/>
                      <w:sz w:val="21"/>
                      <w:szCs w:val="21"/>
                      <w:vertAlign w:val="baseline"/>
                      <w:lang w:val="en-US" w:eastAsia="zh-CN"/>
                    </w:rPr>
                  </w:pPr>
                  <w:r>
                    <w:rPr>
                      <w:rFonts w:hint="eastAsia" w:ascii="Times New Roman" w:hAnsi="Times New Roman" w:eastAsia="宋体" w:cs="Times New Roman"/>
                      <w:b/>
                      <w:bCs/>
                      <w:color w:val="000000" w:themeColor="text1"/>
                      <w:sz w:val="21"/>
                      <w:szCs w:val="21"/>
                      <w:vertAlign w:val="baseline"/>
                      <w:lang w:val="en-US" w:eastAsia="zh-CN"/>
                    </w:rPr>
                    <w:t>年产量（t/a）</w:t>
                  </w:r>
                </w:p>
              </w:tc>
              <w:tc>
                <w:tcPr>
                  <w:tcW w:w="0" w:type="auto"/>
                  <w:noWrap w:val="0"/>
                  <w:vAlign w:val="center"/>
                </w:tcPr>
                <w:p w14:paraId="3786740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000000" w:themeColor="text1"/>
                      <w:sz w:val="21"/>
                      <w:szCs w:val="21"/>
                      <w:vertAlign w:val="baseline"/>
                      <w:lang w:val="en-US" w:eastAsia="zh-CN"/>
                    </w:rPr>
                  </w:pPr>
                  <w:r>
                    <w:rPr>
                      <w:rFonts w:hint="eastAsia" w:ascii="Times New Roman" w:hAnsi="Times New Roman" w:eastAsia="宋体" w:cs="Times New Roman"/>
                      <w:b/>
                      <w:bCs/>
                      <w:color w:val="000000" w:themeColor="text1"/>
                      <w:sz w:val="21"/>
                      <w:szCs w:val="21"/>
                      <w:vertAlign w:val="baseline"/>
                      <w:lang w:val="en-US" w:eastAsia="zh-CN"/>
                    </w:rPr>
                    <w:t>贮存方式</w:t>
                  </w:r>
                </w:p>
              </w:tc>
              <w:tc>
                <w:tcPr>
                  <w:tcW w:w="0" w:type="auto"/>
                  <w:noWrap w:val="0"/>
                  <w:vAlign w:val="center"/>
                </w:tcPr>
                <w:p w14:paraId="27A1A2C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000000" w:themeColor="text1"/>
                      <w:sz w:val="21"/>
                      <w:szCs w:val="21"/>
                      <w:vertAlign w:val="baseline"/>
                      <w:lang w:val="en-US" w:eastAsia="zh-CN"/>
                    </w:rPr>
                  </w:pPr>
                  <w:r>
                    <w:rPr>
                      <w:rFonts w:hint="eastAsia" w:ascii="Times New Roman" w:hAnsi="Times New Roman" w:eastAsia="宋体" w:cs="Times New Roman"/>
                      <w:b/>
                      <w:bCs/>
                      <w:color w:val="000000" w:themeColor="text1"/>
                      <w:sz w:val="21"/>
                      <w:szCs w:val="21"/>
                      <w:vertAlign w:val="baseline"/>
                      <w:lang w:val="en-US" w:eastAsia="zh-CN"/>
                    </w:rPr>
                    <w:t>最大贮存量（t）</w:t>
                  </w:r>
                </w:p>
              </w:tc>
              <w:tc>
                <w:tcPr>
                  <w:tcW w:w="0" w:type="auto"/>
                  <w:noWrap w:val="0"/>
                  <w:vAlign w:val="center"/>
                </w:tcPr>
                <w:p w14:paraId="53BF049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000000" w:themeColor="text1"/>
                      <w:sz w:val="21"/>
                      <w:szCs w:val="21"/>
                      <w:vertAlign w:val="baseline"/>
                      <w:lang w:val="en-US" w:eastAsia="zh-CN"/>
                    </w:rPr>
                  </w:pPr>
                  <w:r>
                    <w:rPr>
                      <w:rFonts w:hint="eastAsia" w:ascii="Times New Roman" w:hAnsi="Times New Roman" w:eastAsia="宋体" w:cs="Times New Roman"/>
                      <w:b/>
                      <w:bCs/>
                      <w:color w:val="000000" w:themeColor="text1"/>
                      <w:sz w:val="21"/>
                      <w:szCs w:val="21"/>
                      <w:vertAlign w:val="baseline"/>
                      <w:lang w:val="en-US" w:eastAsia="zh-CN"/>
                    </w:rPr>
                    <w:t>贮存周期</w:t>
                  </w:r>
                </w:p>
              </w:tc>
            </w:tr>
            <w:tr w14:paraId="4B08D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 w:type="dxa"/>
                  <w:vMerge w:val="restart"/>
                  <w:noWrap w:val="0"/>
                  <w:vAlign w:val="center"/>
                </w:tcPr>
                <w:p w14:paraId="7F163C5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eastAsia="宋体" w:cs="Times New Roman"/>
                      <w:b w:val="0"/>
                      <w:bCs w:val="0"/>
                      <w:color w:val="000000" w:themeColor="text1"/>
                      <w:sz w:val="21"/>
                      <w:szCs w:val="21"/>
                      <w:vertAlign w:val="baseline"/>
                      <w:lang w:val="en-US" w:eastAsia="zh-CN"/>
                    </w:rPr>
                    <w:t>危废暂存间</w:t>
                  </w:r>
                </w:p>
              </w:tc>
              <w:tc>
                <w:tcPr>
                  <w:tcW w:w="0" w:type="auto"/>
                  <w:noWrap w:val="0"/>
                  <w:vAlign w:val="center"/>
                </w:tcPr>
                <w:p w14:paraId="52B4506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eastAsia="宋体" w:cs="Times New Roman"/>
                      <w:b w:val="0"/>
                      <w:bCs w:val="0"/>
                      <w:color w:val="000000" w:themeColor="text1"/>
                      <w:sz w:val="21"/>
                      <w:szCs w:val="21"/>
                      <w:vertAlign w:val="baseline"/>
                      <w:lang w:val="en-US" w:eastAsia="zh-CN"/>
                    </w:rPr>
                    <w:t>1</w:t>
                  </w:r>
                </w:p>
              </w:tc>
              <w:tc>
                <w:tcPr>
                  <w:tcW w:w="1235" w:type="dxa"/>
                  <w:shd w:val="clear" w:color="auto" w:fill="auto"/>
                  <w:noWrap w:val="0"/>
                  <w:vAlign w:val="center"/>
                </w:tcPr>
                <w:p w14:paraId="38F3B4E9">
                  <w:pPr>
                    <w:spacing w:line="240" w:lineRule="auto"/>
                    <w:jc w:val="center"/>
                    <w:rPr>
                      <w:rFonts w:hint="default" w:ascii="Times New Roman" w:hAnsi="Times New Roman" w:eastAsia="宋体" w:cs="Times New Roman"/>
                      <w:b w:val="0"/>
                      <w:bCs w:val="0"/>
                      <w:color w:val="000000" w:themeColor="text1"/>
                      <w:kern w:val="2"/>
                      <w:sz w:val="21"/>
                      <w:szCs w:val="21"/>
                      <w:vertAlign w:val="baseline"/>
                      <w:lang w:val="en-US" w:eastAsia="zh-CN" w:bidi="ar-SA"/>
                    </w:rPr>
                  </w:pPr>
                  <w:r>
                    <w:rPr>
                      <w:rFonts w:hint="default" w:ascii="Times New Roman" w:hAnsi="Times New Roman" w:cs="Times New Roman"/>
                      <w:color w:val="000000" w:themeColor="text1"/>
                      <w:lang w:val="en-US" w:eastAsia="zh-CN"/>
                    </w:rPr>
                    <w:t>油渣</w:t>
                  </w:r>
                </w:p>
              </w:tc>
              <w:tc>
                <w:tcPr>
                  <w:tcW w:w="1487" w:type="dxa"/>
                  <w:shd w:val="clear" w:color="auto" w:fill="auto"/>
                  <w:noWrap w:val="0"/>
                  <w:vAlign w:val="center"/>
                </w:tcPr>
                <w:p w14:paraId="2675D305">
                  <w:pPr>
                    <w:spacing w:line="240" w:lineRule="auto"/>
                    <w:jc w:val="center"/>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lang w:val="en-US" w:eastAsia="zh-CN"/>
                    </w:rPr>
                    <w:t>HW08</w:t>
                  </w:r>
                </w:p>
                <w:p w14:paraId="15ACEBEB">
                  <w:pPr>
                    <w:spacing w:line="240" w:lineRule="auto"/>
                    <w:jc w:val="center"/>
                    <w:rPr>
                      <w:rFonts w:hint="default" w:ascii="Times New Roman" w:hAnsi="Times New Roman" w:eastAsia="宋体" w:cs="Times New Roman"/>
                      <w:b w:val="0"/>
                      <w:bCs w:val="0"/>
                      <w:color w:val="000000" w:themeColor="text1"/>
                      <w:kern w:val="2"/>
                      <w:sz w:val="21"/>
                      <w:szCs w:val="21"/>
                      <w:vertAlign w:val="baseline"/>
                      <w:lang w:val="en-US" w:eastAsia="zh-CN" w:bidi="ar-SA"/>
                    </w:rPr>
                  </w:pPr>
                  <w:r>
                    <w:rPr>
                      <w:rFonts w:hint="default" w:ascii="Times New Roman" w:hAnsi="Times New Roman" w:cs="Times New Roman"/>
                      <w:color w:val="000000" w:themeColor="text1"/>
                      <w:lang w:val="en-US" w:eastAsia="zh-CN"/>
                    </w:rPr>
                    <w:t>900-2</w:t>
                  </w:r>
                  <w:r>
                    <w:rPr>
                      <w:rFonts w:hint="eastAsia" w:ascii="Times New Roman" w:hAnsi="Times New Roman" w:cs="Times New Roman"/>
                      <w:color w:val="000000" w:themeColor="text1"/>
                      <w:lang w:val="en-US" w:eastAsia="zh-CN"/>
                    </w:rPr>
                    <w:t>49</w:t>
                  </w:r>
                  <w:r>
                    <w:rPr>
                      <w:rFonts w:hint="default" w:ascii="Times New Roman" w:hAnsi="Times New Roman" w:cs="Times New Roman"/>
                      <w:color w:val="000000" w:themeColor="text1"/>
                      <w:lang w:val="en-US" w:eastAsia="zh-CN"/>
                    </w:rPr>
                    <w:t>-08</w:t>
                  </w:r>
                </w:p>
              </w:tc>
              <w:tc>
                <w:tcPr>
                  <w:tcW w:w="1172" w:type="dxa"/>
                  <w:shd w:val="clear" w:color="auto" w:fill="auto"/>
                  <w:noWrap w:val="0"/>
                  <w:vAlign w:val="center"/>
                </w:tcPr>
                <w:p w14:paraId="248219D5">
                  <w:pPr>
                    <w:spacing w:line="240" w:lineRule="auto"/>
                    <w:jc w:val="center"/>
                    <w:rPr>
                      <w:rFonts w:hint="default" w:ascii="Times New Roman" w:hAnsi="Times New Roman" w:eastAsia="宋体" w:cs="Times New Roman"/>
                      <w:color w:val="000000" w:themeColor="text1"/>
                      <w:kern w:val="2"/>
                      <w:sz w:val="21"/>
                      <w:szCs w:val="24"/>
                      <w:lang w:val="en-US" w:eastAsia="zh-CN" w:bidi="ar-SA"/>
                    </w:rPr>
                  </w:pPr>
                  <w:r>
                    <w:rPr>
                      <w:rFonts w:hint="default" w:ascii="Times New Roman" w:hAnsi="Times New Roman" w:cs="Times New Roman"/>
                      <w:color w:val="000000" w:themeColor="text1"/>
                      <w:lang w:val="en-US" w:eastAsia="zh-CN"/>
                    </w:rPr>
                    <w:t>0.</w:t>
                  </w:r>
                  <w:r>
                    <w:rPr>
                      <w:rFonts w:hint="eastAsia" w:ascii="Times New Roman" w:hAnsi="Times New Roman" w:cs="Times New Roman"/>
                      <w:color w:val="000000" w:themeColor="text1"/>
                      <w:lang w:val="en-US" w:eastAsia="zh-CN"/>
                    </w:rPr>
                    <w:t>001</w:t>
                  </w:r>
                </w:p>
              </w:tc>
              <w:tc>
                <w:tcPr>
                  <w:tcW w:w="0" w:type="auto"/>
                  <w:shd w:val="clear" w:color="auto" w:fill="auto"/>
                  <w:noWrap w:val="0"/>
                  <w:vAlign w:val="center"/>
                </w:tcPr>
                <w:p w14:paraId="3C42F93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kern w:val="2"/>
                      <w:sz w:val="21"/>
                      <w:szCs w:val="21"/>
                      <w:vertAlign w:val="baseline"/>
                      <w:lang w:val="en-US" w:eastAsia="zh-CN" w:bidi="ar-SA"/>
                    </w:rPr>
                  </w:pPr>
                  <w:r>
                    <w:rPr>
                      <w:rFonts w:hint="eastAsia" w:ascii="Times New Roman" w:hAnsi="Times New Roman" w:eastAsia="宋体" w:cs="Times New Roman"/>
                      <w:b w:val="0"/>
                      <w:bCs w:val="0"/>
                      <w:color w:val="000000" w:themeColor="text1"/>
                      <w:sz w:val="21"/>
                      <w:szCs w:val="21"/>
                      <w:vertAlign w:val="baseline"/>
                      <w:lang w:val="en-US" w:eastAsia="zh-CN"/>
                    </w:rPr>
                    <w:t>桶装</w:t>
                  </w:r>
                </w:p>
              </w:tc>
              <w:tc>
                <w:tcPr>
                  <w:tcW w:w="0" w:type="auto"/>
                  <w:shd w:val="clear" w:color="auto" w:fill="auto"/>
                  <w:noWrap w:val="0"/>
                  <w:vAlign w:val="center"/>
                </w:tcPr>
                <w:p w14:paraId="1C91551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kern w:val="2"/>
                      <w:sz w:val="21"/>
                      <w:szCs w:val="21"/>
                      <w:vertAlign w:val="baseline"/>
                      <w:lang w:val="en-US" w:eastAsia="zh-CN" w:bidi="ar-SA"/>
                    </w:rPr>
                  </w:pPr>
                  <w:r>
                    <w:rPr>
                      <w:rFonts w:hint="eastAsia" w:ascii="Times New Roman" w:hAnsi="Times New Roman" w:eastAsia="宋体" w:cs="Times New Roman"/>
                      <w:b w:val="0"/>
                      <w:bCs w:val="0"/>
                      <w:color w:val="000000" w:themeColor="text1"/>
                      <w:sz w:val="21"/>
                      <w:szCs w:val="21"/>
                      <w:vertAlign w:val="baseline"/>
                      <w:lang w:val="en-US" w:eastAsia="zh-CN"/>
                    </w:rPr>
                    <w:t>0.001</w:t>
                  </w:r>
                </w:p>
              </w:tc>
              <w:tc>
                <w:tcPr>
                  <w:tcW w:w="0" w:type="auto"/>
                  <w:noWrap w:val="0"/>
                  <w:vAlign w:val="center"/>
                </w:tcPr>
                <w:p w14:paraId="7938028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eastAsia="宋体" w:cs="Times New Roman"/>
                      <w:b w:val="0"/>
                      <w:bCs w:val="0"/>
                      <w:color w:val="000000" w:themeColor="text1"/>
                      <w:sz w:val="21"/>
                      <w:szCs w:val="21"/>
                      <w:vertAlign w:val="baseline"/>
                      <w:lang w:val="en-US" w:eastAsia="zh-CN"/>
                    </w:rPr>
                    <w:t>1年</w:t>
                  </w:r>
                </w:p>
              </w:tc>
            </w:tr>
            <w:tr w14:paraId="357CDA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 w:type="dxa"/>
                  <w:vMerge w:val="continue"/>
                  <w:noWrap w:val="0"/>
                  <w:vAlign w:val="center"/>
                </w:tcPr>
                <w:p w14:paraId="16DC401B">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val="0"/>
                      <w:color w:val="000000" w:themeColor="text1"/>
                      <w:sz w:val="21"/>
                      <w:szCs w:val="21"/>
                      <w:vertAlign w:val="baseline"/>
                      <w:lang w:val="en-US" w:eastAsia="zh-CN"/>
                    </w:rPr>
                  </w:pPr>
                </w:p>
              </w:tc>
              <w:tc>
                <w:tcPr>
                  <w:tcW w:w="0" w:type="auto"/>
                  <w:noWrap w:val="0"/>
                  <w:vAlign w:val="center"/>
                </w:tcPr>
                <w:p w14:paraId="572FD80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eastAsia="宋体" w:cs="Times New Roman"/>
                      <w:b w:val="0"/>
                      <w:bCs w:val="0"/>
                      <w:color w:val="000000" w:themeColor="text1"/>
                      <w:sz w:val="21"/>
                      <w:szCs w:val="21"/>
                      <w:vertAlign w:val="baseline"/>
                      <w:lang w:val="en-US" w:eastAsia="zh-CN"/>
                    </w:rPr>
                    <w:t>4</w:t>
                  </w:r>
                </w:p>
              </w:tc>
              <w:tc>
                <w:tcPr>
                  <w:tcW w:w="1235" w:type="dxa"/>
                  <w:shd w:val="clear" w:color="auto" w:fill="auto"/>
                  <w:noWrap w:val="0"/>
                  <w:vAlign w:val="center"/>
                </w:tcPr>
                <w:p w14:paraId="0D761A4A">
                  <w:pPr>
                    <w:spacing w:line="240" w:lineRule="auto"/>
                    <w:jc w:val="center"/>
                    <w:rPr>
                      <w:rFonts w:hint="eastAsia" w:ascii="Times New Roman" w:hAnsi="Times New Roman" w:eastAsia="宋体" w:cs="Times New Roman"/>
                      <w:b w:val="0"/>
                      <w:bCs w:val="0"/>
                      <w:color w:val="000000" w:themeColor="text1"/>
                      <w:kern w:val="2"/>
                      <w:sz w:val="21"/>
                      <w:szCs w:val="21"/>
                      <w:vertAlign w:val="baseline"/>
                      <w:lang w:val="en-US" w:eastAsia="zh-CN" w:bidi="ar-SA"/>
                    </w:rPr>
                  </w:pPr>
                  <w:r>
                    <w:rPr>
                      <w:rFonts w:hint="eastAsia" w:cs="Times New Roman"/>
                      <w:color w:val="000000" w:themeColor="text1"/>
                      <w:kern w:val="0"/>
                      <w:sz w:val="21"/>
                      <w:szCs w:val="21"/>
                      <w:lang w:val="en-US" w:eastAsia="zh-CN"/>
                    </w:rPr>
                    <w:t>固化后的废环氧树脂料</w:t>
                  </w:r>
                </w:p>
              </w:tc>
              <w:tc>
                <w:tcPr>
                  <w:tcW w:w="1487" w:type="dxa"/>
                  <w:shd w:val="clear" w:color="auto" w:fill="auto"/>
                  <w:noWrap w:val="0"/>
                  <w:vAlign w:val="center"/>
                </w:tcPr>
                <w:p w14:paraId="65DDB97B">
                  <w:pPr>
                    <w:spacing w:line="240" w:lineRule="auto"/>
                    <w:jc w:val="center"/>
                    <w:rPr>
                      <w:rFonts w:hint="eastAsia" w:ascii="Times New Roman" w:hAnsi="Times New Roman" w:eastAsia="宋体" w:cs="Times New Roman"/>
                      <w:color w:val="000000" w:themeColor="text1"/>
                      <w:lang w:val="en-US" w:eastAsia="zh-CN"/>
                    </w:rPr>
                  </w:pPr>
                  <w:r>
                    <w:rPr>
                      <w:rFonts w:hint="eastAsia" w:ascii="Times New Roman" w:hAnsi="Times New Roman" w:eastAsia="宋体" w:cs="Times New Roman"/>
                      <w:color w:val="000000" w:themeColor="text1"/>
                      <w:lang w:val="en-US" w:eastAsia="zh-CN"/>
                    </w:rPr>
                    <w:t>HW13</w:t>
                  </w:r>
                </w:p>
                <w:p w14:paraId="6D25D923">
                  <w:pPr>
                    <w:spacing w:line="240" w:lineRule="auto"/>
                    <w:jc w:val="center"/>
                    <w:rPr>
                      <w:rFonts w:hint="eastAsia" w:ascii="Times New Roman" w:hAnsi="Times New Roman" w:eastAsia="宋体" w:cs="Times New Roman"/>
                      <w:b w:val="0"/>
                      <w:bCs w:val="0"/>
                      <w:color w:val="000000" w:themeColor="text1"/>
                      <w:kern w:val="2"/>
                      <w:sz w:val="21"/>
                      <w:szCs w:val="21"/>
                      <w:vertAlign w:val="baseline"/>
                      <w:lang w:val="en-US" w:eastAsia="zh-CN" w:bidi="ar-SA"/>
                    </w:rPr>
                  </w:pPr>
                  <w:r>
                    <w:rPr>
                      <w:rFonts w:hint="eastAsia" w:ascii="Times New Roman" w:hAnsi="Times New Roman" w:eastAsia="宋体" w:cs="Times New Roman"/>
                      <w:color w:val="000000" w:themeColor="text1"/>
                      <w:lang w:val="en-US" w:eastAsia="zh-CN"/>
                    </w:rPr>
                    <w:t>900-014-13</w:t>
                  </w:r>
                </w:p>
              </w:tc>
              <w:tc>
                <w:tcPr>
                  <w:tcW w:w="1172" w:type="dxa"/>
                  <w:shd w:val="clear" w:color="auto" w:fill="auto"/>
                  <w:noWrap w:val="0"/>
                  <w:vAlign w:val="center"/>
                </w:tcPr>
                <w:p w14:paraId="0601DD5D">
                  <w:pPr>
                    <w:spacing w:line="240" w:lineRule="auto"/>
                    <w:jc w:val="center"/>
                    <w:rPr>
                      <w:rFonts w:hint="eastAsia" w:ascii="Times New Roman" w:hAnsi="Times New Roman" w:eastAsia="宋体" w:cs="Times New Roman"/>
                      <w:color w:val="000000" w:themeColor="text1"/>
                      <w:kern w:val="2"/>
                      <w:sz w:val="21"/>
                      <w:szCs w:val="24"/>
                      <w:lang w:val="en-US" w:eastAsia="zh-CN" w:bidi="ar-SA"/>
                    </w:rPr>
                  </w:pPr>
                  <w:r>
                    <w:rPr>
                      <w:rFonts w:hint="eastAsia" w:cs="Times New Roman"/>
                      <w:color w:val="000000" w:themeColor="text1"/>
                      <w:lang w:val="en-US" w:eastAsia="zh-CN"/>
                    </w:rPr>
                    <w:t>1.048</w:t>
                  </w:r>
                </w:p>
              </w:tc>
              <w:tc>
                <w:tcPr>
                  <w:tcW w:w="0" w:type="auto"/>
                  <w:shd w:val="clear" w:color="auto" w:fill="auto"/>
                  <w:noWrap w:val="0"/>
                  <w:vAlign w:val="center"/>
                </w:tcPr>
                <w:p w14:paraId="388692F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kern w:val="2"/>
                      <w:sz w:val="21"/>
                      <w:szCs w:val="21"/>
                      <w:vertAlign w:val="baseline"/>
                      <w:lang w:val="en-US" w:eastAsia="zh-CN" w:bidi="ar-SA"/>
                    </w:rPr>
                  </w:pPr>
                  <w:r>
                    <w:rPr>
                      <w:rFonts w:hint="eastAsia" w:ascii="Times New Roman" w:hAnsi="Times New Roman" w:eastAsia="宋体" w:cs="Times New Roman"/>
                      <w:b w:val="0"/>
                      <w:bCs w:val="0"/>
                      <w:color w:val="000000" w:themeColor="text1"/>
                      <w:sz w:val="21"/>
                      <w:szCs w:val="21"/>
                      <w:vertAlign w:val="baseline"/>
                      <w:lang w:val="en-US" w:eastAsia="zh-CN"/>
                    </w:rPr>
                    <w:t>桶装</w:t>
                  </w:r>
                </w:p>
              </w:tc>
              <w:tc>
                <w:tcPr>
                  <w:tcW w:w="0" w:type="auto"/>
                  <w:shd w:val="clear" w:color="auto" w:fill="auto"/>
                  <w:noWrap w:val="0"/>
                  <w:vAlign w:val="center"/>
                </w:tcPr>
                <w:p w14:paraId="789754B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kern w:val="2"/>
                      <w:sz w:val="21"/>
                      <w:szCs w:val="21"/>
                      <w:vertAlign w:val="baseline"/>
                      <w:lang w:val="en-US" w:eastAsia="zh-CN" w:bidi="ar-SA"/>
                    </w:rPr>
                  </w:pPr>
                  <w:r>
                    <w:rPr>
                      <w:rFonts w:hint="eastAsia" w:ascii="Times New Roman" w:hAnsi="Times New Roman" w:eastAsia="宋体" w:cs="Times New Roman"/>
                      <w:b w:val="0"/>
                      <w:bCs w:val="0"/>
                      <w:color w:val="000000" w:themeColor="text1"/>
                      <w:sz w:val="21"/>
                      <w:szCs w:val="21"/>
                      <w:vertAlign w:val="baseline"/>
                      <w:lang w:val="en-US" w:eastAsia="zh-CN"/>
                    </w:rPr>
                    <w:t>0.524</w:t>
                  </w:r>
                </w:p>
              </w:tc>
              <w:tc>
                <w:tcPr>
                  <w:tcW w:w="728" w:type="dxa"/>
                  <w:vMerge w:val="restart"/>
                  <w:shd w:val="clear" w:color="auto" w:fill="auto"/>
                  <w:noWrap w:val="0"/>
                  <w:vAlign w:val="center"/>
                </w:tcPr>
                <w:p w14:paraId="2C251B3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kern w:val="2"/>
                      <w:sz w:val="21"/>
                      <w:szCs w:val="21"/>
                      <w:vertAlign w:val="baseline"/>
                      <w:lang w:val="en-US" w:eastAsia="zh-CN" w:bidi="ar-SA"/>
                    </w:rPr>
                  </w:pPr>
                  <w:r>
                    <w:rPr>
                      <w:rFonts w:hint="eastAsia" w:ascii="Times New Roman" w:hAnsi="Times New Roman" w:eastAsia="宋体" w:cs="Times New Roman"/>
                      <w:b w:val="0"/>
                      <w:bCs w:val="0"/>
                      <w:color w:val="000000" w:themeColor="text1"/>
                      <w:kern w:val="2"/>
                      <w:sz w:val="21"/>
                      <w:szCs w:val="21"/>
                      <w:vertAlign w:val="baseline"/>
                      <w:lang w:val="en-US" w:eastAsia="zh-CN" w:bidi="ar-SA"/>
                    </w:rPr>
                    <w:t>半年</w:t>
                  </w:r>
                </w:p>
              </w:tc>
            </w:tr>
            <w:tr w14:paraId="08F048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 w:type="dxa"/>
                  <w:vMerge w:val="continue"/>
                  <w:noWrap w:val="0"/>
                  <w:vAlign w:val="center"/>
                </w:tcPr>
                <w:p w14:paraId="02445FA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p>
              </w:tc>
              <w:tc>
                <w:tcPr>
                  <w:tcW w:w="1282" w:type="dxa"/>
                  <w:noWrap w:val="0"/>
                  <w:vAlign w:val="center"/>
                </w:tcPr>
                <w:p w14:paraId="48903E3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eastAsia="宋体" w:cs="Times New Roman"/>
                      <w:b w:val="0"/>
                      <w:bCs w:val="0"/>
                      <w:color w:val="000000" w:themeColor="text1"/>
                      <w:sz w:val="21"/>
                      <w:szCs w:val="21"/>
                      <w:vertAlign w:val="baseline"/>
                      <w:lang w:val="en-US" w:eastAsia="zh-CN"/>
                    </w:rPr>
                    <w:t>1</w:t>
                  </w:r>
                </w:p>
              </w:tc>
              <w:tc>
                <w:tcPr>
                  <w:tcW w:w="1235" w:type="dxa"/>
                  <w:noWrap w:val="0"/>
                  <w:vAlign w:val="center"/>
                </w:tcPr>
                <w:p w14:paraId="12627657">
                  <w:pPr>
                    <w:spacing w:line="240" w:lineRule="auto"/>
                    <w:jc w:val="center"/>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cs="Times New Roman"/>
                      <w:color w:val="000000" w:themeColor="text1"/>
                      <w:lang w:val="en-US" w:eastAsia="zh-CN"/>
                    </w:rPr>
                    <w:t>废滤芯</w:t>
                  </w:r>
                </w:p>
              </w:tc>
              <w:tc>
                <w:tcPr>
                  <w:tcW w:w="1487" w:type="dxa"/>
                  <w:noWrap w:val="0"/>
                  <w:vAlign w:val="center"/>
                </w:tcPr>
                <w:p w14:paraId="548629E5">
                  <w:pPr>
                    <w:spacing w:line="240" w:lineRule="auto"/>
                    <w:jc w:val="center"/>
                    <w:rPr>
                      <w:rFonts w:hint="default" w:ascii="Times New Roman" w:hAnsi="Times New Roman" w:eastAsia="宋体" w:cs="Times New Roman"/>
                      <w:color w:val="000000" w:themeColor="text1"/>
                      <w:lang w:val="en-US" w:eastAsia="zh-CN"/>
                    </w:rPr>
                  </w:pPr>
                  <w:r>
                    <w:rPr>
                      <w:rFonts w:hint="eastAsia" w:ascii="Times New Roman" w:hAnsi="Times New Roman" w:eastAsia="宋体" w:cs="Times New Roman"/>
                      <w:color w:val="000000" w:themeColor="text1"/>
                      <w:lang w:val="en-US" w:eastAsia="zh-CN"/>
                    </w:rPr>
                    <w:t>HW49</w:t>
                  </w:r>
                </w:p>
                <w:p w14:paraId="46426F7C">
                  <w:pPr>
                    <w:spacing w:line="240" w:lineRule="auto"/>
                    <w:jc w:val="center"/>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eastAsia="宋体" w:cs="Times New Roman"/>
                      <w:color w:val="000000" w:themeColor="text1"/>
                      <w:lang w:val="en-US" w:eastAsia="zh-CN"/>
                    </w:rPr>
                    <w:t>900-041-49</w:t>
                  </w:r>
                </w:p>
              </w:tc>
              <w:tc>
                <w:tcPr>
                  <w:tcW w:w="1172" w:type="dxa"/>
                  <w:noWrap w:val="0"/>
                  <w:vAlign w:val="center"/>
                </w:tcPr>
                <w:p w14:paraId="1B210B5E">
                  <w:pPr>
                    <w:spacing w:line="240" w:lineRule="auto"/>
                    <w:jc w:val="center"/>
                    <w:rPr>
                      <w:rFonts w:hint="default" w:ascii="Times New Roman" w:hAnsi="Times New Roman" w:cs="Times New Roman"/>
                      <w:color w:val="000000" w:themeColor="text1"/>
                      <w:kern w:val="2"/>
                      <w:sz w:val="21"/>
                      <w:szCs w:val="24"/>
                      <w:lang w:val="en-US" w:eastAsia="zh-CN" w:bidi="ar-SA"/>
                    </w:rPr>
                  </w:pPr>
                  <w:r>
                    <w:rPr>
                      <w:rFonts w:hint="eastAsia" w:ascii="Times New Roman" w:hAnsi="Times New Roman" w:cs="Times New Roman"/>
                      <w:color w:val="000000" w:themeColor="text1"/>
                      <w:lang w:val="en-US" w:eastAsia="zh-CN"/>
                    </w:rPr>
                    <w:t>0.02</w:t>
                  </w:r>
                </w:p>
              </w:tc>
              <w:tc>
                <w:tcPr>
                  <w:tcW w:w="728" w:type="dxa"/>
                  <w:noWrap w:val="0"/>
                  <w:vAlign w:val="center"/>
                </w:tcPr>
                <w:p w14:paraId="4306121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eastAsia="宋体" w:cs="Times New Roman"/>
                      <w:b w:val="0"/>
                      <w:bCs w:val="0"/>
                      <w:color w:val="000000" w:themeColor="text1"/>
                      <w:sz w:val="21"/>
                      <w:szCs w:val="21"/>
                      <w:vertAlign w:val="baseline"/>
                      <w:lang w:val="en-US" w:eastAsia="zh-CN"/>
                    </w:rPr>
                    <w:t>袋装</w:t>
                  </w:r>
                </w:p>
              </w:tc>
              <w:tc>
                <w:tcPr>
                  <w:tcW w:w="1209" w:type="dxa"/>
                  <w:noWrap w:val="0"/>
                  <w:vAlign w:val="center"/>
                </w:tcPr>
                <w:p w14:paraId="093AB38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eastAsia="宋体" w:cs="Times New Roman"/>
                      <w:b w:val="0"/>
                      <w:bCs w:val="0"/>
                      <w:color w:val="000000" w:themeColor="text1"/>
                      <w:sz w:val="21"/>
                      <w:szCs w:val="21"/>
                      <w:vertAlign w:val="baseline"/>
                      <w:lang w:val="en-US" w:eastAsia="zh-CN"/>
                    </w:rPr>
                    <w:t>0.01</w:t>
                  </w:r>
                </w:p>
              </w:tc>
              <w:tc>
                <w:tcPr>
                  <w:tcW w:w="728" w:type="dxa"/>
                  <w:vMerge w:val="continue"/>
                  <w:noWrap w:val="0"/>
                  <w:vAlign w:val="center"/>
                </w:tcPr>
                <w:p w14:paraId="54665D4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p>
              </w:tc>
            </w:tr>
            <w:tr w14:paraId="082CA5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 w:type="dxa"/>
                  <w:vMerge w:val="continue"/>
                  <w:noWrap w:val="0"/>
                  <w:vAlign w:val="center"/>
                </w:tcPr>
                <w:p w14:paraId="7231B62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p>
              </w:tc>
              <w:tc>
                <w:tcPr>
                  <w:tcW w:w="1282" w:type="dxa"/>
                  <w:noWrap w:val="0"/>
                  <w:vAlign w:val="center"/>
                </w:tcPr>
                <w:p w14:paraId="7EA7887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eastAsia="宋体" w:cs="Times New Roman"/>
                      <w:b w:val="0"/>
                      <w:bCs w:val="0"/>
                      <w:color w:val="000000" w:themeColor="text1"/>
                      <w:sz w:val="21"/>
                      <w:szCs w:val="21"/>
                      <w:vertAlign w:val="baseline"/>
                      <w:lang w:val="en-US" w:eastAsia="zh-CN"/>
                    </w:rPr>
                    <w:t>2</w:t>
                  </w:r>
                </w:p>
              </w:tc>
              <w:tc>
                <w:tcPr>
                  <w:tcW w:w="1235" w:type="dxa"/>
                  <w:noWrap w:val="0"/>
                  <w:vAlign w:val="center"/>
                </w:tcPr>
                <w:p w14:paraId="454E42C5">
                  <w:pPr>
                    <w:spacing w:line="240" w:lineRule="auto"/>
                    <w:jc w:val="center"/>
                    <w:rPr>
                      <w:rFonts w:hint="default" w:ascii="Times New Roman" w:hAnsi="Times New Roman" w:eastAsia="宋体" w:cs="Times New Roman"/>
                      <w:b w:val="0"/>
                      <w:bCs w:val="0"/>
                      <w:color w:val="000000" w:themeColor="text1"/>
                      <w:sz w:val="21"/>
                      <w:szCs w:val="21"/>
                      <w:vertAlign w:val="baseline"/>
                      <w:lang w:val="en-US" w:eastAsia="zh-CN"/>
                    </w:rPr>
                  </w:pPr>
                  <w:r>
                    <w:rPr>
                      <w:rFonts w:hint="default" w:ascii="Times New Roman" w:hAnsi="Times New Roman" w:cs="Times New Roman"/>
                      <w:color w:val="000000" w:themeColor="text1"/>
                      <w:lang w:val="en-US" w:eastAsia="zh-CN"/>
                    </w:rPr>
                    <w:t>废</w:t>
                  </w:r>
                  <w:r>
                    <w:rPr>
                      <w:rFonts w:hint="eastAsia" w:ascii="Times New Roman" w:hAnsi="Times New Roman" w:cs="Times New Roman"/>
                      <w:color w:val="000000" w:themeColor="text1"/>
                      <w:lang w:val="en-US" w:eastAsia="zh-CN"/>
                    </w:rPr>
                    <w:t>原料桶</w:t>
                  </w:r>
                </w:p>
              </w:tc>
              <w:tc>
                <w:tcPr>
                  <w:tcW w:w="1487" w:type="dxa"/>
                  <w:noWrap w:val="0"/>
                  <w:vAlign w:val="center"/>
                </w:tcPr>
                <w:p w14:paraId="079B93A8">
                  <w:pPr>
                    <w:spacing w:line="240" w:lineRule="auto"/>
                    <w:jc w:val="center"/>
                    <w:rPr>
                      <w:rFonts w:hint="default" w:ascii="Times New Roman" w:hAnsi="Times New Roman" w:eastAsia="宋体" w:cs="Times New Roman"/>
                      <w:b w:val="0"/>
                      <w:bCs w:val="0"/>
                      <w:color w:val="000000" w:themeColor="text1"/>
                      <w:sz w:val="21"/>
                      <w:szCs w:val="21"/>
                      <w:vertAlign w:val="baseline"/>
                      <w:lang w:val="en-US" w:eastAsia="zh-CN"/>
                    </w:rPr>
                  </w:pPr>
                  <w:r>
                    <w:rPr>
                      <w:rFonts w:hint="default" w:ascii="Times New Roman" w:hAnsi="Times New Roman" w:cs="Times New Roman"/>
                      <w:color w:val="000000" w:themeColor="text1"/>
                      <w:lang w:val="en-US" w:eastAsia="zh-CN"/>
                    </w:rPr>
                    <w:t>HW49 900-041-49</w:t>
                  </w:r>
                </w:p>
              </w:tc>
              <w:tc>
                <w:tcPr>
                  <w:tcW w:w="1172" w:type="dxa"/>
                  <w:noWrap w:val="0"/>
                  <w:vAlign w:val="center"/>
                </w:tcPr>
                <w:p w14:paraId="20C10BF2">
                  <w:pPr>
                    <w:spacing w:line="240" w:lineRule="auto"/>
                    <w:jc w:val="center"/>
                    <w:rPr>
                      <w:rFonts w:hint="default" w:ascii="Times New Roman" w:hAnsi="Times New Roman" w:cs="Times New Roman"/>
                      <w:color w:val="000000" w:themeColor="text1"/>
                      <w:kern w:val="2"/>
                      <w:sz w:val="21"/>
                      <w:szCs w:val="24"/>
                      <w:lang w:val="en-US" w:eastAsia="zh-CN" w:bidi="ar-SA"/>
                    </w:rPr>
                  </w:pPr>
                  <w:r>
                    <w:rPr>
                      <w:rFonts w:hint="default" w:ascii="Times New Roman" w:hAnsi="Times New Roman" w:cs="Times New Roman"/>
                      <w:color w:val="000000" w:themeColor="text1"/>
                      <w:lang w:val="en-US" w:eastAsia="zh-CN"/>
                    </w:rPr>
                    <w:t>0.</w:t>
                  </w:r>
                  <w:r>
                    <w:rPr>
                      <w:rFonts w:hint="eastAsia" w:ascii="Times New Roman" w:hAnsi="Times New Roman" w:cs="Times New Roman"/>
                      <w:color w:val="000000" w:themeColor="text1"/>
                      <w:lang w:val="en-US" w:eastAsia="zh-CN"/>
                    </w:rPr>
                    <w:t>44</w:t>
                  </w:r>
                </w:p>
              </w:tc>
              <w:tc>
                <w:tcPr>
                  <w:tcW w:w="0" w:type="auto"/>
                  <w:noWrap w:val="0"/>
                  <w:vAlign w:val="center"/>
                </w:tcPr>
                <w:p w14:paraId="3B39686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eastAsia="宋体" w:cs="Times New Roman"/>
                      <w:b w:val="0"/>
                      <w:bCs w:val="0"/>
                      <w:color w:val="000000" w:themeColor="text1"/>
                      <w:sz w:val="21"/>
                      <w:szCs w:val="21"/>
                      <w:vertAlign w:val="baseline"/>
                      <w:lang w:val="en-US" w:eastAsia="zh-CN"/>
                    </w:rPr>
                    <w:t>/</w:t>
                  </w:r>
                </w:p>
              </w:tc>
              <w:tc>
                <w:tcPr>
                  <w:tcW w:w="0" w:type="auto"/>
                  <w:noWrap w:val="0"/>
                  <w:vAlign w:val="center"/>
                </w:tcPr>
                <w:p w14:paraId="28576E5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eastAsia="宋体" w:cs="Times New Roman"/>
                      <w:b w:val="0"/>
                      <w:bCs w:val="0"/>
                      <w:color w:val="000000" w:themeColor="text1"/>
                      <w:sz w:val="21"/>
                      <w:szCs w:val="21"/>
                      <w:vertAlign w:val="baseline"/>
                      <w:lang w:val="en-US" w:eastAsia="zh-CN"/>
                    </w:rPr>
                    <w:t>0.22</w:t>
                  </w:r>
                </w:p>
              </w:tc>
              <w:tc>
                <w:tcPr>
                  <w:tcW w:w="728" w:type="dxa"/>
                  <w:vMerge w:val="continue"/>
                  <w:noWrap w:val="0"/>
                  <w:vAlign w:val="center"/>
                </w:tcPr>
                <w:p w14:paraId="44A224C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p>
              </w:tc>
            </w:tr>
            <w:tr w14:paraId="44C27F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 w:type="dxa"/>
                  <w:vMerge w:val="continue"/>
                  <w:noWrap w:val="0"/>
                  <w:vAlign w:val="center"/>
                </w:tcPr>
                <w:p w14:paraId="13CAD88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p>
              </w:tc>
              <w:tc>
                <w:tcPr>
                  <w:tcW w:w="1282" w:type="dxa"/>
                  <w:noWrap w:val="0"/>
                  <w:vAlign w:val="center"/>
                </w:tcPr>
                <w:p w14:paraId="1AA9154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eastAsia="宋体" w:cs="Times New Roman"/>
                      <w:b w:val="0"/>
                      <w:bCs w:val="0"/>
                      <w:color w:val="000000" w:themeColor="text1"/>
                      <w:sz w:val="21"/>
                      <w:szCs w:val="21"/>
                      <w:vertAlign w:val="baseline"/>
                      <w:lang w:val="en-US" w:eastAsia="zh-CN"/>
                    </w:rPr>
                    <w:t>1</w:t>
                  </w:r>
                </w:p>
              </w:tc>
              <w:tc>
                <w:tcPr>
                  <w:tcW w:w="1235" w:type="dxa"/>
                  <w:noWrap w:val="0"/>
                  <w:vAlign w:val="center"/>
                </w:tcPr>
                <w:p w14:paraId="54B3146C">
                  <w:pPr>
                    <w:spacing w:line="240" w:lineRule="auto"/>
                    <w:jc w:val="center"/>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cs="Times New Roman"/>
                      <w:color w:val="000000" w:themeColor="text1"/>
                      <w:lang w:val="en-US" w:eastAsia="zh-CN"/>
                    </w:rPr>
                    <w:t>废过滤棉</w:t>
                  </w:r>
                </w:p>
              </w:tc>
              <w:tc>
                <w:tcPr>
                  <w:tcW w:w="1487" w:type="dxa"/>
                  <w:noWrap w:val="0"/>
                  <w:vAlign w:val="center"/>
                </w:tcPr>
                <w:p w14:paraId="391E26FE">
                  <w:pPr>
                    <w:spacing w:line="240" w:lineRule="auto"/>
                    <w:jc w:val="center"/>
                    <w:rPr>
                      <w:rFonts w:hint="default" w:ascii="Times New Roman" w:hAnsi="Times New Roman" w:eastAsia="宋体" w:cs="Times New Roman"/>
                      <w:b w:val="0"/>
                      <w:bCs w:val="0"/>
                      <w:color w:val="000000" w:themeColor="text1"/>
                      <w:sz w:val="21"/>
                      <w:szCs w:val="21"/>
                      <w:vertAlign w:val="baseline"/>
                      <w:lang w:val="en-US" w:eastAsia="zh-CN"/>
                    </w:rPr>
                  </w:pPr>
                  <w:r>
                    <w:rPr>
                      <w:rFonts w:hint="default" w:ascii="Times New Roman" w:hAnsi="Times New Roman" w:cs="Times New Roman"/>
                      <w:color w:val="000000" w:themeColor="text1"/>
                      <w:lang w:val="en-US" w:eastAsia="zh-CN"/>
                    </w:rPr>
                    <w:t>HW49 900-041-49</w:t>
                  </w:r>
                </w:p>
              </w:tc>
              <w:tc>
                <w:tcPr>
                  <w:tcW w:w="1172" w:type="dxa"/>
                  <w:noWrap w:val="0"/>
                  <w:vAlign w:val="center"/>
                </w:tcPr>
                <w:p w14:paraId="1CBCAEA8">
                  <w:pPr>
                    <w:spacing w:line="240" w:lineRule="auto"/>
                    <w:jc w:val="center"/>
                    <w:rPr>
                      <w:rFonts w:hint="default" w:ascii="Times New Roman" w:hAnsi="Times New Roman" w:cs="Times New Roman"/>
                      <w:color w:val="000000" w:themeColor="text1"/>
                      <w:kern w:val="2"/>
                      <w:sz w:val="21"/>
                      <w:szCs w:val="21"/>
                      <w:lang w:val="en-US" w:eastAsia="zh-CN" w:bidi="ar-SA"/>
                    </w:rPr>
                  </w:pPr>
                  <w:r>
                    <w:rPr>
                      <w:rFonts w:hint="eastAsia" w:ascii="Times New Roman" w:hAnsi="Times New Roman" w:cs="Times New Roman"/>
                      <w:color w:val="000000" w:themeColor="text1"/>
                      <w:lang w:val="en-US" w:eastAsia="zh-CN"/>
                    </w:rPr>
                    <w:t>0.2</w:t>
                  </w:r>
                </w:p>
              </w:tc>
              <w:tc>
                <w:tcPr>
                  <w:tcW w:w="0" w:type="auto"/>
                  <w:noWrap w:val="0"/>
                  <w:vAlign w:val="center"/>
                </w:tcPr>
                <w:p w14:paraId="47E36B8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eastAsia="宋体" w:cs="Times New Roman"/>
                      <w:b w:val="0"/>
                      <w:bCs w:val="0"/>
                      <w:color w:val="000000" w:themeColor="text1"/>
                      <w:sz w:val="21"/>
                      <w:szCs w:val="21"/>
                      <w:vertAlign w:val="baseline"/>
                      <w:lang w:val="en-US" w:eastAsia="zh-CN"/>
                    </w:rPr>
                    <w:t>袋装</w:t>
                  </w:r>
                </w:p>
              </w:tc>
              <w:tc>
                <w:tcPr>
                  <w:tcW w:w="0" w:type="auto"/>
                  <w:noWrap w:val="0"/>
                  <w:vAlign w:val="center"/>
                </w:tcPr>
                <w:p w14:paraId="35108D3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default" w:ascii="Times New Roman" w:hAnsi="Times New Roman" w:cs="Times New Roman"/>
                      <w:color w:val="000000" w:themeColor="text1"/>
                      <w:lang w:val="en-US" w:eastAsia="zh-CN"/>
                    </w:rPr>
                    <w:t>0.</w:t>
                  </w:r>
                  <w:r>
                    <w:rPr>
                      <w:rFonts w:hint="eastAsia" w:ascii="Times New Roman" w:hAnsi="Times New Roman" w:cs="Times New Roman"/>
                      <w:color w:val="000000" w:themeColor="text1"/>
                      <w:lang w:val="en-US" w:eastAsia="zh-CN"/>
                    </w:rPr>
                    <w:t>1</w:t>
                  </w:r>
                </w:p>
              </w:tc>
              <w:tc>
                <w:tcPr>
                  <w:tcW w:w="728" w:type="dxa"/>
                  <w:vMerge w:val="continue"/>
                  <w:noWrap w:val="0"/>
                  <w:vAlign w:val="center"/>
                </w:tcPr>
                <w:p w14:paraId="405A938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p>
              </w:tc>
            </w:tr>
            <w:tr w14:paraId="1C665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 w:type="dxa"/>
                  <w:vMerge w:val="continue"/>
                  <w:noWrap w:val="0"/>
                  <w:vAlign w:val="center"/>
                </w:tcPr>
                <w:p w14:paraId="4A8AD53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p>
              </w:tc>
              <w:tc>
                <w:tcPr>
                  <w:tcW w:w="1282" w:type="dxa"/>
                  <w:noWrap w:val="0"/>
                  <w:vAlign w:val="center"/>
                </w:tcPr>
                <w:p w14:paraId="610B9FB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eastAsia="宋体" w:cs="Times New Roman"/>
                      <w:b w:val="0"/>
                      <w:bCs w:val="0"/>
                      <w:color w:val="000000" w:themeColor="text1"/>
                      <w:sz w:val="21"/>
                      <w:szCs w:val="21"/>
                      <w:vertAlign w:val="baseline"/>
                      <w:lang w:val="en-US" w:eastAsia="zh-CN"/>
                    </w:rPr>
                    <w:t>8</w:t>
                  </w:r>
                </w:p>
              </w:tc>
              <w:tc>
                <w:tcPr>
                  <w:tcW w:w="1235" w:type="dxa"/>
                  <w:noWrap w:val="0"/>
                  <w:vAlign w:val="center"/>
                </w:tcPr>
                <w:p w14:paraId="3B6C46F7">
                  <w:pPr>
                    <w:spacing w:line="240" w:lineRule="auto"/>
                    <w:jc w:val="center"/>
                    <w:rPr>
                      <w:rFonts w:hint="default" w:ascii="Times New Roman" w:hAnsi="Times New Roman" w:eastAsia="宋体" w:cs="Times New Roman"/>
                      <w:b w:val="0"/>
                      <w:bCs w:val="0"/>
                      <w:color w:val="000000" w:themeColor="text1"/>
                      <w:sz w:val="21"/>
                      <w:szCs w:val="21"/>
                      <w:vertAlign w:val="baseline"/>
                      <w:lang w:val="en-US" w:eastAsia="zh-CN"/>
                    </w:rPr>
                  </w:pPr>
                  <w:r>
                    <w:rPr>
                      <w:rFonts w:hint="default" w:ascii="Times New Roman" w:hAnsi="Times New Roman" w:cs="Times New Roman"/>
                      <w:color w:val="000000" w:themeColor="text1"/>
                      <w:lang w:val="en-US" w:eastAsia="zh-CN"/>
                    </w:rPr>
                    <w:t>废活性炭</w:t>
                  </w:r>
                </w:p>
              </w:tc>
              <w:tc>
                <w:tcPr>
                  <w:tcW w:w="1487" w:type="dxa"/>
                  <w:noWrap w:val="0"/>
                  <w:vAlign w:val="center"/>
                </w:tcPr>
                <w:p w14:paraId="3B3FED0F">
                  <w:pPr>
                    <w:spacing w:line="240" w:lineRule="auto"/>
                    <w:jc w:val="center"/>
                    <w:rPr>
                      <w:rFonts w:hint="default" w:ascii="Times New Roman" w:hAnsi="Times New Roman" w:eastAsia="宋体" w:cs="Times New Roman"/>
                      <w:b w:val="0"/>
                      <w:bCs w:val="0"/>
                      <w:color w:val="000000" w:themeColor="text1"/>
                      <w:sz w:val="21"/>
                      <w:szCs w:val="21"/>
                      <w:vertAlign w:val="baseline"/>
                      <w:lang w:val="en-US" w:eastAsia="zh-CN"/>
                    </w:rPr>
                  </w:pPr>
                  <w:r>
                    <w:rPr>
                      <w:rFonts w:hint="default" w:ascii="Times New Roman" w:hAnsi="Times New Roman" w:cs="Times New Roman"/>
                      <w:color w:val="000000" w:themeColor="text1"/>
                      <w:lang w:val="en-US" w:eastAsia="zh-CN"/>
                    </w:rPr>
                    <w:t>HW49</w:t>
                  </w:r>
                  <w:r>
                    <w:rPr>
                      <w:rFonts w:hint="eastAsia" w:ascii="Times New Roman" w:hAnsi="Times New Roman" w:cs="Times New Roman"/>
                      <w:color w:val="000000" w:themeColor="text1"/>
                      <w:lang w:val="en-US" w:eastAsia="zh-CN"/>
                    </w:rPr>
                    <w:t xml:space="preserve"> </w:t>
                  </w:r>
                  <w:r>
                    <w:rPr>
                      <w:rFonts w:hint="default" w:ascii="Times New Roman" w:hAnsi="Times New Roman" w:cs="Times New Roman"/>
                      <w:color w:val="000000" w:themeColor="text1"/>
                      <w:lang w:val="en-US" w:eastAsia="zh-CN"/>
                    </w:rPr>
                    <w:t>900-039-49</w:t>
                  </w:r>
                </w:p>
              </w:tc>
              <w:tc>
                <w:tcPr>
                  <w:tcW w:w="1172" w:type="dxa"/>
                  <w:noWrap w:val="0"/>
                  <w:vAlign w:val="center"/>
                </w:tcPr>
                <w:p w14:paraId="71999486">
                  <w:pPr>
                    <w:spacing w:line="240" w:lineRule="auto"/>
                    <w:jc w:val="center"/>
                    <w:rPr>
                      <w:rFonts w:hint="default" w:ascii="Times New Roman" w:hAnsi="Times New Roman" w:cs="Times New Roman"/>
                      <w:color w:val="000000" w:themeColor="text1"/>
                      <w:kern w:val="2"/>
                      <w:sz w:val="21"/>
                      <w:szCs w:val="24"/>
                      <w:lang w:val="en-US" w:eastAsia="zh-CN" w:bidi="ar-SA"/>
                    </w:rPr>
                  </w:pPr>
                  <w:r>
                    <w:rPr>
                      <w:rFonts w:hint="eastAsia" w:cs="Times New Roman"/>
                      <w:color w:val="000000" w:themeColor="text1"/>
                      <w:lang w:val="en-US" w:eastAsia="zh-CN"/>
                    </w:rPr>
                    <w:t>8</w:t>
                  </w:r>
                  <w:r>
                    <w:rPr>
                      <w:rFonts w:hint="eastAsia" w:ascii="Times New Roman" w:hAnsi="Times New Roman" w:cs="Times New Roman"/>
                      <w:color w:val="000000" w:themeColor="text1"/>
                      <w:lang w:val="en-US" w:eastAsia="zh-CN"/>
                    </w:rPr>
                    <w:t>.16</w:t>
                  </w:r>
                </w:p>
              </w:tc>
              <w:tc>
                <w:tcPr>
                  <w:tcW w:w="0" w:type="auto"/>
                  <w:noWrap w:val="0"/>
                  <w:vAlign w:val="center"/>
                </w:tcPr>
                <w:p w14:paraId="6A6A596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eastAsia="宋体" w:cs="Times New Roman"/>
                      <w:b w:val="0"/>
                      <w:bCs w:val="0"/>
                      <w:color w:val="000000" w:themeColor="text1"/>
                      <w:sz w:val="21"/>
                      <w:szCs w:val="21"/>
                      <w:vertAlign w:val="baseline"/>
                      <w:lang w:val="en-US" w:eastAsia="zh-CN"/>
                    </w:rPr>
                    <w:t>袋装</w:t>
                  </w:r>
                </w:p>
              </w:tc>
              <w:tc>
                <w:tcPr>
                  <w:tcW w:w="0" w:type="auto"/>
                  <w:noWrap w:val="0"/>
                  <w:vAlign w:val="center"/>
                </w:tcPr>
                <w:p w14:paraId="576A1D0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cs="Times New Roman"/>
                      <w:color w:val="000000" w:themeColor="text1"/>
                      <w:lang w:val="en-US" w:eastAsia="zh-CN"/>
                    </w:rPr>
                    <w:t>4.08</w:t>
                  </w:r>
                </w:p>
              </w:tc>
              <w:tc>
                <w:tcPr>
                  <w:tcW w:w="728" w:type="dxa"/>
                  <w:vMerge w:val="continue"/>
                  <w:noWrap w:val="0"/>
                  <w:vAlign w:val="center"/>
                </w:tcPr>
                <w:p w14:paraId="1389747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p>
              </w:tc>
            </w:tr>
            <w:tr w14:paraId="6B8DB8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 w:type="dxa"/>
                  <w:vMerge w:val="continue"/>
                  <w:noWrap w:val="0"/>
                  <w:vAlign w:val="center"/>
                </w:tcPr>
                <w:p w14:paraId="2D724ED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p>
              </w:tc>
              <w:tc>
                <w:tcPr>
                  <w:tcW w:w="1282" w:type="dxa"/>
                  <w:noWrap w:val="0"/>
                  <w:vAlign w:val="center"/>
                </w:tcPr>
                <w:p w14:paraId="703A095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cs="Times New Roman"/>
                      <w:b w:val="0"/>
                      <w:bCs w:val="0"/>
                      <w:color w:val="000000" w:themeColor="text1"/>
                      <w:sz w:val="21"/>
                      <w:szCs w:val="21"/>
                      <w:vertAlign w:val="baseline"/>
                      <w:lang w:val="en-US" w:eastAsia="zh-CN"/>
                    </w:rPr>
                    <w:t>1</w:t>
                  </w:r>
                </w:p>
              </w:tc>
              <w:tc>
                <w:tcPr>
                  <w:tcW w:w="1235" w:type="dxa"/>
                  <w:noWrap w:val="0"/>
                  <w:vAlign w:val="center"/>
                </w:tcPr>
                <w:p w14:paraId="0032F801">
                  <w:pPr>
                    <w:spacing w:line="240" w:lineRule="auto"/>
                    <w:jc w:val="center"/>
                    <w:rPr>
                      <w:rFonts w:hint="default" w:ascii="Times New Roman" w:hAnsi="Times New Roman" w:cs="Times New Roman"/>
                      <w:color w:val="000000" w:themeColor="text1"/>
                      <w:lang w:val="en-US" w:eastAsia="zh-CN"/>
                    </w:rPr>
                  </w:pPr>
                  <w:r>
                    <w:rPr>
                      <w:rFonts w:hint="eastAsia" w:cs="Times New Roman"/>
                      <w:color w:val="000000" w:themeColor="text1"/>
                      <w:lang w:val="en-US" w:eastAsia="zh-CN"/>
                    </w:rPr>
                    <w:t>废含油手套抹布</w:t>
                  </w:r>
                </w:p>
              </w:tc>
              <w:tc>
                <w:tcPr>
                  <w:tcW w:w="1487" w:type="dxa"/>
                  <w:noWrap w:val="0"/>
                  <w:vAlign w:val="center"/>
                </w:tcPr>
                <w:p w14:paraId="600A901C">
                  <w:pPr>
                    <w:spacing w:line="240" w:lineRule="auto"/>
                    <w:jc w:val="center"/>
                    <w:rPr>
                      <w:rFonts w:hint="default" w:ascii="Times New Roman" w:hAnsi="Times New Roman" w:eastAsia="宋体" w:cs="Times New Roman"/>
                      <w:color w:val="000000" w:themeColor="text1"/>
                      <w:lang w:val="en-US" w:eastAsia="zh-CN"/>
                    </w:rPr>
                  </w:pPr>
                  <w:r>
                    <w:rPr>
                      <w:rFonts w:hint="eastAsia" w:ascii="Times New Roman" w:hAnsi="Times New Roman" w:eastAsia="宋体" w:cs="Times New Roman"/>
                      <w:color w:val="000000" w:themeColor="text1"/>
                      <w:lang w:val="en-US" w:eastAsia="zh-CN"/>
                    </w:rPr>
                    <w:t>HW49</w:t>
                  </w:r>
                </w:p>
                <w:p w14:paraId="429AA083">
                  <w:pPr>
                    <w:spacing w:line="240" w:lineRule="auto"/>
                    <w:jc w:val="center"/>
                    <w:rPr>
                      <w:rFonts w:hint="default" w:ascii="Times New Roman" w:hAnsi="Times New Roman" w:cs="Times New Roman"/>
                      <w:color w:val="000000" w:themeColor="text1"/>
                      <w:lang w:val="en-US" w:eastAsia="zh-CN"/>
                    </w:rPr>
                  </w:pPr>
                  <w:r>
                    <w:rPr>
                      <w:rFonts w:hint="eastAsia" w:ascii="Times New Roman" w:hAnsi="Times New Roman" w:eastAsia="宋体" w:cs="Times New Roman"/>
                      <w:color w:val="000000" w:themeColor="text1"/>
                      <w:lang w:val="en-US" w:eastAsia="zh-CN"/>
                    </w:rPr>
                    <w:t>900-041-49</w:t>
                  </w:r>
                </w:p>
              </w:tc>
              <w:tc>
                <w:tcPr>
                  <w:tcW w:w="1172" w:type="dxa"/>
                  <w:noWrap w:val="0"/>
                  <w:vAlign w:val="center"/>
                </w:tcPr>
                <w:p w14:paraId="67A04E66">
                  <w:pPr>
                    <w:spacing w:line="240" w:lineRule="auto"/>
                    <w:jc w:val="center"/>
                    <w:rPr>
                      <w:rFonts w:hint="default" w:cs="Times New Roman"/>
                      <w:color w:val="000000" w:themeColor="text1"/>
                      <w:lang w:val="en-US" w:eastAsia="zh-CN"/>
                    </w:rPr>
                  </w:pPr>
                  <w:r>
                    <w:rPr>
                      <w:rFonts w:hint="eastAsia" w:cs="Times New Roman"/>
                      <w:color w:val="000000" w:themeColor="text1"/>
                      <w:lang w:val="en-US" w:eastAsia="zh-CN"/>
                    </w:rPr>
                    <w:t>0.01</w:t>
                  </w:r>
                </w:p>
              </w:tc>
              <w:tc>
                <w:tcPr>
                  <w:tcW w:w="0" w:type="auto"/>
                  <w:noWrap w:val="0"/>
                  <w:vAlign w:val="center"/>
                </w:tcPr>
                <w:p w14:paraId="1BD3E35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cs="Times New Roman"/>
                      <w:b w:val="0"/>
                      <w:bCs w:val="0"/>
                      <w:color w:val="000000" w:themeColor="text1"/>
                      <w:sz w:val="21"/>
                      <w:szCs w:val="21"/>
                      <w:vertAlign w:val="baseline"/>
                      <w:lang w:val="en-US" w:eastAsia="zh-CN"/>
                    </w:rPr>
                    <w:t>袋装</w:t>
                  </w:r>
                </w:p>
              </w:tc>
              <w:tc>
                <w:tcPr>
                  <w:tcW w:w="0" w:type="auto"/>
                  <w:noWrap w:val="0"/>
                  <w:vAlign w:val="center"/>
                </w:tcPr>
                <w:p w14:paraId="2B958B9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lang w:val="en-US" w:eastAsia="zh-CN"/>
                    </w:rPr>
                  </w:pPr>
                  <w:r>
                    <w:rPr>
                      <w:rFonts w:hint="eastAsia" w:cs="Times New Roman"/>
                      <w:color w:val="000000" w:themeColor="text1"/>
                      <w:lang w:val="en-US" w:eastAsia="zh-CN"/>
                    </w:rPr>
                    <w:t>0.01</w:t>
                  </w:r>
                </w:p>
              </w:tc>
              <w:tc>
                <w:tcPr>
                  <w:tcW w:w="728" w:type="dxa"/>
                  <w:noWrap w:val="0"/>
                  <w:vAlign w:val="center"/>
                </w:tcPr>
                <w:p w14:paraId="67E4049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cs="Times New Roman"/>
                      <w:b w:val="0"/>
                      <w:bCs w:val="0"/>
                      <w:color w:val="000000" w:themeColor="text1"/>
                      <w:sz w:val="21"/>
                      <w:szCs w:val="21"/>
                      <w:vertAlign w:val="baseline"/>
                      <w:lang w:val="en-US" w:eastAsia="zh-CN"/>
                    </w:rPr>
                    <w:t>1年</w:t>
                  </w:r>
                </w:p>
              </w:tc>
            </w:tr>
            <w:tr w14:paraId="235B4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trPr>
              <w:tc>
                <w:tcPr>
                  <w:tcW w:w="0" w:type="auto"/>
                  <w:noWrap w:val="0"/>
                  <w:vAlign w:val="center"/>
                </w:tcPr>
                <w:p w14:paraId="486173C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eastAsia="宋体" w:cs="Times New Roman"/>
                      <w:b w:val="0"/>
                      <w:bCs w:val="0"/>
                      <w:color w:val="000000" w:themeColor="text1"/>
                      <w:sz w:val="21"/>
                      <w:szCs w:val="21"/>
                      <w:vertAlign w:val="baseline"/>
                      <w:lang w:val="en-US" w:eastAsia="zh-CN"/>
                    </w:rPr>
                    <w:t>合计</w:t>
                  </w:r>
                </w:p>
              </w:tc>
              <w:tc>
                <w:tcPr>
                  <w:tcW w:w="0" w:type="auto"/>
                  <w:noWrap w:val="0"/>
                  <w:vAlign w:val="center"/>
                </w:tcPr>
                <w:p w14:paraId="0620814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eastAsia="宋体" w:cs="Times New Roman"/>
                      <w:b w:val="0"/>
                      <w:bCs w:val="0"/>
                      <w:color w:val="000000" w:themeColor="text1"/>
                      <w:sz w:val="21"/>
                      <w:szCs w:val="21"/>
                      <w:vertAlign w:val="baseline"/>
                      <w:lang w:val="en-US" w:eastAsia="zh-CN"/>
                    </w:rPr>
                    <w:t>1</w:t>
                  </w:r>
                  <w:r>
                    <w:rPr>
                      <w:rFonts w:hint="eastAsia" w:cs="Times New Roman"/>
                      <w:b w:val="0"/>
                      <w:bCs w:val="0"/>
                      <w:color w:val="000000" w:themeColor="text1"/>
                      <w:sz w:val="21"/>
                      <w:szCs w:val="21"/>
                      <w:vertAlign w:val="baseline"/>
                      <w:lang w:val="en-US" w:eastAsia="zh-CN"/>
                    </w:rPr>
                    <w:t>8</w:t>
                  </w:r>
                </w:p>
              </w:tc>
              <w:tc>
                <w:tcPr>
                  <w:tcW w:w="0" w:type="auto"/>
                  <w:noWrap w:val="0"/>
                  <w:vAlign w:val="center"/>
                </w:tcPr>
                <w:p w14:paraId="41B598B4">
                  <w:pPr>
                    <w:spacing w:line="240" w:lineRule="auto"/>
                    <w:jc w:val="center"/>
                    <w:rPr>
                      <w:rFonts w:hint="default" w:ascii="Times New Roman" w:hAnsi="Times New Roman" w:cs="Times New Roman"/>
                      <w:color w:val="000000" w:themeColor="text1"/>
                      <w:lang w:val="en-US" w:eastAsia="zh-CN"/>
                    </w:rPr>
                  </w:pPr>
                  <w:r>
                    <w:rPr>
                      <w:rFonts w:hint="eastAsia" w:ascii="Times New Roman" w:hAnsi="Times New Roman" w:cs="Times New Roman"/>
                      <w:color w:val="000000" w:themeColor="text1"/>
                      <w:lang w:val="en-US" w:eastAsia="zh-CN"/>
                    </w:rPr>
                    <w:t>/</w:t>
                  </w:r>
                </w:p>
              </w:tc>
              <w:tc>
                <w:tcPr>
                  <w:tcW w:w="0" w:type="auto"/>
                  <w:noWrap w:val="0"/>
                  <w:vAlign w:val="center"/>
                </w:tcPr>
                <w:p w14:paraId="18E17D1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eastAsia="宋体" w:cs="Times New Roman"/>
                      <w:b w:val="0"/>
                      <w:bCs w:val="0"/>
                      <w:color w:val="000000" w:themeColor="text1"/>
                      <w:sz w:val="21"/>
                      <w:szCs w:val="21"/>
                      <w:vertAlign w:val="baseline"/>
                      <w:lang w:val="en-US" w:eastAsia="zh-CN"/>
                    </w:rPr>
                    <w:t>/</w:t>
                  </w:r>
                </w:p>
              </w:tc>
              <w:tc>
                <w:tcPr>
                  <w:tcW w:w="0" w:type="auto"/>
                  <w:noWrap w:val="0"/>
                  <w:vAlign w:val="center"/>
                </w:tcPr>
                <w:p w14:paraId="3330CA3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eastAsia="宋体" w:cs="Times New Roman"/>
                      <w:b w:val="0"/>
                      <w:bCs w:val="0"/>
                      <w:color w:val="000000" w:themeColor="text1"/>
                      <w:sz w:val="21"/>
                      <w:szCs w:val="21"/>
                      <w:vertAlign w:val="baseline"/>
                      <w:lang w:val="en-US" w:eastAsia="zh-CN"/>
                    </w:rPr>
                    <w:t>9.8</w:t>
                  </w:r>
                  <w:r>
                    <w:rPr>
                      <w:rFonts w:hint="eastAsia" w:cs="Times New Roman"/>
                      <w:b w:val="0"/>
                      <w:bCs w:val="0"/>
                      <w:color w:val="000000" w:themeColor="text1"/>
                      <w:sz w:val="21"/>
                      <w:szCs w:val="21"/>
                      <w:vertAlign w:val="baseline"/>
                      <w:lang w:val="en-US" w:eastAsia="zh-CN"/>
                    </w:rPr>
                    <w:t>7</w:t>
                  </w:r>
                </w:p>
              </w:tc>
              <w:tc>
                <w:tcPr>
                  <w:tcW w:w="0" w:type="auto"/>
                  <w:noWrap w:val="0"/>
                  <w:vAlign w:val="center"/>
                </w:tcPr>
                <w:p w14:paraId="4553AE8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eastAsia="宋体" w:cs="Times New Roman"/>
                      <w:b w:val="0"/>
                      <w:bCs w:val="0"/>
                      <w:color w:val="000000" w:themeColor="text1"/>
                      <w:sz w:val="21"/>
                      <w:szCs w:val="21"/>
                      <w:vertAlign w:val="baseline"/>
                      <w:lang w:val="en-US" w:eastAsia="zh-CN"/>
                    </w:rPr>
                    <w:t>/</w:t>
                  </w:r>
                </w:p>
              </w:tc>
              <w:tc>
                <w:tcPr>
                  <w:tcW w:w="0" w:type="auto"/>
                  <w:noWrap w:val="0"/>
                  <w:vAlign w:val="center"/>
                </w:tcPr>
                <w:p w14:paraId="0B81D7C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eastAsia="宋体" w:cs="Times New Roman"/>
                      <w:b w:val="0"/>
                      <w:bCs w:val="0"/>
                      <w:color w:val="000000" w:themeColor="text1"/>
                      <w:sz w:val="21"/>
                      <w:szCs w:val="21"/>
                      <w:vertAlign w:val="baseline"/>
                      <w:lang w:val="en-US" w:eastAsia="zh-CN"/>
                    </w:rPr>
                    <w:t>4.93</w:t>
                  </w:r>
                  <w:r>
                    <w:rPr>
                      <w:rFonts w:hint="eastAsia" w:cs="Times New Roman"/>
                      <w:b w:val="0"/>
                      <w:bCs w:val="0"/>
                      <w:color w:val="000000" w:themeColor="text1"/>
                      <w:sz w:val="21"/>
                      <w:szCs w:val="21"/>
                      <w:vertAlign w:val="baseline"/>
                      <w:lang w:val="en-US" w:eastAsia="zh-CN"/>
                    </w:rPr>
                    <w:t>6</w:t>
                  </w:r>
                </w:p>
              </w:tc>
              <w:tc>
                <w:tcPr>
                  <w:tcW w:w="0" w:type="auto"/>
                  <w:noWrap w:val="0"/>
                  <w:vAlign w:val="center"/>
                </w:tcPr>
                <w:p w14:paraId="25DB46D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vertAlign w:val="baseline"/>
                      <w:lang w:val="en-US" w:eastAsia="zh-CN"/>
                    </w:rPr>
                  </w:pPr>
                  <w:r>
                    <w:rPr>
                      <w:rFonts w:hint="eastAsia" w:ascii="Times New Roman" w:hAnsi="Times New Roman" w:eastAsia="宋体" w:cs="Times New Roman"/>
                      <w:b w:val="0"/>
                      <w:bCs w:val="0"/>
                      <w:color w:val="000000" w:themeColor="text1"/>
                      <w:sz w:val="21"/>
                      <w:szCs w:val="21"/>
                      <w:vertAlign w:val="baseline"/>
                      <w:lang w:val="en-US" w:eastAsia="zh-CN"/>
                    </w:rPr>
                    <w:t>/</w:t>
                  </w:r>
                </w:p>
              </w:tc>
            </w:tr>
          </w:tbl>
          <w:p w14:paraId="607F0C7B">
            <w:pPr>
              <w:keepNext w:val="0"/>
              <w:keepLines w:val="0"/>
              <w:pageBreakBefore w:val="0"/>
              <w:widowControl w:val="0"/>
              <w:kinsoku/>
              <w:wordWrap/>
              <w:overflowPunct/>
              <w:topLinePunct w:val="0"/>
              <w:autoSpaceDE/>
              <w:autoSpaceDN/>
              <w:bidi w:val="0"/>
              <w:spacing w:line="360" w:lineRule="auto"/>
              <w:ind w:firstLine="480" w:firstLineChars="200"/>
              <w:textAlignment w:val="auto"/>
              <w:rPr>
                <w:color w:val="000000" w:themeColor="text1"/>
                <w:sz w:val="24"/>
                <w:szCs w:val="24"/>
              </w:rPr>
            </w:pPr>
            <w:r>
              <w:rPr>
                <w:rFonts w:hint="eastAsia"/>
                <w:color w:val="000000" w:themeColor="text1"/>
                <w:sz w:val="24"/>
                <w:szCs w:val="24"/>
              </w:rPr>
              <w:t>（二）固体废物管理要求</w:t>
            </w:r>
          </w:p>
          <w:p w14:paraId="52476757">
            <w:pPr>
              <w:adjustRightInd w:val="0"/>
              <w:snapToGrid w:val="0"/>
              <w:spacing w:line="360" w:lineRule="auto"/>
              <w:ind w:firstLine="480" w:firstLineChars="200"/>
              <w:rPr>
                <w:rFonts w:hint="default" w:ascii="Times New Roman" w:hAnsi="Times New Roman" w:cs="Times New Roman"/>
                <w:color w:val="000000" w:themeColor="text1"/>
                <w:sz w:val="24"/>
                <w:szCs w:val="24"/>
                <w:lang w:val="en-US" w:eastAsia="zh-CN"/>
              </w:rPr>
            </w:pPr>
            <w:r>
              <w:rPr>
                <w:rFonts w:hint="default" w:ascii="Times New Roman" w:hAnsi="Times New Roman" w:cs="Times New Roman"/>
                <w:color w:val="000000" w:themeColor="text1"/>
                <w:sz w:val="24"/>
                <w:szCs w:val="24"/>
                <w:lang w:val="en-US" w:eastAsia="zh-CN"/>
              </w:rPr>
              <w:t>（1）一般固废暂存场所要求</w:t>
            </w:r>
          </w:p>
          <w:p w14:paraId="7DBC3202">
            <w:pPr>
              <w:adjustRightInd w:val="0"/>
              <w:snapToGrid w:val="0"/>
              <w:spacing w:line="360" w:lineRule="auto"/>
              <w:ind w:firstLine="480" w:firstLineChars="20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本项目</w:t>
            </w:r>
            <w:r>
              <w:rPr>
                <w:rFonts w:hint="default" w:ascii="Times New Roman" w:hAnsi="Times New Roman" w:cs="Times New Roman"/>
                <w:color w:val="000000" w:themeColor="text1"/>
                <w:sz w:val="24"/>
                <w:szCs w:val="24"/>
                <w:lang w:val="en-US" w:eastAsia="zh-CN"/>
              </w:rPr>
              <w:t>拟设置一般固废间</w:t>
            </w:r>
            <w:r>
              <w:rPr>
                <w:rFonts w:hint="eastAsia" w:ascii="Times New Roman" w:hAnsi="Times New Roman" w:cs="Times New Roman"/>
                <w:color w:val="000000" w:themeColor="text1"/>
                <w:sz w:val="24"/>
                <w:szCs w:val="24"/>
                <w:lang w:val="en-US" w:eastAsia="zh-CN"/>
              </w:rPr>
              <w:t>20</w:t>
            </w:r>
            <w:r>
              <w:rPr>
                <w:rFonts w:hint="default" w:ascii="Times New Roman" w:hAnsi="Times New Roman" w:cs="Times New Roman"/>
                <w:color w:val="000000" w:themeColor="text1"/>
                <w:sz w:val="24"/>
                <w:szCs w:val="24"/>
                <w:lang w:val="en-US" w:eastAsia="zh-CN"/>
              </w:rPr>
              <w:t>m</w:t>
            </w:r>
            <w:r>
              <w:rPr>
                <w:rFonts w:hint="default" w:ascii="Times New Roman" w:hAnsi="Times New Roman" w:cs="Times New Roman"/>
                <w:color w:val="000000" w:themeColor="text1"/>
                <w:sz w:val="24"/>
                <w:szCs w:val="24"/>
                <w:vertAlign w:val="superscript"/>
                <w:lang w:val="en-US" w:eastAsia="zh-CN"/>
              </w:rPr>
              <w:t>2</w:t>
            </w:r>
            <w:r>
              <w:rPr>
                <w:rFonts w:hint="default" w:ascii="Times New Roman" w:hAnsi="Times New Roman" w:cs="Times New Roman"/>
                <w:color w:val="000000" w:themeColor="text1"/>
                <w:sz w:val="24"/>
                <w:szCs w:val="24"/>
                <w:lang w:val="en-US" w:eastAsia="zh-CN"/>
              </w:rPr>
              <w:t>，位于生产车间内北侧，</w:t>
            </w:r>
            <w:r>
              <w:rPr>
                <w:rFonts w:hint="default" w:ascii="Times New Roman" w:hAnsi="Times New Roman" w:cs="Times New Roman"/>
                <w:color w:val="000000" w:themeColor="text1"/>
                <w:sz w:val="24"/>
                <w:szCs w:val="24"/>
              </w:rPr>
              <w:t>产生的</w:t>
            </w:r>
            <w:r>
              <w:rPr>
                <w:rFonts w:hint="default" w:ascii="Times New Roman" w:hAnsi="Times New Roman" w:cs="Times New Roman"/>
                <w:color w:val="000000" w:themeColor="text1"/>
                <w:sz w:val="24"/>
                <w:szCs w:val="24"/>
                <w:lang w:val="en-US" w:eastAsia="zh-CN"/>
              </w:rPr>
              <w:t>一般固废</w:t>
            </w:r>
            <w:r>
              <w:rPr>
                <w:rFonts w:hint="default" w:ascii="Times New Roman" w:hAnsi="Times New Roman" w:cs="Times New Roman"/>
                <w:color w:val="000000" w:themeColor="text1"/>
                <w:sz w:val="24"/>
                <w:szCs w:val="24"/>
              </w:rPr>
              <w:t>贮存于一般固废库。该暂存场所应按照《一般工业固体废物贮存和填埋污染控制标准》（GB18599-2020）要求建设。厂内一般固废临时贮存应注意以下几点：</w:t>
            </w:r>
          </w:p>
          <w:p w14:paraId="19E1EE60">
            <w:pPr>
              <w:adjustRightInd w:val="0"/>
              <w:snapToGrid w:val="0"/>
              <w:spacing w:line="360" w:lineRule="auto"/>
              <w:ind w:firstLine="480" w:firstLineChars="200"/>
              <w:rPr>
                <w:rFonts w:hint="default"/>
                <w:color w:val="000000" w:themeColor="text1"/>
                <w:sz w:val="24"/>
                <w:szCs w:val="24"/>
              </w:rPr>
            </w:pPr>
            <w:r>
              <w:rPr>
                <w:rFonts w:hint="default" w:ascii="Times New Roman" w:hAnsi="Times New Roman" w:cs="Times New Roman"/>
                <w:color w:val="000000" w:themeColor="text1"/>
                <w:sz w:val="24"/>
                <w:szCs w:val="24"/>
              </w:rPr>
              <w:t>①对固体废物实行从产生、收集、运输、贮存直至最终处理实行全过程管理，加强固体废物运输过程的事故风险防范，按照有关法律、法规的要求，对固体废弃物全</w:t>
            </w:r>
            <w:r>
              <w:rPr>
                <w:rFonts w:hint="default"/>
                <w:color w:val="000000" w:themeColor="text1"/>
                <w:sz w:val="24"/>
                <w:szCs w:val="24"/>
              </w:rPr>
              <w:t>过程管理应报当地环保行政主管部门等批准。</w:t>
            </w:r>
          </w:p>
          <w:p w14:paraId="01B30C7A">
            <w:pPr>
              <w:adjustRightInd w:val="0"/>
              <w:snapToGrid w:val="0"/>
              <w:spacing w:line="360" w:lineRule="auto"/>
              <w:ind w:firstLine="480" w:firstLineChars="20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②加强固体废物规范化管理，固体废物分类定点堆放，堆放场所远离办公区和周围环境敏感点。为了减少雨水侵蚀造成的二次污染，临时堆放场地要加盖顶棚；</w:t>
            </w:r>
          </w:p>
          <w:p w14:paraId="431BA0BC">
            <w:pPr>
              <w:adjustRightInd w:val="0"/>
              <w:snapToGrid w:val="0"/>
              <w:spacing w:line="360" w:lineRule="auto"/>
              <w:ind w:firstLine="480" w:firstLineChars="20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③为加强监督管理，贮存、处置场应按GB15562.2设置环境保护图形标志；</w:t>
            </w:r>
          </w:p>
          <w:p w14:paraId="0583CC01">
            <w:pPr>
              <w:adjustRightInd w:val="0"/>
              <w:snapToGrid w:val="0"/>
              <w:spacing w:line="360" w:lineRule="auto"/>
              <w:ind w:firstLine="480" w:firstLineChars="20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④一般工业固体贮存、处置场禁止危险废物和生活垃圾混入；</w:t>
            </w:r>
          </w:p>
          <w:p w14:paraId="37674D94">
            <w:pPr>
              <w:adjustRightInd w:val="0"/>
              <w:snapToGrid w:val="0"/>
              <w:spacing w:line="360" w:lineRule="auto"/>
              <w:ind w:firstLine="480" w:firstLineChars="200"/>
              <w:rPr>
                <w:rFonts w:hint="default" w:ascii="Times New Roman" w:hAnsi="Times New Roman" w:cs="Times New Roman"/>
                <w:color w:val="000000" w:themeColor="text1"/>
                <w:sz w:val="24"/>
                <w:szCs w:val="24"/>
                <w:lang w:eastAsia="zh-CN"/>
              </w:rPr>
            </w:pPr>
            <w:r>
              <w:rPr>
                <w:rFonts w:hint="default" w:ascii="Times New Roman" w:hAnsi="Times New Roman" w:cs="Times New Roman"/>
                <w:color w:val="000000" w:themeColor="text1"/>
                <w:sz w:val="24"/>
                <w:szCs w:val="24"/>
              </w:rPr>
              <w:t>⑤贮存、处置场的使用单位，应建立档案制度。应将入场的一般工业固体废物的种类和数量等资料详细记录在案，长期保存，供随时查阅</w:t>
            </w:r>
            <w:r>
              <w:rPr>
                <w:rFonts w:hint="default" w:ascii="Times New Roman" w:hAnsi="Times New Roman" w:cs="Times New Roman"/>
                <w:color w:val="000000" w:themeColor="text1"/>
                <w:sz w:val="24"/>
                <w:szCs w:val="24"/>
                <w:lang w:eastAsia="zh-CN"/>
              </w:rPr>
              <w:t>。</w:t>
            </w:r>
          </w:p>
          <w:p w14:paraId="6205CB4B">
            <w:pPr>
              <w:adjustRightInd w:val="0"/>
              <w:snapToGrid w:val="0"/>
              <w:spacing w:line="360" w:lineRule="auto"/>
              <w:ind w:firstLine="480" w:firstLineChars="200"/>
              <w:rPr>
                <w:rFonts w:hint="default" w:ascii="Times New Roman" w:hAnsi="Times New Roman" w:cs="Times New Roman"/>
                <w:color w:val="000000" w:themeColor="text1"/>
                <w:sz w:val="24"/>
                <w:szCs w:val="24"/>
                <w:lang w:eastAsia="zh-CN"/>
              </w:rPr>
            </w:pPr>
            <w:r>
              <w:rPr>
                <w:rFonts w:hint="eastAsia" w:ascii="Times New Roman" w:hAnsi="Times New Roman" w:cs="Times New Roman"/>
                <w:color w:val="000000" w:themeColor="text1"/>
                <w:sz w:val="24"/>
                <w:szCs w:val="24"/>
                <w:lang w:val="en-US" w:eastAsia="zh-CN"/>
              </w:rPr>
              <w:t>⑥</w:t>
            </w:r>
            <w:r>
              <w:rPr>
                <w:rFonts w:hint="default" w:ascii="Times New Roman" w:hAnsi="Times New Roman" w:cs="Times New Roman"/>
                <w:color w:val="000000" w:themeColor="text1"/>
                <w:sz w:val="24"/>
                <w:szCs w:val="24"/>
                <w:lang w:eastAsia="zh-CN"/>
              </w:rPr>
              <w:t>一般工业固废贮存过程应满足防扬散、防流失、防渗漏</w:t>
            </w:r>
            <w:r>
              <w:rPr>
                <w:rFonts w:hint="eastAsia" w:ascii="Times New Roman" w:hAnsi="Times New Roman" w:cs="Times New Roman"/>
                <w:color w:val="000000" w:themeColor="text1"/>
                <w:sz w:val="24"/>
                <w:szCs w:val="24"/>
                <w:lang w:eastAsia="zh-CN"/>
              </w:rPr>
              <w:t>、</w:t>
            </w:r>
            <w:r>
              <w:rPr>
                <w:rFonts w:hint="eastAsia" w:ascii="Times New Roman" w:hAnsi="Times New Roman" w:cs="Times New Roman"/>
                <w:color w:val="000000" w:themeColor="text1"/>
                <w:sz w:val="24"/>
                <w:szCs w:val="24"/>
                <w:lang w:val="en-US" w:eastAsia="zh-CN"/>
              </w:rPr>
              <w:t>分区暂存各类固废</w:t>
            </w:r>
            <w:r>
              <w:rPr>
                <w:rFonts w:hint="default" w:ascii="Times New Roman" w:hAnsi="Times New Roman" w:cs="Times New Roman"/>
                <w:color w:val="000000" w:themeColor="text1"/>
                <w:sz w:val="24"/>
                <w:szCs w:val="24"/>
                <w:lang w:eastAsia="zh-CN"/>
              </w:rPr>
              <w:t>等环境保护要求</w:t>
            </w:r>
            <w:r>
              <w:rPr>
                <w:rFonts w:hint="eastAsia" w:ascii="Times New Roman" w:hAnsi="Times New Roman" w:cs="Times New Roman"/>
                <w:color w:val="000000" w:themeColor="text1"/>
                <w:sz w:val="24"/>
                <w:szCs w:val="24"/>
                <w:lang w:eastAsia="zh-CN"/>
              </w:rPr>
              <w:t>。</w:t>
            </w:r>
          </w:p>
          <w:p w14:paraId="4F92C529">
            <w:pPr>
              <w:adjustRightInd w:val="0"/>
              <w:snapToGrid w:val="0"/>
              <w:spacing w:line="360" w:lineRule="auto"/>
              <w:ind w:firstLine="480" w:firstLineChars="200"/>
              <w:rPr>
                <w:rFonts w:hint="default" w:ascii="Times New Roman" w:hAnsi="Times New Roman" w:cs="Times New Roman"/>
                <w:color w:val="000000" w:themeColor="text1"/>
                <w:sz w:val="24"/>
                <w:szCs w:val="24"/>
                <w:lang w:val="en-US" w:eastAsia="zh-CN"/>
              </w:rPr>
            </w:pPr>
            <w:r>
              <w:rPr>
                <w:rFonts w:hint="default" w:ascii="Times New Roman" w:hAnsi="Times New Roman" w:cs="Times New Roman"/>
                <w:color w:val="000000" w:themeColor="text1"/>
                <w:sz w:val="24"/>
                <w:szCs w:val="24"/>
                <w:lang w:eastAsia="zh-CN"/>
              </w:rPr>
              <w:t>（</w:t>
            </w:r>
            <w:r>
              <w:rPr>
                <w:rFonts w:hint="default" w:ascii="Times New Roman" w:hAnsi="Times New Roman" w:cs="Times New Roman"/>
                <w:color w:val="000000" w:themeColor="text1"/>
                <w:sz w:val="24"/>
                <w:szCs w:val="24"/>
                <w:lang w:val="en-US" w:eastAsia="zh-CN"/>
              </w:rPr>
              <w:t>2</w:t>
            </w:r>
            <w:r>
              <w:rPr>
                <w:rFonts w:hint="default" w:ascii="Times New Roman" w:hAnsi="Times New Roman" w:cs="Times New Roman"/>
                <w:color w:val="000000" w:themeColor="text1"/>
                <w:sz w:val="24"/>
                <w:szCs w:val="24"/>
                <w:lang w:eastAsia="zh-CN"/>
              </w:rPr>
              <w:t>）</w:t>
            </w:r>
            <w:r>
              <w:rPr>
                <w:rFonts w:hint="default" w:ascii="Times New Roman" w:hAnsi="Times New Roman" w:cs="Times New Roman"/>
                <w:color w:val="000000" w:themeColor="text1"/>
                <w:sz w:val="24"/>
                <w:szCs w:val="24"/>
                <w:lang w:val="en-US" w:eastAsia="zh-CN"/>
              </w:rPr>
              <w:t>危险废物贮存和处置</w:t>
            </w:r>
          </w:p>
          <w:p w14:paraId="26A8BFDB">
            <w:pPr>
              <w:adjustRightInd w:val="0"/>
              <w:snapToGrid w:val="0"/>
              <w:spacing w:line="360" w:lineRule="auto"/>
              <w:ind w:firstLine="480" w:firstLineChars="200"/>
              <w:rPr>
                <w:rFonts w:hint="default" w:ascii="Times New Roman" w:hAnsi="Times New Roman" w:cs="Times New Roman"/>
                <w:color w:val="000000" w:themeColor="text1"/>
                <w:sz w:val="24"/>
                <w:szCs w:val="24"/>
                <w:lang w:val="en-US" w:eastAsia="zh-CN"/>
              </w:rPr>
            </w:pPr>
            <w:r>
              <w:rPr>
                <w:rFonts w:hint="default" w:ascii="Times New Roman" w:hAnsi="Times New Roman" w:cs="Times New Roman"/>
                <w:color w:val="000000" w:themeColor="text1"/>
                <w:sz w:val="24"/>
                <w:szCs w:val="24"/>
              </w:rPr>
              <w:t>本项目</w:t>
            </w:r>
            <w:r>
              <w:rPr>
                <w:rFonts w:hint="default" w:ascii="Times New Roman" w:hAnsi="Times New Roman" w:cs="Times New Roman"/>
                <w:color w:val="000000" w:themeColor="text1"/>
                <w:sz w:val="24"/>
                <w:szCs w:val="24"/>
                <w:lang w:val="en-US" w:eastAsia="zh-CN"/>
              </w:rPr>
              <w:t>拟</w:t>
            </w:r>
            <w:r>
              <w:rPr>
                <w:rFonts w:hint="default" w:ascii="Times New Roman" w:hAnsi="Times New Roman" w:cs="Times New Roman"/>
                <w:color w:val="000000" w:themeColor="text1"/>
                <w:sz w:val="24"/>
                <w:szCs w:val="24"/>
              </w:rPr>
              <w:t>在生产车间外西侧设置危废暂存间</w:t>
            </w:r>
            <w:r>
              <w:rPr>
                <w:rFonts w:hint="eastAsia" w:cs="Times New Roman"/>
                <w:color w:val="000000" w:themeColor="text1"/>
                <w:sz w:val="24"/>
                <w:szCs w:val="24"/>
                <w:lang w:val="en-US" w:eastAsia="zh-CN"/>
              </w:rPr>
              <w:t>，面积约为2</w:t>
            </w:r>
            <w:r>
              <w:rPr>
                <w:rFonts w:hint="default" w:ascii="Times New Roman" w:hAnsi="Times New Roman" w:cs="Times New Roman"/>
                <w:color w:val="000000" w:themeColor="text1"/>
                <w:sz w:val="24"/>
                <w:szCs w:val="24"/>
                <w:lang w:eastAsia="zh-CN"/>
              </w:rPr>
              <w:t>0m</w:t>
            </w:r>
            <w:r>
              <w:rPr>
                <w:rFonts w:hint="default" w:ascii="Times New Roman" w:hAnsi="Times New Roman" w:cs="Times New Roman"/>
                <w:color w:val="000000" w:themeColor="text1"/>
                <w:sz w:val="24"/>
                <w:szCs w:val="24"/>
                <w:vertAlign w:val="superscript"/>
              </w:rPr>
              <w:t>2</w:t>
            </w:r>
            <w:r>
              <w:rPr>
                <w:rFonts w:hint="default" w:ascii="Times New Roman" w:hAnsi="Times New Roman" w:cs="Times New Roman"/>
                <w:color w:val="000000" w:themeColor="text1"/>
                <w:sz w:val="24"/>
                <w:szCs w:val="24"/>
                <w:lang w:val="en-US" w:eastAsia="zh-CN"/>
              </w:rPr>
              <w:t>，</w:t>
            </w:r>
            <w:r>
              <w:rPr>
                <w:rFonts w:hint="default" w:ascii="Times New Roman" w:hAnsi="Times New Roman" w:cs="Times New Roman"/>
                <w:color w:val="000000" w:themeColor="text1"/>
                <w:sz w:val="24"/>
                <w:szCs w:val="24"/>
              </w:rPr>
              <w:t>产生的</w:t>
            </w:r>
            <w:r>
              <w:rPr>
                <w:rFonts w:hint="default" w:ascii="Times New Roman" w:hAnsi="Times New Roman" w:cs="Times New Roman"/>
                <w:color w:val="000000" w:themeColor="text1"/>
                <w:sz w:val="24"/>
                <w:szCs w:val="24"/>
                <w:lang w:val="en-US" w:eastAsia="zh-CN"/>
              </w:rPr>
              <w:t>各类危险废物暂存于危废暂存间，定期委托有资质单位处置</w:t>
            </w:r>
            <w:r>
              <w:rPr>
                <w:rFonts w:hint="default" w:ascii="Times New Roman" w:hAnsi="Times New Roman" w:cs="Times New Roman"/>
                <w:color w:val="000000" w:themeColor="text1"/>
                <w:sz w:val="24"/>
                <w:szCs w:val="24"/>
              </w:rPr>
              <w:t>。该暂存场所应按照</w:t>
            </w:r>
            <w:r>
              <w:rPr>
                <w:rFonts w:hint="default" w:ascii="Times New Roman" w:hAnsi="Times New Roman" w:cs="Times New Roman"/>
                <w:color w:val="000000" w:themeColor="text1"/>
                <w:sz w:val="24"/>
                <w:szCs w:val="24"/>
                <w:lang w:val="en-US" w:eastAsia="zh-CN"/>
              </w:rPr>
              <w:t>《危险废物贮存污染控制标准》（GB18597-2023）以及《危险废物识别标志设置技术规范》（HJ 1276-2022）</w:t>
            </w:r>
            <w:r>
              <w:rPr>
                <w:rFonts w:hint="default" w:ascii="Times New Roman" w:hAnsi="Times New Roman" w:cs="Times New Roman"/>
                <w:color w:val="000000" w:themeColor="text1"/>
                <w:sz w:val="24"/>
                <w:szCs w:val="24"/>
              </w:rPr>
              <w:t>要求建设。</w:t>
            </w:r>
            <w:r>
              <w:rPr>
                <w:rFonts w:hint="default" w:ascii="Times New Roman" w:hAnsi="Times New Roman" w:cs="Times New Roman"/>
                <w:color w:val="000000" w:themeColor="text1"/>
                <w:sz w:val="24"/>
                <w:szCs w:val="24"/>
                <w:lang w:val="en-US" w:eastAsia="zh-CN"/>
              </w:rPr>
              <w:t>危险废物贮存应注意以下要求：</w:t>
            </w:r>
          </w:p>
          <w:p w14:paraId="3EB843E0">
            <w:pPr>
              <w:pStyle w:val="7"/>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000000" w:themeColor="text1"/>
                <w:spacing w:val="0"/>
                <w:kern w:val="2"/>
                <w:sz w:val="24"/>
                <w:szCs w:val="24"/>
                <w:lang w:val="en-US" w:eastAsia="zh-CN" w:bidi="ar-SA"/>
              </w:rPr>
            </w:pPr>
            <w:r>
              <w:rPr>
                <w:rFonts w:hint="default" w:ascii="Times New Roman" w:hAnsi="Times New Roman" w:eastAsia="宋体" w:cs="Times New Roman"/>
                <w:color w:val="000000" w:themeColor="text1"/>
                <w:spacing w:val="0"/>
                <w:kern w:val="2"/>
                <w:sz w:val="24"/>
                <w:szCs w:val="24"/>
                <w:lang w:val="en-US" w:eastAsia="zh-CN" w:bidi="ar-SA"/>
              </w:rPr>
              <w:t>①贮存设施应根据危险废物的形态、物理化学性质、包装形式和污染物迁移途径，采取必要的防风、防晒、防雨、防漏、防渗、防腐以及其他环境污染防治措施，不应露天堆放危险废物。</w:t>
            </w:r>
          </w:p>
          <w:p w14:paraId="779BFE25">
            <w:pPr>
              <w:pStyle w:val="7"/>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000000" w:themeColor="text1"/>
                <w:spacing w:val="0"/>
                <w:kern w:val="2"/>
                <w:sz w:val="24"/>
                <w:szCs w:val="24"/>
                <w:lang w:val="en-US" w:eastAsia="zh-CN" w:bidi="ar-SA"/>
              </w:rPr>
            </w:pPr>
            <w:r>
              <w:rPr>
                <w:rFonts w:hint="default" w:ascii="Times New Roman" w:hAnsi="Times New Roman" w:eastAsia="宋体" w:cs="Times New Roman"/>
                <w:color w:val="000000" w:themeColor="text1"/>
                <w:spacing w:val="0"/>
                <w:kern w:val="2"/>
                <w:sz w:val="24"/>
                <w:szCs w:val="24"/>
                <w:lang w:val="en-US" w:eastAsia="zh-CN" w:bidi="ar-SA"/>
              </w:rPr>
              <w:t>②贮存设施应根据危险废物的类别、数量、形态、物理化学性质和污染防治等要求设置必要的贮存分区，避免不相容的危险废物接触、混合。</w:t>
            </w:r>
          </w:p>
          <w:p w14:paraId="64751643">
            <w:pPr>
              <w:pStyle w:val="7"/>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000000" w:themeColor="text1"/>
                <w:spacing w:val="0"/>
                <w:kern w:val="2"/>
                <w:sz w:val="24"/>
                <w:szCs w:val="24"/>
                <w:lang w:val="en-US" w:eastAsia="zh-CN" w:bidi="ar-SA"/>
              </w:rPr>
            </w:pPr>
            <w:r>
              <w:rPr>
                <w:rFonts w:hint="default" w:ascii="Times New Roman" w:hAnsi="Times New Roman" w:eastAsia="宋体" w:cs="Times New Roman"/>
                <w:color w:val="000000" w:themeColor="text1"/>
                <w:spacing w:val="0"/>
                <w:kern w:val="2"/>
                <w:sz w:val="24"/>
                <w:szCs w:val="24"/>
                <w:lang w:val="en-US" w:eastAsia="zh-CN" w:bidi="ar-SA"/>
              </w:rPr>
              <w:t>③贮存设施或贮存分区内地面、墙面裙脚、接触危险废物的隔板和墙体等应采用坚固的材料建造，表面无裂缝。</w:t>
            </w:r>
          </w:p>
          <w:p w14:paraId="0B2932E7">
            <w:pPr>
              <w:pStyle w:val="7"/>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eastAsia="宋体" w:cs="Times New Roman"/>
                <w:color w:val="000000" w:themeColor="text1"/>
                <w:spacing w:val="0"/>
                <w:kern w:val="2"/>
                <w:sz w:val="24"/>
                <w:szCs w:val="24"/>
                <w:lang w:val="en-US" w:eastAsia="zh-CN" w:bidi="ar-SA"/>
              </w:rPr>
            </w:pPr>
            <w:r>
              <w:rPr>
                <w:rFonts w:hint="default" w:ascii="Times New Roman" w:hAnsi="Times New Roman" w:eastAsia="宋体" w:cs="Times New Roman"/>
                <w:color w:val="000000" w:themeColor="text1"/>
                <w:spacing w:val="0"/>
                <w:kern w:val="2"/>
                <w:sz w:val="24"/>
                <w:szCs w:val="24"/>
                <w:lang w:val="en-US" w:eastAsia="zh-CN" w:bidi="ar-SA"/>
              </w:rPr>
              <w:t>④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 厚黏土层(渗透系数不大于10</w:t>
            </w:r>
            <w:r>
              <w:rPr>
                <w:rFonts w:hint="default" w:ascii="Times New Roman" w:hAnsi="Times New Roman" w:eastAsia="宋体" w:cs="Times New Roman"/>
                <w:color w:val="000000" w:themeColor="text1"/>
                <w:spacing w:val="0"/>
                <w:kern w:val="2"/>
                <w:sz w:val="24"/>
                <w:szCs w:val="24"/>
                <w:vertAlign w:val="superscript"/>
                <w:lang w:val="en-US" w:eastAsia="zh-CN" w:bidi="ar-SA"/>
              </w:rPr>
              <w:t>-7</w:t>
            </w:r>
            <w:r>
              <w:rPr>
                <w:rFonts w:hint="default" w:ascii="Times New Roman" w:hAnsi="Times New Roman" w:eastAsia="宋体" w:cs="Times New Roman"/>
                <w:color w:val="000000" w:themeColor="text1"/>
                <w:spacing w:val="0"/>
                <w:kern w:val="2"/>
                <w:sz w:val="24"/>
                <w:szCs w:val="24"/>
                <w:lang w:val="en-US" w:eastAsia="zh-CN" w:bidi="ar-SA"/>
              </w:rPr>
              <w:t>cm/s)，或至少2mm厚高密度聚乙烯膜等人工防渗材料(渗透系数不大于10</w:t>
            </w:r>
            <w:r>
              <w:rPr>
                <w:rFonts w:hint="default" w:ascii="Times New Roman" w:hAnsi="Times New Roman" w:eastAsia="宋体" w:cs="Times New Roman"/>
                <w:color w:val="000000" w:themeColor="text1"/>
                <w:spacing w:val="0"/>
                <w:kern w:val="2"/>
                <w:sz w:val="24"/>
                <w:szCs w:val="24"/>
                <w:vertAlign w:val="superscript"/>
                <w:lang w:val="en-US" w:eastAsia="zh-CN" w:bidi="ar-SA"/>
              </w:rPr>
              <w:t>-10</w:t>
            </w:r>
            <w:r>
              <w:rPr>
                <w:rFonts w:hint="default" w:ascii="Times New Roman" w:hAnsi="Times New Roman" w:eastAsia="宋体" w:cs="Times New Roman"/>
                <w:color w:val="000000" w:themeColor="text1"/>
                <w:spacing w:val="0"/>
                <w:kern w:val="2"/>
                <w:sz w:val="24"/>
                <w:szCs w:val="24"/>
                <w:lang w:val="en-US" w:eastAsia="zh-CN" w:bidi="ar-SA"/>
              </w:rPr>
              <w:t>cm/s)，或其他防渗性能等效的材料。</w:t>
            </w:r>
          </w:p>
          <w:p w14:paraId="61DAF136">
            <w:pPr>
              <w:pStyle w:val="5"/>
              <w:keepNext/>
              <w:keepLines/>
              <w:pageBreakBefore w:val="0"/>
              <w:widowControl w:val="0"/>
              <w:numPr>
                <w:ilvl w:val="3"/>
                <w:numId w:val="0"/>
              </w:numPr>
              <w:kinsoku/>
              <w:wordWrap/>
              <w:overflowPunct/>
              <w:topLinePunct w:val="0"/>
              <w:autoSpaceDE/>
              <w:autoSpaceDN/>
              <w:bidi w:val="0"/>
              <w:adjustRightInd/>
              <w:snapToGrid w:val="0"/>
              <w:spacing w:before="0" w:after="0"/>
              <w:ind w:leftChars="0" w:firstLine="480" w:firstLineChars="200"/>
              <w:textAlignment w:val="auto"/>
              <w:rPr>
                <w:rFonts w:hint="default" w:ascii="Times New Roman" w:hAnsi="Times New Roman" w:eastAsia="宋体" w:cs="Times New Roman"/>
                <w:b w:val="0"/>
                <w:bCs w:val="0"/>
                <w:color w:val="000000" w:themeColor="text1"/>
                <w:spacing w:val="0"/>
                <w:kern w:val="2"/>
                <w:sz w:val="24"/>
                <w:szCs w:val="24"/>
                <w:lang w:val="en-US" w:eastAsia="zh-CN" w:bidi="ar-SA"/>
              </w:rPr>
            </w:pPr>
            <w:r>
              <w:rPr>
                <w:rFonts w:hint="default" w:ascii="Times New Roman" w:hAnsi="Times New Roman" w:eastAsia="宋体" w:cs="Times New Roman"/>
                <w:b w:val="0"/>
                <w:bCs w:val="0"/>
                <w:color w:val="000000" w:themeColor="text1"/>
                <w:spacing w:val="0"/>
                <w:kern w:val="2"/>
                <w:sz w:val="24"/>
                <w:szCs w:val="24"/>
                <w:lang w:val="en-US" w:eastAsia="zh-CN" w:bidi="ar-SA"/>
              </w:rPr>
              <w:t>⑤同一贮存设施宜采用相同的防渗、防腐工艺(包括防渗、防腐结构或材料)</w:t>
            </w:r>
            <w:r>
              <w:rPr>
                <w:rFonts w:hint="eastAsia" w:ascii="Times New Roman" w:hAnsi="Times New Roman" w:eastAsia="宋体" w:cs="Times New Roman"/>
                <w:b w:val="0"/>
                <w:bCs w:val="0"/>
                <w:color w:val="000000" w:themeColor="text1"/>
                <w:spacing w:val="0"/>
                <w:kern w:val="2"/>
                <w:sz w:val="24"/>
                <w:szCs w:val="24"/>
                <w:lang w:val="en-US" w:eastAsia="zh-CN" w:bidi="ar-SA"/>
              </w:rPr>
              <w:t>，</w:t>
            </w:r>
            <w:r>
              <w:rPr>
                <w:rFonts w:hint="default" w:ascii="Times New Roman" w:hAnsi="Times New Roman" w:eastAsia="宋体" w:cs="Times New Roman"/>
                <w:b w:val="0"/>
                <w:bCs w:val="0"/>
                <w:color w:val="000000" w:themeColor="text1"/>
                <w:spacing w:val="0"/>
                <w:kern w:val="2"/>
                <w:sz w:val="24"/>
                <w:szCs w:val="24"/>
                <w:lang w:val="en-US" w:eastAsia="zh-CN" w:bidi="ar-SA"/>
              </w:rPr>
              <w:t>防渗、防腐材料应覆盖所有可能与废物及其渗滤液、渗漏液等接触的构筑物表面</w:t>
            </w:r>
            <w:r>
              <w:rPr>
                <w:rFonts w:hint="eastAsia" w:ascii="Times New Roman" w:hAnsi="Times New Roman" w:eastAsia="宋体" w:cs="Times New Roman"/>
                <w:b w:val="0"/>
                <w:bCs w:val="0"/>
                <w:color w:val="000000" w:themeColor="text1"/>
                <w:spacing w:val="0"/>
                <w:kern w:val="2"/>
                <w:sz w:val="24"/>
                <w:szCs w:val="24"/>
                <w:lang w:val="en-US" w:eastAsia="zh-CN" w:bidi="ar-SA"/>
              </w:rPr>
              <w:t>；</w:t>
            </w:r>
            <w:r>
              <w:rPr>
                <w:rFonts w:hint="default" w:ascii="Times New Roman" w:hAnsi="Times New Roman" w:eastAsia="宋体" w:cs="Times New Roman"/>
                <w:b w:val="0"/>
                <w:bCs w:val="0"/>
                <w:color w:val="000000" w:themeColor="text1"/>
                <w:spacing w:val="0"/>
                <w:kern w:val="2"/>
                <w:sz w:val="24"/>
                <w:szCs w:val="24"/>
                <w:lang w:val="en-US" w:eastAsia="zh-CN" w:bidi="ar-SA"/>
              </w:rPr>
              <w:t>采用不同防渗、防腐工艺应分别建设贮存分区。</w:t>
            </w:r>
          </w:p>
          <w:p w14:paraId="54E6F700">
            <w:pPr>
              <w:pStyle w:val="5"/>
              <w:keepNext/>
              <w:keepLines/>
              <w:pageBreakBefore w:val="0"/>
              <w:widowControl w:val="0"/>
              <w:numPr>
                <w:ilvl w:val="3"/>
                <w:numId w:val="0"/>
              </w:numPr>
              <w:kinsoku/>
              <w:wordWrap/>
              <w:overflowPunct/>
              <w:topLinePunct w:val="0"/>
              <w:autoSpaceDE/>
              <w:autoSpaceDN/>
              <w:bidi w:val="0"/>
              <w:adjustRightInd/>
              <w:snapToGrid w:val="0"/>
              <w:spacing w:before="0" w:after="0"/>
              <w:ind w:leftChars="0" w:firstLine="480" w:firstLineChars="200"/>
              <w:textAlignment w:val="auto"/>
              <w:rPr>
                <w:rFonts w:hint="default" w:ascii="Times New Roman" w:hAnsi="Times New Roman" w:eastAsia="宋体" w:cs="Times New Roman"/>
                <w:b w:val="0"/>
                <w:bCs w:val="0"/>
                <w:color w:val="000000" w:themeColor="text1"/>
                <w:spacing w:val="0"/>
                <w:kern w:val="2"/>
                <w:sz w:val="24"/>
                <w:szCs w:val="24"/>
                <w:lang w:val="en-US" w:eastAsia="zh-CN" w:bidi="ar-SA"/>
              </w:rPr>
            </w:pPr>
            <w:r>
              <w:rPr>
                <w:rFonts w:hint="default" w:ascii="Times New Roman" w:hAnsi="Times New Roman" w:eastAsia="宋体" w:cs="Times New Roman"/>
                <w:b w:val="0"/>
                <w:bCs w:val="0"/>
                <w:color w:val="000000" w:themeColor="text1"/>
                <w:spacing w:val="0"/>
                <w:kern w:val="2"/>
                <w:sz w:val="24"/>
                <w:szCs w:val="24"/>
                <w:lang w:val="en-US" w:eastAsia="zh-CN" w:bidi="ar-SA"/>
              </w:rPr>
              <w:t>⑥贮存设施应采取技术和管理措施防止无关人员进入。</w:t>
            </w:r>
          </w:p>
          <w:p w14:paraId="3D4DC517">
            <w:pPr>
              <w:pStyle w:val="5"/>
              <w:keepNext/>
              <w:keepLines/>
              <w:pageBreakBefore w:val="0"/>
              <w:widowControl w:val="0"/>
              <w:numPr>
                <w:ilvl w:val="3"/>
                <w:numId w:val="0"/>
              </w:numPr>
              <w:kinsoku/>
              <w:wordWrap/>
              <w:overflowPunct/>
              <w:topLinePunct w:val="0"/>
              <w:autoSpaceDE/>
              <w:autoSpaceDN/>
              <w:bidi w:val="0"/>
              <w:adjustRightInd/>
              <w:snapToGrid w:val="0"/>
              <w:spacing w:before="0" w:after="0"/>
              <w:ind w:leftChars="0" w:firstLine="480" w:firstLineChars="200"/>
              <w:textAlignment w:val="auto"/>
              <w:rPr>
                <w:rFonts w:hint="eastAsia" w:ascii="Times New Roman" w:hAnsi="Times New Roman" w:eastAsia="宋体" w:cs="Times New Roman"/>
                <w:b w:val="0"/>
                <w:bCs w:val="0"/>
                <w:color w:val="000000" w:themeColor="text1"/>
                <w:spacing w:val="0"/>
                <w:kern w:val="2"/>
                <w:sz w:val="24"/>
                <w:szCs w:val="24"/>
                <w:lang w:val="en-US" w:eastAsia="zh-CN" w:bidi="ar-SA"/>
              </w:rPr>
            </w:pPr>
            <w:r>
              <w:rPr>
                <w:rFonts w:hint="default" w:ascii="Times New Roman" w:hAnsi="Times New Roman" w:eastAsia="宋体" w:cs="Times New Roman"/>
                <w:b w:val="0"/>
                <w:bCs w:val="0"/>
                <w:color w:val="000000" w:themeColor="text1"/>
                <w:spacing w:val="0"/>
                <w:kern w:val="2"/>
                <w:sz w:val="24"/>
                <w:szCs w:val="24"/>
                <w:lang w:val="en-US" w:eastAsia="zh-CN" w:bidi="ar-SA"/>
              </w:rPr>
              <w:t>⑦在贮存库内或通过贮存分区方式贮存液态危险废物的，应具有液体泄漏堵截设施，堵截设施最小容积不应低于对应贮存区域最大液态废物容器容积或液态废物总储量1/10(二者取较大者)</w:t>
            </w:r>
            <w:r>
              <w:rPr>
                <w:rFonts w:hint="eastAsia" w:ascii="Times New Roman" w:hAnsi="Times New Roman" w:eastAsia="宋体" w:cs="Times New Roman"/>
                <w:b w:val="0"/>
                <w:bCs w:val="0"/>
                <w:color w:val="000000" w:themeColor="text1"/>
                <w:spacing w:val="0"/>
                <w:kern w:val="2"/>
                <w:sz w:val="24"/>
                <w:szCs w:val="24"/>
                <w:lang w:val="en-US" w:eastAsia="zh-CN" w:bidi="ar-SA"/>
              </w:rPr>
              <w:t>；</w:t>
            </w:r>
            <w:r>
              <w:rPr>
                <w:rFonts w:hint="default" w:ascii="Times New Roman" w:hAnsi="Times New Roman" w:eastAsia="宋体" w:cs="Times New Roman"/>
                <w:b w:val="0"/>
                <w:bCs w:val="0"/>
                <w:color w:val="000000" w:themeColor="text1"/>
                <w:spacing w:val="0"/>
                <w:kern w:val="2"/>
                <w:sz w:val="24"/>
                <w:szCs w:val="24"/>
                <w:lang w:val="en-US" w:eastAsia="zh-CN" w:bidi="ar-SA"/>
              </w:rPr>
              <w:t>用于贮存可能产生渗滤液的危险废物的贮存库或贮存分区应设计渗滤液收集设施，收集设施容积应满足渗滤液的收集要求</w:t>
            </w:r>
            <w:r>
              <w:rPr>
                <w:rFonts w:hint="eastAsia" w:ascii="Times New Roman" w:hAnsi="Times New Roman" w:eastAsia="宋体" w:cs="Times New Roman"/>
                <w:b w:val="0"/>
                <w:bCs w:val="0"/>
                <w:color w:val="000000" w:themeColor="text1"/>
                <w:spacing w:val="0"/>
                <w:kern w:val="2"/>
                <w:sz w:val="24"/>
                <w:szCs w:val="24"/>
                <w:lang w:val="en-US" w:eastAsia="zh-CN" w:bidi="ar-SA"/>
              </w:rPr>
              <w:t>。</w:t>
            </w:r>
          </w:p>
          <w:p w14:paraId="66EA652C">
            <w:pPr>
              <w:pStyle w:val="5"/>
              <w:keepNext/>
              <w:keepLines/>
              <w:pageBreakBefore w:val="0"/>
              <w:widowControl w:val="0"/>
              <w:numPr>
                <w:ilvl w:val="3"/>
                <w:numId w:val="0"/>
              </w:numPr>
              <w:kinsoku/>
              <w:wordWrap/>
              <w:overflowPunct/>
              <w:topLinePunct w:val="0"/>
              <w:autoSpaceDE/>
              <w:autoSpaceDN/>
              <w:bidi w:val="0"/>
              <w:adjustRightInd/>
              <w:snapToGrid w:val="0"/>
              <w:spacing w:before="0" w:after="0"/>
              <w:ind w:leftChars="0" w:firstLine="480" w:firstLineChars="200"/>
              <w:textAlignment w:val="auto"/>
              <w:rPr>
                <w:rFonts w:hint="default" w:ascii="Times New Roman" w:hAnsi="Times New Roman" w:eastAsia="宋体" w:cs="Times New Roman"/>
                <w:b w:val="0"/>
                <w:bCs w:val="0"/>
                <w:color w:val="000000" w:themeColor="text1"/>
                <w:spacing w:val="0"/>
                <w:kern w:val="2"/>
                <w:sz w:val="24"/>
                <w:szCs w:val="24"/>
                <w:lang w:val="en-US" w:eastAsia="zh-CN" w:bidi="ar-SA"/>
              </w:rPr>
            </w:pPr>
            <w:r>
              <w:rPr>
                <w:rFonts w:hint="eastAsia" w:ascii="Times New Roman" w:hAnsi="Times New Roman" w:eastAsia="宋体" w:cs="Times New Roman"/>
                <w:b w:val="0"/>
                <w:bCs w:val="0"/>
                <w:color w:val="000000" w:themeColor="text1"/>
                <w:spacing w:val="0"/>
                <w:kern w:val="2"/>
                <w:sz w:val="24"/>
                <w:szCs w:val="24"/>
                <w:lang w:val="en-US" w:eastAsia="zh-CN" w:bidi="ar-SA"/>
              </w:rPr>
              <w:t>⑧</w:t>
            </w:r>
            <w:r>
              <w:rPr>
                <w:rFonts w:hint="default" w:ascii="Times New Roman" w:hAnsi="Times New Roman" w:eastAsia="宋体" w:cs="Times New Roman"/>
                <w:b w:val="0"/>
                <w:bCs w:val="0"/>
                <w:color w:val="000000" w:themeColor="text1"/>
                <w:spacing w:val="0"/>
                <w:kern w:val="2"/>
                <w:sz w:val="24"/>
                <w:szCs w:val="24"/>
                <w:lang w:val="en-US" w:eastAsia="zh-CN" w:bidi="ar-SA"/>
              </w:rPr>
              <w:t>液态危险废物应装入闭口容器内贮存。</w:t>
            </w:r>
          </w:p>
          <w:p w14:paraId="3EE7C4B9">
            <w:pPr>
              <w:pStyle w:val="5"/>
              <w:keepNext/>
              <w:keepLines/>
              <w:pageBreakBefore w:val="0"/>
              <w:widowControl w:val="0"/>
              <w:numPr>
                <w:ilvl w:val="3"/>
                <w:numId w:val="0"/>
              </w:numPr>
              <w:kinsoku/>
              <w:wordWrap/>
              <w:overflowPunct/>
              <w:topLinePunct w:val="0"/>
              <w:autoSpaceDE/>
              <w:autoSpaceDN/>
              <w:bidi w:val="0"/>
              <w:adjustRightInd/>
              <w:snapToGrid w:val="0"/>
              <w:spacing w:before="0" w:after="0"/>
              <w:ind w:leftChars="0" w:firstLine="480" w:firstLineChars="200"/>
              <w:textAlignment w:val="auto"/>
              <w:rPr>
                <w:rFonts w:hint="default" w:ascii="Times New Roman" w:hAnsi="Times New Roman" w:eastAsia="宋体" w:cs="Times New Roman"/>
                <w:b w:val="0"/>
                <w:bCs w:val="0"/>
                <w:color w:val="000000" w:themeColor="text1"/>
                <w:spacing w:val="0"/>
                <w:kern w:val="2"/>
                <w:sz w:val="24"/>
                <w:szCs w:val="24"/>
                <w:lang w:val="en-US" w:eastAsia="zh-CN" w:bidi="ar-SA"/>
              </w:rPr>
            </w:pPr>
            <w:r>
              <w:rPr>
                <w:rFonts w:hint="default" w:ascii="Times New Roman" w:hAnsi="Times New Roman" w:eastAsia="宋体" w:cs="Times New Roman"/>
                <w:b w:val="0"/>
                <w:bCs w:val="0"/>
                <w:color w:val="000000" w:themeColor="text1"/>
                <w:spacing w:val="0"/>
                <w:kern w:val="2"/>
                <w:sz w:val="24"/>
                <w:szCs w:val="24"/>
                <w:lang w:val="en-US" w:eastAsia="zh-CN" w:bidi="ar-SA"/>
              </w:rPr>
              <w:t>⑨危废仓库需上锁防盗，制定严格的暂存保管措施，专人负责，危险废物定期交由有资质的处置单位接收处理，转运过程严格按照有关规定，实行联单制度。</w:t>
            </w:r>
          </w:p>
          <w:p w14:paraId="24B8178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000000" w:themeColor="text1"/>
                <w:spacing w:val="0"/>
                <w:kern w:val="2"/>
                <w:sz w:val="24"/>
                <w:szCs w:val="24"/>
                <w:lang w:val="en-US" w:eastAsia="zh-CN" w:bidi="ar-SA"/>
              </w:rPr>
            </w:pPr>
            <w:r>
              <w:rPr>
                <w:rFonts w:hint="default" w:ascii="Times New Roman" w:hAnsi="Times New Roman" w:eastAsia="宋体" w:cs="Times New Roman"/>
                <w:b w:val="0"/>
                <w:bCs w:val="0"/>
                <w:color w:val="000000" w:themeColor="text1"/>
                <w:spacing w:val="0"/>
                <w:kern w:val="2"/>
                <w:sz w:val="24"/>
                <w:szCs w:val="24"/>
                <w:lang w:val="en-US" w:eastAsia="zh-CN" w:bidi="ar-SA"/>
              </w:rPr>
              <w:t>企业应当按照危险废物管理措施及规定做到:</w:t>
            </w:r>
          </w:p>
          <w:p w14:paraId="3AA659A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000000" w:themeColor="text1"/>
                <w:spacing w:val="0"/>
                <w:kern w:val="2"/>
                <w:sz w:val="24"/>
                <w:szCs w:val="24"/>
                <w:lang w:val="en-US" w:eastAsia="zh-CN" w:bidi="ar-SA"/>
              </w:rPr>
            </w:pPr>
            <w:r>
              <w:rPr>
                <w:rFonts w:hint="default" w:ascii="Times New Roman" w:hAnsi="Times New Roman" w:eastAsia="宋体" w:cs="Times New Roman"/>
                <w:b w:val="0"/>
                <w:bCs w:val="0"/>
                <w:color w:val="000000" w:themeColor="text1"/>
                <w:spacing w:val="0"/>
                <w:kern w:val="2"/>
                <w:sz w:val="24"/>
                <w:szCs w:val="24"/>
                <w:lang w:val="en-US" w:eastAsia="zh-CN" w:bidi="ar-SA"/>
              </w:rPr>
              <w:t>①建设单位作为危险废物污染防治的责任主体</w:t>
            </w:r>
            <w:r>
              <w:rPr>
                <w:rFonts w:hint="eastAsia" w:ascii="Times New Roman" w:hAnsi="Times New Roman" w:eastAsia="宋体" w:cs="Times New Roman"/>
                <w:b w:val="0"/>
                <w:bCs w:val="0"/>
                <w:color w:val="000000" w:themeColor="text1"/>
                <w:spacing w:val="0"/>
                <w:kern w:val="2"/>
                <w:sz w:val="24"/>
                <w:szCs w:val="24"/>
                <w:lang w:val="en-US" w:eastAsia="zh-CN" w:bidi="ar-SA"/>
              </w:rPr>
              <w:t>，</w:t>
            </w:r>
            <w:r>
              <w:rPr>
                <w:rFonts w:hint="default" w:ascii="Times New Roman" w:hAnsi="Times New Roman" w:eastAsia="宋体" w:cs="Times New Roman"/>
                <w:b w:val="0"/>
                <w:bCs w:val="0"/>
                <w:color w:val="000000" w:themeColor="text1"/>
                <w:spacing w:val="0"/>
                <w:kern w:val="2"/>
                <w:sz w:val="24"/>
                <w:szCs w:val="24"/>
                <w:lang w:val="en-US" w:eastAsia="zh-CN" w:bidi="ar-SA"/>
              </w:rPr>
              <w:t>应建立风险及应急救援体系执行转移联单管理制度及国家和省有关的转移管理相关规定、处置过程安全操作规程、人员培训考核制度、档案管理制度、处置全过程管理制度等</w:t>
            </w:r>
            <w:r>
              <w:rPr>
                <w:rFonts w:hint="eastAsia" w:ascii="Times New Roman" w:hAnsi="Times New Roman" w:eastAsia="宋体" w:cs="Times New Roman"/>
                <w:b w:val="0"/>
                <w:bCs w:val="0"/>
                <w:color w:val="000000" w:themeColor="text1"/>
                <w:spacing w:val="0"/>
                <w:kern w:val="2"/>
                <w:sz w:val="24"/>
                <w:szCs w:val="24"/>
                <w:lang w:val="en-US" w:eastAsia="zh-CN" w:bidi="ar-SA"/>
              </w:rPr>
              <w:t>；</w:t>
            </w:r>
          </w:p>
          <w:p w14:paraId="26AAFFB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000000" w:themeColor="text1"/>
                <w:spacing w:val="0"/>
                <w:kern w:val="2"/>
                <w:sz w:val="24"/>
                <w:szCs w:val="24"/>
                <w:lang w:val="en-US" w:eastAsia="zh-CN" w:bidi="ar-SA"/>
              </w:rPr>
            </w:pPr>
            <w:r>
              <w:rPr>
                <w:rFonts w:hint="default" w:ascii="Times New Roman" w:hAnsi="Times New Roman" w:eastAsia="宋体" w:cs="Times New Roman"/>
                <w:b w:val="0"/>
                <w:bCs w:val="0"/>
                <w:color w:val="000000" w:themeColor="text1"/>
                <w:spacing w:val="0"/>
                <w:kern w:val="2"/>
                <w:sz w:val="24"/>
                <w:szCs w:val="24"/>
                <w:lang w:val="en-US" w:eastAsia="zh-CN" w:bidi="ar-SA"/>
              </w:rPr>
              <w:t>②建设单位应与危废处置单位签订危废处置协议并及时更新</w:t>
            </w:r>
            <w:r>
              <w:rPr>
                <w:rFonts w:hint="eastAsia" w:ascii="Times New Roman" w:hAnsi="Times New Roman" w:eastAsia="宋体" w:cs="Times New Roman"/>
                <w:b w:val="0"/>
                <w:bCs w:val="0"/>
                <w:color w:val="000000" w:themeColor="text1"/>
                <w:spacing w:val="0"/>
                <w:kern w:val="2"/>
                <w:sz w:val="24"/>
                <w:szCs w:val="24"/>
                <w:lang w:val="en-US" w:eastAsia="zh-CN" w:bidi="ar-SA"/>
              </w:rPr>
              <w:t>；</w:t>
            </w:r>
          </w:p>
          <w:p w14:paraId="5EB127E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000000" w:themeColor="text1"/>
                <w:spacing w:val="0"/>
                <w:kern w:val="2"/>
                <w:sz w:val="24"/>
                <w:szCs w:val="24"/>
                <w:lang w:val="en-US" w:eastAsia="zh-CN" w:bidi="ar-SA"/>
              </w:rPr>
            </w:pPr>
            <w:r>
              <w:rPr>
                <w:rFonts w:hint="default" w:ascii="Times New Roman" w:hAnsi="Times New Roman" w:eastAsia="宋体" w:cs="Times New Roman"/>
                <w:b w:val="0"/>
                <w:bCs w:val="0"/>
                <w:color w:val="000000" w:themeColor="text1"/>
                <w:spacing w:val="0"/>
                <w:kern w:val="2"/>
                <w:sz w:val="24"/>
                <w:szCs w:val="24"/>
                <w:lang w:val="en-US" w:eastAsia="zh-CN" w:bidi="ar-SA"/>
              </w:rPr>
              <w:t>③规范危险废物贮存场所，按照要求设置警告标志，危险废物包装、容器和贮存场所应按照《危险废物识别标志设施技术规范》(HJ1276-2022)、《危险废物贮存污染控制标准》(GB18597-2023)有关要求张贴标志</w:t>
            </w:r>
            <w:r>
              <w:rPr>
                <w:rFonts w:hint="eastAsia" w:ascii="Times New Roman" w:hAnsi="Times New Roman" w:eastAsia="宋体" w:cs="Times New Roman"/>
                <w:b w:val="0"/>
                <w:bCs w:val="0"/>
                <w:color w:val="000000" w:themeColor="text1"/>
                <w:spacing w:val="0"/>
                <w:kern w:val="2"/>
                <w:sz w:val="24"/>
                <w:szCs w:val="24"/>
                <w:lang w:val="en-US" w:eastAsia="zh-CN" w:bidi="ar-SA"/>
              </w:rPr>
              <w:t>；</w:t>
            </w:r>
          </w:p>
          <w:p w14:paraId="1F12031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000000" w:themeColor="text1"/>
                <w:spacing w:val="0"/>
                <w:kern w:val="2"/>
                <w:sz w:val="24"/>
                <w:szCs w:val="24"/>
                <w:lang w:val="en-US" w:eastAsia="zh-CN" w:bidi="ar-SA"/>
              </w:rPr>
            </w:pPr>
            <w:r>
              <w:rPr>
                <w:rFonts w:hint="default" w:ascii="Times New Roman" w:hAnsi="Times New Roman" w:eastAsia="宋体" w:cs="Times New Roman"/>
                <w:b w:val="0"/>
                <w:bCs w:val="0"/>
                <w:color w:val="000000" w:themeColor="text1"/>
                <w:spacing w:val="0"/>
                <w:kern w:val="2"/>
                <w:sz w:val="24"/>
                <w:szCs w:val="24"/>
                <w:lang w:val="en-US" w:eastAsia="zh-CN" w:bidi="ar-SA"/>
              </w:rPr>
              <w:t>④建设单位应尽量减少危险废物的暂存时间，及时委托资质单位进行处置危险废物的转运，处理应根据法律法规以及环保部门的具体规定执行。</w:t>
            </w:r>
          </w:p>
          <w:p w14:paraId="1B59AC4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000000" w:themeColor="text1"/>
                <w:sz w:val="24"/>
                <w:szCs w:val="32"/>
                <w:lang w:val="en-US" w:eastAsia="zh-CN"/>
              </w:rPr>
            </w:pPr>
            <w:r>
              <w:rPr>
                <w:rFonts w:hint="default"/>
                <w:color w:val="000000" w:themeColor="text1"/>
                <w:sz w:val="24"/>
                <w:szCs w:val="32"/>
                <w:lang w:val="en-US" w:eastAsia="zh-CN"/>
              </w:rPr>
              <w:t>⑤签订委托处置协议</w:t>
            </w:r>
          </w:p>
          <w:p w14:paraId="042DF69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000000" w:themeColor="text1"/>
                <w:sz w:val="24"/>
                <w:szCs w:val="32"/>
                <w:lang w:val="en-US" w:eastAsia="zh-CN"/>
              </w:rPr>
            </w:pPr>
            <w:r>
              <w:rPr>
                <w:rFonts w:hint="default"/>
                <w:color w:val="000000" w:themeColor="text1"/>
                <w:sz w:val="24"/>
                <w:szCs w:val="32"/>
                <w:lang w:val="en-US" w:eastAsia="zh-CN"/>
              </w:rPr>
              <w:t>建设单位产生的危险废物有 HW08、HW</w:t>
            </w:r>
            <w:r>
              <w:rPr>
                <w:rFonts w:hint="eastAsia"/>
                <w:color w:val="000000" w:themeColor="text1"/>
                <w:sz w:val="24"/>
                <w:szCs w:val="32"/>
                <w:lang w:val="en-US" w:eastAsia="zh-CN"/>
              </w:rPr>
              <w:t>13</w:t>
            </w:r>
            <w:r>
              <w:rPr>
                <w:rFonts w:hint="default"/>
                <w:color w:val="000000" w:themeColor="text1"/>
                <w:sz w:val="24"/>
                <w:szCs w:val="32"/>
                <w:lang w:val="en-US" w:eastAsia="zh-CN"/>
              </w:rPr>
              <w:t>、HW49 等，企业承诺尽快完善该手续，委托具有相应资质的单位处理，报环保部门备案。</w:t>
            </w:r>
          </w:p>
          <w:p w14:paraId="0BDDFD4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000000" w:themeColor="text1"/>
                <w:sz w:val="24"/>
                <w:szCs w:val="32"/>
                <w:lang w:val="en-US" w:eastAsia="zh-CN"/>
              </w:rPr>
            </w:pPr>
            <w:r>
              <w:rPr>
                <w:rFonts w:hint="default"/>
                <w:color w:val="000000" w:themeColor="text1"/>
                <w:sz w:val="24"/>
                <w:szCs w:val="32"/>
                <w:lang w:val="en-US" w:eastAsia="zh-CN"/>
              </w:rPr>
              <w:t>项目建设单位在做好固体废物的分类收集、储存和转移工作时，要做好员工的防护工作，强化固体废物的产生、收集、贮存及处置等各环节的管理，杜绝危险废物的跑冒滴漏现象，同时建立完善的管理制度。通过以上措施，本项目各类固废均可得到妥善暂存、处理和处置，不会产生二次污染，可实现区域零排放不会对周围环境产生不利影响。</w:t>
            </w:r>
          </w:p>
          <w:p w14:paraId="4F28E436">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jc w:val="left"/>
              <w:textAlignment w:val="auto"/>
              <w:rPr>
                <w:b/>
                <w:bCs/>
                <w:color w:val="000000" w:themeColor="text1"/>
                <w:sz w:val="24"/>
                <w:szCs w:val="24"/>
              </w:rPr>
            </w:pPr>
            <w:r>
              <w:rPr>
                <w:rFonts w:hint="eastAsia"/>
                <w:b/>
                <w:bCs/>
                <w:color w:val="000000" w:themeColor="text1"/>
                <w:sz w:val="24"/>
                <w:szCs w:val="24"/>
              </w:rPr>
              <w:t>五、地下水、土壤环境影响</w:t>
            </w:r>
          </w:p>
          <w:p w14:paraId="16FF477B">
            <w:pPr>
              <w:widowControl/>
              <w:spacing w:line="360" w:lineRule="auto"/>
              <w:ind w:firstLine="480" w:firstLineChars="200"/>
              <w:jc w:val="left"/>
              <w:rPr>
                <w:rFonts w:hint="eastAsia"/>
                <w:color w:val="000000" w:themeColor="text1"/>
                <w:sz w:val="24"/>
                <w:szCs w:val="24"/>
              </w:rPr>
            </w:pPr>
            <w:r>
              <w:rPr>
                <w:rFonts w:hint="eastAsia"/>
                <w:color w:val="000000" w:themeColor="text1"/>
                <w:sz w:val="24"/>
                <w:szCs w:val="24"/>
              </w:rPr>
              <w:t>本项目应做到生产区域全面防渗，可能会对地下水造成污染的区域主要为</w:t>
            </w:r>
            <w:r>
              <w:rPr>
                <w:rFonts w:hint="eastAsia"/>
                <w:color w:val="000000" w:themeColor="text1"/>
                <w:sz w:val="24"/>
                <w:szCs w:val="24"/>
                <w:lang w:val="en-US" w:eastAsia="zh-CN"/>
              </w:rPr>
              <w:t>化学品库、储罐区、注油区、浇筑固化区和危废间</w:t>
            </w:r>
            <w:r>
              <w:rPr>
                <w:rFonts w:hint="eastAsia"/>
                <w:color w:val="000000" w:themeColor="text1"/>
                <w:sz w:val="24"/>
                <w:szCs w:val="24"/>
              </w:rPr>
              <w:t>。项目地下水污染防治主要是以预防为主，防治结合，主要从以下几方面考虑：拟建项目运营后可能对土壤和地下水环境造成影响的环节主要包括</w:t>
            </w:r>
            <w:r>
              <w:rPr>
                <w:rFonts w:hint="eastAsia"/>
                <w:color w:val="000000" w:themeColor="text1"/>
                <w:sz w:val="24"/>
                <w:szCs w:val="24"/>
                <w:lang w:val="en-US" w:eastAsia="zh-CN"/>
              </w:rPr>
              <w:t>化粪池及污水管道</w:t>
            </w:r>
            <w:r>
              <w:rPr>
                <w:rFonts w:hint="eastAsia"/>
                <w:color w:val="000000" w:themeColor="text1"/>
                <w:sz w:val="24"/>
                <w:szCs w:val="24"/>
              </w:rPr>
              <w:t>跑、冒、滴、漏等下渗对地下水及土壤的影响。针对可能对土壤和地下水造成影响的各环节，按照“考虑重点，辐射全面”的防腐防渗原则，一般区域采用水泥硬化地面，</w:t>
            </w:r>
            <w:r>
              <w:rPr>
                <w:rFonts w:hint="eastAsia"/>
                <w:color w:val="000000" w:themeColor="text1"/>
                <w:sz w:val="24"/>
                <w:szCs w:val="24"/>
                <w:lang w:val="en-US" w:eastAsia="zh-CN"/>
              </w:rPr>
              <w:t>化学品库、储罐区、注油区、浇筑固化区和危废间等</w:t>
            </w:r>
            <w:r>
              <w:rPr>
                <w:rFonts w:hint="eastAsia"/>
                <w:color w:val="000000" w:themeColor="text1"/>
                <w:sz w:val="24"/>
                <w:szCs w:val="24"/>
              </w:rPr>
              <w:t>采取重点防腐防渗。</w:t>
            </w:r>
          </w:p>
          <w:p w14:paraId="6C5C87ED">
            <w:pPr>
              <w:widowControl/>
              <w:spacing w:line="360" w:lineRule="auto"/>
              <w:ind w:firstLine="480" w:firstLineChars="200"/>
              <w:jc w:val="left"/>
              <w:rPr>
                <w:rFonts w:hint="eastAsia"/>
                <w:color w:val="000000" w:themeColor="text1"/>
                <w:sz w:val="24"/>
                <w:szCs w:val="24"/>
                <w:lang w:eastAsia="zh-CN"/>
              </w:rPr>
            </w:pPr>
            <w:r>
              <w:rPr>
                <w:rFonts w:hint="eastAsia"/>
                <w:color w:val="000000" w:themeColor="text1"/>
                <w:sz w:val="24"/>
                <w:szCs w:val="24"/>
              </w:rPr>
              <w:t>本项目在现有厂房进行成生产，为污染影响型建设项目，不涉及施工期土壤环境影响。重点分析为运营期对项目地及周边区域土壤环境的影响。生产过程中不涉及重金属使用，有机废气经有效处置有高空排放，颗粒物经收集后综合利用。正常工况下，本项目潜在污染土壤的防治措施均达到设计要求，防渗性能完好，对周边土壤环境的影响小</w:t>
            </w:r>
            <w:r>
              <w:rPr>
                <w:rFonts w:hint="eastAsia"/>
                <w:color w:val="000000" w:themeColor="text1"/>
                <w:sz w:val="24"/>
                <w:szCs w:val="24"/>
                <w:lang w:eastAsia="zh-CN"/>
              </w:rPr>
              <w:t>。</w:t>
            </w:r>
          </w:p>
          <w:p w14:paraId="4BD5339B">
            <w:pPr>
              <w:widowControl/>
              <w:spacing w:line="360" w:lineRule="auto"/>
              <w:ind w:firstLine="480" w:firstLineChars="200"/>
              <w:jc w:val="left"/>
              <w:rPr>
                <w:rFonts w:hint="eastAsia"/>
                <w:color w:val="000000" w:themeColor="text1"/>
                <w:sz w:val="24"/>
                <w:szCs w:val="24"/>
                <w:lang w:eastAsia="zh-CN"/>
              </w:rPr>
            </w:pPr>
            <w:r>
              <w:rPr>
                <w:rFonts w:hint="eastAsia"/>
                <w:color w:val="000000" w:themeColor="text1"/>
                <w:sz w:val="24"/>
                <w:szCs w:val="24"/>
              </w:rPr>
              <w:t>根据工程分析，项目对土壤的影响主要来自危废暂存间及有机废气排放后大气沉降对土壤造成的污染，因此建设单位须做好危废暂存间的防渗工作，同时应保证废气的达标排放减小有机废气大气沉降对土壤造成的污染。</w:t>
            </w:r>
          </w:p>
          <w:p w14:paraId="605FD914">
            <w:pPr>
              <w:widowControl/>
              <w:spacing w:line="360" w:lineRule="auto"/>
              <w:ind w:firstLine="480" w:firstLineChars="200"/>
              <w:jc w:val="left"/>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一般防渗区：对土壤和地下水环境有污染的物料或污染物泄漏后可及时发现和处理的区域和部位</w:t>
            </w:r>
            <w:r>
              <w:rPr>
                <w:rFonts w:hint="default" w:ascii="Times New Roman" w:hAnsi="Times New Roman" w:cs="Times New Roman"/>
                <w:color w:val="000000" w:themeColor="text1"/>
                <w:sz w:val="24"/>
                <w:szCs w:val="24"/>
                <w:lang w:eastAsia="zh-CN"/>
              </w:rPr>
              <w:t>，</w:t>
            </w:r>
            <w:r>
              <w:rPr>
                <w:rFonts w:hint="default" w:ascii="Times New Roman" w:hAnsi="Times New Roman" w:cs="Times New Roman"/>
                <w:color w:val="000000" w:themeColor="text1"/>
                <w:sz w:val="24"/>
                <w:szCs w:val="24"/>
                <w:lang w:val="en-US" w:eastAsia="zh-CN"/>
              </w:rPr>
              <w:t>主要为生产车间，</w:t>
            </w:r>
            <w:r>
              <w:rPr>
                <w:rFonts w:hint="default" w:ascii="Times New Roman" w:hAnsi="Times New Roman" w:cs="Times New Roman"/>
                <w:color w:val="000000" w:themeColor="text1"/>
                <w:sz w:val="24"/>
                <w:szCs w:val="24"/>
              </w:rPr>
              <w:t>污染物污染防治区参照《一般工业固体废物贮存和填埋污染控制标准》（GB18599-2020）</w:t>
            </w:r>
            <w:r>
              <w:rPr>
                <w:rFonts w:hint="eastAsia" w:cs="Times New Roman"/>
                <w:color w:val="000000" w:themeColor="text1"/>
                <w:sz w:val="24"/>
                <w:szCs w:val="24"/>
                <w:lang w:eastAsia="zh-CN"/>
              </w:rPr>
              <w:t>，一般固废间参照GB18599标准落实防渗</w:t>
            </w:r>
            <w:r>
              <w:rPr>
                <w:rFonts w:hint="default" w:ascii="Times New Roman" w:hAnsi="Times New Roman" w:cs="Times New Roman"/>
                <w:color w:val="000000" w:themeColor="text1"/>
                <w:sz w:val="24"/>
                <w:szCs w:val="24"/>
              </w:rPr>
              <w:t>。</w:t>
            </w:r>
          </w:p>
          <w:p w14:paraId="1804E5E7">
            <w:pPr>
              <w:widowControl/>
              <w:spacing w:line="360" w:lineRule="auto"/>
              <w:ind w:firstLine="480" w:firstLineChars="200"/>
              <w:jc w:val="left"/>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重点防渗区：对土壤和地下水环境有污染的物料或污染物泄漏后不易及时发现和处理的区域和部位</w:t>
            </w:r>
            <w:r>
              <w:rPr>
                <w:rFonts w:hint="default" w:ascii="Times New Roman" w:hAnsi="Times New Roman" w:cs="Times New Roman"/>
                <w:color w:val="000000" w:themeColor="text1"/>
                <w:sz w:val="24"/>
                <w:szCs w:val="24"/>
                <w:lang w:eastAsia="zh-CN"/>
              </w:rPr>
              <w:t>，</w:t>
            </w:r>
            <w:r>
              <w:rPr>
                <w:rFonts w:hint="default" w:ascii="Times New Roman" w:hAnsi="Times New Roman" w:cs="Times New Roman"/>
                <w:color w:val="000000" w:themeColor="text1"/>
                <w:sz w:val="24"/>
                <w:szCs w:val="24"/>
                <w:lang w:val="en-US" w:eastAsia="zh-CN"/>
              </w:rPr>
              <w:t>主要为</w:t>
            </w:r>
            <w:r>
              <w:rPr>
                <w:rFonts w:hint="eastAsia"/>
                <w:color w:val="000000" w:themeColor="text1"/>
                <w:sz w:val="24"/>
                <w:szCs w:val="24"/>
                <w:lang w:val="en-US" w:eastAsia="zh-CN"/>
              </w:rPr>
              <w:t>化学品库、储罐区、注油区、浇筑固化区和危废间</w:t>
            </w:r>
            <w:r>
              <w:rPr>
                <w:rFonts w:hint="default" w:ascii="Times New Roman" w:hAnsi="Times New Roman" w:cs="Times New Roman"/>
                <w:color w:val="000000" w:themeColor="text1"/>
                <w:sz w:val="24"/>
                <w:szCs w:val="24"/>
              </w:rPr>
              <w:t>。</w:t>
            </w:r>
            <w:r>
              <w:rPr>
                <w:rFonts w:hint="default" w:ascii="Times New Roman" w:hAnsi="Times New Roman" w:cs="Times New Roman"/>
                <w:color w:val="000000" w:themeColor="text1"/>
                <w:sz w:val="24"/>
                <w:szCs w:val="24"/>
                <w:lang w:val="en-US" w:eastAsia="zh-CN"/>
              </w:rPr>
              <w:t>根据《危险废物贮存污染控制标准》（GB18597-2023）要求，危废暂存间防渗层为至少1m厚黏土层（渗透系数不大于10</w:t>
            </w:r>
            <w:r>
              <w:rPr>
                <w:rFonts w:hint="default" w:ascii="Times New Roman" w:hAnsi="Times New Roman" w:cs="Times New Roman"/>
                <w:color w:val="000000" w:themeColor="text1"/>
                <w:sz w:val="24"/>
                <w:szCs w:val="24"/>
                <w:vertAlign w:val="superscript"/>
                <w:lang w:val="en-US" w:eastAsia="zh-CN"/>
              </w:rPr>
              <w:t>-7</w:t>
            </w:r>
            <w:r>
              <w:rPr>
                <w:rFonts w:hint="default" w:ascii="Times New Roman" w:hAnsi="Times New Roman" w:cs="Times New Roman"/>
                <w:color w:val="000000" w:themeColor="text1"/>
                <w:sz w:val="24"/>
                <w:szCs w:val="24"/>
                <w:lang w:val="en-US" w:eastAsia="zh-CN"/>
              </w:rPr>
              <w:t>cm/s），或至少2 mm厚高密度聚乙烯膜等人工防渗材料（渗透系数不大于10</w:t>
            </w:r>
            <w:r>
              <w:rPr>
                <w:rFonts w:hint="default" w:ascii="Times New Roman" w:hAnsi="Times New Roman" w:cs="Times New Roman"/>
                <w:color w:val="000000" w:themeColor="text1"/>
                <w:sz w:val="24"/>
                <w:szCs w:val="24"/>
                <w:vertAlign w:val="superscript"/>
                <w:lang w:val="en-US" w:eastAsia="zh-CN"/>
              </w:rPr>
              <w:t>-10</w:t>
            </w:r>
            <w:r>
              <w:rPr>
                <w:rFonts w:hint="default" w:ascii="Times New Roman" w:hAnsi="Times New Roman" w:cs="Times New Roman"/>
                <w:color w:val="000000" w:themeColor="text1"/>
                <w:sz w:val="24"/>
                <w:szCs w:val="24"/>
                <w:lang w:val="en-US" w:eastAsia="zh-CN"/>
              </w:rPr>
              <w:t xml:space="preserve"> cm/s），或其他防渗性能等效的材料。</w:t>
            </w:r>
          </w:p>
          <w:p w14:paraId="0742CD70">
            <w:pPr>
              <w:pStyle w:val="118"/>
              <w:ind w:left="0" w:leftChars="0" w:right="0" w:rightChars="0" w:firstLine="0" w:firstLineChars="0"/>
              <w:jc w:val="center"/>
              <w:rPr>
                <w:rFonts w:hint="eastAsia"/>
                <w:color w:val="000000" w:themeColor="text1"/>
                <w:sz w:val="24"/>
                <w:szCs w:val="22"/>
              </w:rPr>
            </w:pPr>
            <w:r>
              <w:rPr>
                <w:rFonts w:hint="eastAsia"/>
                <w:color w:val="000000" w:themeColor="text1"/>
                <w:sz w:val="24"/>
                <w:szCs w:val="22"/>
              </w:rPr>
              <w:t>表4-</w:t>
            </w:r>
            <w:r>
              <w:rPr>
                <w:rFonts w:hint="eastAsia"/>
                <w:color w:val="000000" w:themeColor="text1"/>
                <w:sz w:val="24"/>
                <w:szCs w:val="22"/>
                <w:lang w:val="en-US" w:eastAsia="zh-CN"/>
              </w:rPr>
              <w:t xml:space="preserve">19 </w:t>
            </w:r>
            <w:r>
              <w:rPr>
                <w:rFonts w:hint="eastAsia"/>
                <w:color w:val="000000" w:themeColor="text1"/>
                <w:sz w:val="24"/>
                <w:szCs w:val="22"/>
              </w:rPr>
              <w:t xml:space="preserve"> 拟建项目场地土壤、地下水防渗一览表</w:t>
            </w:r>
          </w:p>
          <w:tbl>
            <w:tblPr>
              <w:tblStyle w:val="34"/>
              <w:tblW w:w="8759"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302"/>
              <w:gridCol w:w="2185"/>
              <w:gridCol w:w="5272"/>
            </w:tblGrid>
            <w:tr w14:paraId="761C2C2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743" w:type="pct"/>
                  <w:noWrap w:val="0"/>
                  <w:vAlign w:val="center"/>
                </w:tcPr>
                <w:p w14:paraId="51839D75">
                  <w:pPr>
                    <w:pStyle w:val="12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000000" w:themeColor="text1"/>
                    </w:rPr>
                  </w:pPr>
                  <w:r>
                    <w:rPr>
                      <w:rFonts w:hint="default" w:ascii="Times New Roman" w:hAnsi="Times New Roman" w:cs="Times New Roman"/>
                      <w:color w:val="000000" w:themeColor="text1"/>
                    </w:rPr>
                    <w:t>防渗级别</w:t>
                  </w:r>
                </w:p>
              </w:tc>
              <w:tc>
                <w:tcPr>
                  <w:tcW w:w="1247" w:type="pct"/>
                  <w:noWrap w:val="0"/>
                  <w:vAlign w:val="center"/>
                </w:tcPr>
                <w:p w14:paraId="2D3179D0">
                  <w:pPr>
                    <w:pStyle w:val="12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000000" w:themeColor="text1"/>
                    </w:rPr>
                  </w:pPr>
                  <w:r>
                    <w:rPr>
                      <w:rFonts w:hint="default" w:ascii="Times New Roman" w:hAnsi="Times New Roman" w:cs="Times New Roman"/>
                      <w:color w:val="000000" w:themeColor="text1"/>
                    </w:rPr>
                    <w:t>工作区</w:t>
                  </w:r>
                </w:p>
              </w:tc>
              <w:tc>
                <w:tcPr>
                  <w:tcW w:w="3009" w:type="pct"/>
                  <w:noWrap w:val="0"/>
                  <w:vAlign w:val="center"/>
                </w:tcPr>
                <w:p w14:paraId="0C63EA47">
                  <w:pPr>
                    <w:pStyle w:val="12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000000" w:themeColor="text1"/>
                    </w:rPr>
                  </w:pPr>
                  <w:r>
                    <w:rPr>
                      <w:rFonts w:hint="default" w:ascii="Times New Roman" w:hAnsi="Times New Roman" w:cs="Times New Roman"/>
                      <w:color w:val="000000" w:themeColor="text1"/>
                    </w:rPr>
                    <w:t>防渗要求</w:t>
                  </w:r>
                </w:p>
              </w:tc>
            </w:tr>
            <w:tr w14:paraId="22664D0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724" w:hRule="atLeast"/>
                <w:jc w:val="center"/>
              </w:trPr>
              <w:tc>
                <w:tcPr>
                  <w:tcW w:w="743" w:type="pct"/>
                  <w:noWrap w:val="0"/>
                  <w:vAlign w:val="center"/>
                </w:tcPr>
                <w:p w14:paraId="4A6C6EAF">
                  <w:pPr>
                    <w:pStyle w:val="12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000000" w:themeColor="text1"/>
                    </w:rPr>
                  </w:pPr>
                  <w:r>
                    <w:rPr>
                      <w:rFonts w:hint="default" w:ascii="Times New Roman" w:hAnsi="Times New Roman" w:cs="Times New Roman"/>
                      <w:color w:val="000000" w:themeColor="text1"/>
                    </w:rPr>
                    <w:t>重点防渗区</w:t>
                  </w:r>
                </w:p>
              </w:tc>
              <w:tc>
                <w:tcPr>
                  <w:tcW w:w="1247" w:type="pct"/>
                  <w:noWrap w:val="0"/>
                  <w:vAlign w:val="center"/>
                </w:tcPr>
                <w:p w14:paraId="350E58FA">
                  <w:pPr>
                    <w:pStyle w:val="12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000000" w:themeColor="text1"/>
                      <w:lang w:val="en-US" w:eastAsia="zh-CN"/>
                    </w:rPr>
                  </w:pPr>
                  <w:r>
                    <w:rPr>
                      <w:rFonts w:hint="default" w:ascii="Times New Roman" w:hAnsi="Times New Roman" w:cs="Times New Roman"/>
                      <w:color w:val="000000" w:themeColor="text1"/>
                      <w:lang w:val="en-US" w:eastAsia="zh-CN"/>
                    </w:rPr>
                    <w:t>化学品库、储罐区、注油区、浇筑固化区和危废间</w:t>
                  </w:r>
                </w:p>
              </w:tc>
              <w:tc>
                <w:tcPr>
                  <w:tcW w:w="3009" w:type="pct"/>
                  <w:noWrap w:val="0"/>
                  <w:vAlign w:val="center"/>
                </w:tcPr>
                <w:p w14:paraId="54B6B8AF">
                  <w:pPr>
                    <w:pStyle w:val="12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lang w:val="en-US" w:eastAsia="zh-CN"/>
                    </w:rPr>
                  </w:pPr>
                  <w:r>
                    <w:rPr>
                      <w:rFonts w:hint="default" w:ascii="Times New Roman" w:hAnsi="Times New Roman" w:cs="Times New Roman"/>
                      <w:color w:val="000000" w:themeColor="text1"/>
                    </w:rPr>
                    <w:t>等效黏土防渗层Mb≥6.0m，渗透系数≤1.0×10</w:t>
                  </w:r>
                  <w:r>
                    <w:rPr>
                      <w:rFonts w:hint="default" w:ascii="Times New Roman" w:hAnsi="Times New Roman" w:cs="Times New Roman"/>
                      <w:color w:val="000000" w:themeColor="text1"/>
                      <w:vertAlign w:val="superscript"/>
                    </w:rPr>
                    <w:t>-7</w:t>
                  </w:r>
                  <w:r>
                    <w:rPr>
                      <w:rFonts w:hint="default" w:ascii="Times New Roman" w:hAnsi="Times New Roman" w:cs="Times New Roman"/>
                      <w:color w:val="000000" w:themeColor="text1"/>
                    </w:rPr>
                    <w:t>cm/s</w:t>
                  </w:r>
                  <w:r>
                    <w:rPr>
                      <w:rFonts w:hint="eastAsia"/>
                      <w:color w:val="000000" w:themeColor="text1"/>
                      <w:lang w:eastAsia="zh-CN"/>
                    </w:rPr>
                    <w:t>，</w:t>
                  </w:r>
                  <w:r>
                    <w:rPr>
                      <w:rFonts w:hint="eastAsia"/>
                      <w:color w:val="000000" w:themeColor="text1"/>
                      <w:lang w:val="en-US" w:eastAsia="zh-CN"/>
                    </w:rPr>
                    <w:t>危废间按照</w:t>
                  </w:r>
                  <w:r>
                    <w:rPr>
                      <w:rFonts w:hint="default" w:ascii="Times New Roman" w:hAnsi="Times New Roman" w:cs="Times New Roman"/>
                      <w:color w:val="000000" w:themeColor="text1"/>
                      <w:sz w:val="21"/>
                      <w:szCs w:val="21"/>
                      <w:lang w:val="en-US" w:eastAsia="zh-CN"/>
                    </w:rPr>
                    <w:t>GB18597</w:t>
                  </w:r>
                  <w:r>
                    <w:rPr>
                      <w:rFonts w:hint="eastAsia" w:cs="Times New Roman"/>
                      <w:color w:val="000000" w:themeColor="text1"/>
                      <w:sz w:val="21"/>
                      <w:szCs w:val="21"/>
                      <w:lang w:val="en-US" w:eastAsia="zh-CN"/>
                    </w:rPr>
                    <w:t>标准落实防渗</w:t>
                  </w:r>
                </w:p>
              </w:tc>
            </w:tr>
            <w:tr w14:paraId="1CA54C0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743" w:type="pct"/>
                  <w:noWrap w:val="0"/>
                  <w:vAlign w:val="center"/>
                </w:tcPr>
                <w:p w14:paraId="5A1D6261">
                  <w:pPr>
                    <w:pStyle w:val="12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000000" w:themeColor="text1"/>
                    </w:rPr>
                  </w:pPr>
                  <w:r>
                    <w:rPr>
                      <w:rFonts w:hint="default" w:ascii="Times New Roman" w:hAnsi="Times New Roman" w:cs="Times New Roman"/>
                      <w:color w:val="000000" w:themeColor="text1"/>
                    </w:rPr>
                    <w:t>一般防渗区</w:t>
                  </w:r>
                </w:p>
              </w:tc>
              <w:tc>
                <w:tcPr>
                  <w:tcW w:w="1247" w:type="pct"/>
                  <w:noWrap w:val="0"/>
                  <w:vAlign w:val="center"/>
                </w:tcPr>
                <w:p w14:paraId="61E27DF4">
                  <w:pPr>
                    <w:pStyle w:val="12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000000" w:themeColor="text1"/>
                      <w:lang w:val="en-US" w:eastAsia="zh-CN"/>
                    </w:rPr>
                  </w:pPr>
                  <w:r>
                    <w:rPr>
                      <w:rFonts w:hint="eastAsia" w:ascii="Times New Roman" w:hAnsi="Times New Roman" w:cs="Times New Roman"/>
                      <w:color w:val="000000" w:themeColor="text1"/>
                      <w:lang w:val="en-US" w:eastAsia="zh-CN"/>
                    </w:rPr>
                    <w:t>其他生产区域</w:t>
                  </w:r>
                </w:p>
              </w:tc>
              <w:tc>
                <w:tcPr>
                  <w:tcW w:w="3009" w:type="pct"/>
                  <w:noWrap w:val="0"/>
                  <w:vAlign w:val="center"/>
                </w:tcPr>
                <w:p w14:paraId="3805A2BD">
                  <w:pPr>
                    <w:pStyle w:val="12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lang w:val="en-US" w:eastAsia="zh-CN"/>
                    </w:rPr>
                  </w:pPr>
                  <w:r>
                    <w:rPr>
                      <w:rFonts w:hint="default" w:ascii="Times New Roman" w:hAnsi="Times New Roman" w:cs="Times New Roman"/>
                      <w:color w:val="000000" w:themeColor="text1"/>
                    </w:rPr>
                    <w:t>等效黏土防渗层Mb≥1.5m，渗透系数≤1.0×10</w:t>
                  </w:r>
                  <w:r>
                    <w:rPr>
                      <w:rFonts w:hint="default" w:ascii="Times New Roman" w:hAnsi="Times New Roman" w:cs="Times New Roman"/>
                      <w:color w:val="000000" w:themeColor="text1"/>
                      <w:vertAlign w:val="superscript"/>
                    </w:rPr>
                    <w:t>-7</w:t>
                  </w:r>
                  <w:r>
                    <w:rPr>
                      <w:rFonts w:hint="default" w:ascii="Times New Roman" w:hAnsi="Times New Roman" w:cs="Times New Roman"/>
                      <w:color w:val="000000" w:themeColor="text1"/>
                    </w:rPr>
                    <w:t>cm/s</w:t>
                  </w:r>
                  <w:r>
                    <w:rPr>
                      <w:rFonts w:hint="eastAsia" w:cs="Times New Roman"/>
                      <w:color w:val="000000" w:themeColor="text1"/>
                      <w:lang w:eastAsia="zh-CN"/>
                    </w:rPr>
                    <w:t>，</w:t>
                  </w:r>
                  <w:r>
                    <w:rPr>
                      <w:rFonts w:hint="eastAsia" w:cs="Times New Roman"/>
                      <w:color w:val="000000" w:themeColor="text1"/>
                      <w:lang w:val="en-US" w:eastAsia="zh-CN"/>
                    </w:rPr>
                    <w:t>一般固废间参照GB18599标准落实防渗</w:t>
                  </w:r>
                </w:p>
              </w:tc>
            </w:tr>
            <w:tr w14:paraId="24370BD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743" w:type="pct"/>
                  <w:noWrap w:val="0"/>
                  <w:vAlign w:val="center"/>
                </w:tcPr>
                <w:p w14:paraId="6C65925E">
                  <w:pPr>
                    <w:pStyle w:val="12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000000" w:themeColor="text1"/>
                      <w:lang w:val="en-US" w:eastAsia="zh-CN"/>
                    </w:rPr>
                  </w:pPr>
                  <w:r>
                    <w:rPr>
                      <w:rFonts w:hint="eastAsia" w:cs="Times New Roman"/>
                      <w:color w:val="000000" w:themeColor="text1"/>
                      <w:lang w:val="en-US" w:eastAsia="zh-CN"/>
                    </w:rPr>
                    <w:t>简单防渗</w:t>
                  </w:r>
                </w:p>
              </w:tc>
              <w:tc>
                <w:tcPr>
                  <w:tcW w:w="1247" w:type="pct"/>
                  <w:noWrap w:val="0"/>
                  <w:vAlign w:val="center"/>
                </w:tcPr>
                <w:p w14:paraId="203DE1EA">
                  <w:pPr>
                    <w:pStyle w:val="12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000000" w:themeColor="text1"/>
                      <w:lang w:val="en-US" w:eastAsia="zh-CN"/>
                    </w:rPr>
                  </w:pPr>
                  <w:r>
                    <w:rPr>
                      <w:rFonts w:hint="eastAsia" w:cs="Times New Roman"/>
                      <w:color w:val="000000" w:themeColor="text1"/>
                      <w:lang w:val="en-US" w:eastAsia="zh-CN"/>
                    </w:rPr>
                    <w:t>除以上区域外</w:t>
                  </w:r>
                </w:p>
              </w:tc>
              <w:tc>
                <w:tcPr>
                  <w:tcW w:w="3009" w:type="pct"/>
                  <w:noWrap w:val="0"/>
                  <w:vAlign w:val="center"/>
                </w:tcPr>
                <w:p w14:paraId="57449A62">
                  <w:pPr>
                    <w:pStyle w:val="12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000000" w:themeColor="text1"/>
                      <w:lang w:val="en-US" w:eastAsia="zh-CN"/>
                    </w:rPr>
                  </w:pPr>
                  <w:r>
                    <w:rPr>
                      <w:rFonts w:hint="eastAsia" w:cs="Times New Roman"/>
                      <w:color w:val="000000" w:themeColor="text1"/>
                      <w:lang w:val="en-US" w:eastAsia="zh-CN"/>
                    </w:rPr>
                    <w:t>一般地面硬化（企业租赁厂区办公室、道路等已落实简单防渗）</w:t>
                  </w:r>
                </w:p>
              </w:tc>
            </w:tr>
          </w:tbl>
          <w:p w14:paraId="24A8C54E">
            <w:pPr>
              <w:pStyle w:val="117"/>
              <w:keepNext w:val="0"/>
              <w:keepLines w:val="0"/>
              <w:pageBreakBefore w:val="0"/>
              <w:widowControl w:val="0"/>
              <w:kinsoku/>
              <w:wordWrap/>
              <w:overflowPunct/>
              <w:topLinePunct w:val="0"/>
              <w:autoSpaceDE/>
              <w:autoSpaceDN/>
              <w:bidi w:val="0"/>
              <w:adjustRightInd/>
              <w:snapToGrid/>
              <w:spacing w:line="360" w:lineRule="auto"/>
              <w:ind w:firstLine="420"/>
              <w:textAlignment w:val="auto"/>
              <w:rPr>
                <w:color w:val="000000" w:themeColor="text1"/>
                <w:sz w:val="24"/>
                <w:szCs w:val="24"/>
              </w:rPr>
            </w:pPr>
            <w:r>
              <w:rPr>
                <w:color w:val="000000" w:themeColor="text1"/>
                <w:sz w:val="24"/>
                <w:szCs w:val="24"/>
              </w:rPr>
              <w:t>除此之外，建议项目运营后还应加强现场巡查</w:t>
            </w:r>
            <w:r>
              <w:rPr>
                <w:rFonts w:hint="eastAsia"/>
                <w:color w:val="000000" w:themeColor="text1"/>
                <w:sz w:val="24"/>
                <w:szCs w:val="24"/>
                <w:lang w:eastAsia="zh-CN"/>
              </w:rPr>
              <w:t>，</w:t>
            </w:r>
            <w:r>
              <w:rPr>
                <w:color w:val="000000" w:themeColor="text1"/>
                <w:sz w:val="24"/>
                <w:szCs w:val="24"/>
              </w:rPr>
              <w:t>重点检查有无渗漏情况。若发现问题，及时分析原因，找到泄漏点制定整改措施，尽快修补，确保防腐防渗层的完整性。</w:t>
            </w:r>
          </w:p>
          <w:p w14:paraId="55A7D24C">
            <w:pPr>
              <w:pStyle w:val="117"/>
              <w:keepNext w:val="0"/>
              <w:keepLines w:val="0"/>
              <w:pageBreakBefore w:val="0"/>
              <w:widowControl w:val="0"/>
              <w:kinsoku/>
              <w:wordWrap/>
              <w:overflowPunct/>
              <w:topLinePunct w:val="0"/>
              <w:autoSpaceDE/>
              <w:autoSpaceDN/>
              <w:bidi w:val="0"/>
              <w:adjustRightInd/>
              <w:snapToGrid/>
              <w:spacing w:line="360" w:lineRule="auto"/>
              <w:ind w:firstLine="420"/>
              <w:textAlignment w:val="auto"/>
              <w:rPr>
                <w:color w:val="000000" w:themeColor="text1"/>
                <w:sz w:val="24"/>
                <w:szCs w:val="24"/>
              </w:rPr>
            </w:pPr>
            <w:r>
              <w:rPr>
                <w:color w:val="000000" w:themeColor="text1"/>
                <w:sz w:val="24"/>
                <w:szCs w:val="24"/>
              </w:rPr>
              <w:t>经采取以上措施后，可以有效避免对土壤、地下水造成污染。</w:t>
            </w:r>
          </w:p>
          <w:p w14:paraId="2754DEB5">
            <w:pPr>
              <w:keepNext w:val="0"/>
              <w:keepLines w:val="0"/>
              <w:pageBreakBefore w:val="0"/>
              <w:widowControl w:val="0"/>
              <w:numPr>
                <w:ilvl w:val="0"/>
                <w:numId w:val="0"/>
              </w:numPr>
              <w:tabs>
                <w:tab w:val="left" w:pos="1215"/>
              </w:tabs>
              <w:kinsoku/>
              <w:wordWrap/>
              <w:overflowPunct/>
              <w:topLinePunct w:val="0"/>
              <w:bidi w:val="0"/>
              <w:adjustRightInd w:val="0"/>
              <w:snapToGrid w:val="0"/>
              <w:spacing w:line="360" w:lineRule="auto"/>
              <w:jc w:val="left"/>
              <w:textAlignment w:val="auto"/>
              <w:rPr>
                <w:rFonts w:hint="default" w:ascii="Times New Roman" w:hAnsi="Times New Roman" w:cs="Times New Roman"/>
                <w:b/>
                <w:bCs/>
                <w:color w:val="000000" w:themeColor="text1"/>
                <w:sz w:val="24"/>
                <w:szCs w:val="24"/>
              </w:rPr>
            </w:pPr>
            <w:r>
              <w:rPr>
                <w:rFonts w:hint="default" w:ascii="Times New Roman" w:hAnsi="Times New Roman" w:cs="Times New Roman"/>
                <w:b/>
                <w:bCs/>
                <w:color w:val="000000" w:themeColor="text1"/>
                <w:sz w:val="24"/>
                <w:szCs w:val="24"/>
                <w:lang w:val="en-US" w:eastAsia="zh-CN"/>
              </w:rPr>
              <w:t>六、</w:t>
            </w:r>
            <w:r>
              <w:rPr>
                <w:rFonts w:hint="default" w:ascii="Times New Roman" w:hAnsi="Times New Roman" w:cs="Times New Roman"/>
                <w:b/>
                <w:bCs/>
                <w:color w:val="000000" w:themeColor="text1"/>
                <w:sz w:val="24"/>
                <w:szCs w:val="24"/>
              </w:rPr>
              <w:t>环境风险</w:t>
            </w:r>
          </w:p>
          <w:p w14:paraId="365D32C4">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宋体" w:cs="Times New Roman"/>
                <w:b w:val="0"/>
                <w:bCs w:val="0"/>
                <w:color w:val="000000" w:themeColor="text1"/>
                <w:sz w:val="24"/>
                <w:szCs w:val="24"/>
                <w:lang w:val="en-US" w:eastAsia="zh-CN"/>
              </w:rPr>
            </w:pPr>
            <w:r>
              <w:rPr>
                <w:rFonts w:hint="eastAsia" w:ascii="Times New Roman" w:hAnsi="Times New Roman" w:cs="Times New Roman"/>
                <w:b w:val="0"/>
                <w:bCs w:val="0"/>
                <w:color w:val="000000" w:themeColor="text1"/>
                <w:sz w:val="24"/>
                <w:szCs w:val="24"/>
                <w:lang w:val="en-US" w:eastAsia="zh-CN"/>
              </w:rPr>
              <w:t>1、</w:t>
            </w:r>
            <w:r>
              <w:rPr>
                <w:rFonts w:hint="default" w:ascii="Times New Roman" w:hAnsi="Times New Roman" w:cs="Times New Roman"/>
                <w:b w:val="0"/>
                <w:bCs w:val="0"/>
                <w:color w:val="000000" w:themeColor="text1"/>
                <w:sz w:val="24"/>
                <w:szCs w:val="24"/>
                <w:lang w:val="en-US" w:eastAsia="zh-CN"/>
              </w:rPr>
              <w:t>主要风险物质及分布情况</w:t>
            </w:r>
          </w:p>
          <w:p w14:paraId="5C62361C">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sz w:val="24"/>
                <w:szCs w:val="24"/>
                <w:lang w:val="en-US" w:eastAsia="zh-CN"/>
              </w:rPr>
            </w:pPr>
            <w:r>
              <w:rPr>
                <w:rFonts w:hint="default" w:ascii="Times New Roman" w:hAnsi="Times New Roman" w:eastAsia="宋体" w:cs="Times New Roman"/>
                <w:color w:val="000000" w:themeColor="text1"/>
                <w:sz w:val="24"/>
                <w:szCs w:val="24"/>
                <w:lang w:val="en-US" w:eastAsia="zh-CN"/>
              </w:rPr>
              <w:t>本项目涉及的风险物质主要为</w:t>
            </w:r>
            <w:r>
              <w:rPr>
                <w:rFonts w:hint="eastAsia" w:ascii="Times New Roman" w:hAnsi="Times New Roman" w:eastAsia="宋体" w:cs="Times New Roman"/>
                <w:color w:val="000000" w:themeColor="text1"/>
                <w:sz w:val="24"/>
                <w:szCs w:val="24"/>
                <w:lang w:val="en-US" w:eastAsia="zh-CN"/>
              </w:rPr>
              <w:t>环氧树脂A、B料、变压器油</w:t>
            </w:r>
            <w:r>
              <w:rPr>
                <w:rFonts w:hint="default" w:ascii="Times New Roman" w:hAnsi="Times New Roman" w:eastAsia="宋体" w:cs="Times New Roman"/>
                <w:color w:val="000000" w:themeColor="text1"/>
                <w:sz w:val="24"/>
                <w:szCs w:val="24"/>
                <w:lang w:val="en-US" w:eastAsia="zh-CN"/>
              </w:rPr>
              <w:t>、</w:t>
            </w:r>
            <w:r>
              <w:rPr>
                <w:rFonts w:hint="eastAsia" w:ascii="Times New Roman" w:hAnsi="Times New Roman" w:eastAsia="宋体" w:cs="Times New Roman"/>
                <w:color w:val="000000" w:themeColor="text1"/>
                <w:sz w:val="24"/>
                <w:szCs w:val="24"/>
                <w:lang w:val="en-US" w:eastAsia="zh-CN"/>
              </w:rPr>
              <w:t>脱模剂、乙炔和</w:t>
            </w:r>
            <w:r>
              <w:rPr>
                <w:rFonts w:hint="default" w:ascii="Times New Roman" w:hAnsi="Times New Roman" w:eastAsia="宋体" w:cs="Times New Roman"/>
                <w:color w:val="000000" w:themeColor="text1"/>
                <w:sz w:val="24"/>
                <w:szCs w:val="24"/>
                <w:lang w:val="en-US" w:eastAsia="zh-CN"/>
              </w:rPr>
              <w:t>危险废物</w:t>
            </w:r>
            <w:r>
              <w:rPr>
                <w:rFonts w:hint="eastAsia" w:ascii="Times New Roman" w:hAnsi="Times New Roman" w:eastAsia="宋体" w:cs="Times New Roman"/>
                <w:color w:val="000000" w:themeColor="text1"/>
                <w:sz w:val="24"/>
                <w:szCs w:val="24"/>
                <w:lang w:val="en-US" w:eastAsia="zh-CN"/>
              </w:rPr>
              <w:t>，其中变压器油储存在4m</w:t>
            </w:r>
            <w:r>
              <w:rPr>
                <w:rFonts w:hint="eastAsia" w:ascii="Times New Roman" w:hAnsi="Times New Roman" w:eastAsia="宋体" w:cs="Times New Roman"/>
                <w:color w:val="000000" w:themeColor="text1"/>
                <w:sz w:val="24"/>
                <w:szCs w:val="24"/>
                <w:vertAlign w:val="superscript"/>
                <w:lang w:val="en-US" w:eastAsia="zh-CN"/>
              </w:rPr>
              <w:t>3</w:t>
            </w:r>
            <w:r>
              <w:rPr>
                <w:rFonts w:hint="eastAsia" w:ascii="Times New Roman" w:hAnsi="Times New Roman" w:eastAsia="宋体" w:cs="Times New Roman"/>
                <w:color w:val="000000" w:themeColor="text1"/>
                <w:sz w:val="24"/>
                <w:szCs w:val="24"/>
                <w:lang w:val="en-US" w:eastAsia="zh-CN"/>
              </w:rPr>
              <w:t>的储罐内，最大贮存量为3t</w:t>
            </w:r>
            <w:r>
              <w:rPr>
                <w:rFonts w:hint="default" w:ascii="Times New Roman" w:hAnsi="Times New Roman" w:eastAsia="宋体" w:cs="Times New Roman"/>
                <w:color w:val="000000" w:themeColor="text1"/>
                <w:sz w:val="24"/>
                <w:szCs w:val="24"/>
                <w:lang w:val="en-US" w:eastAsia="zh-CN"/>
              </w:rPr>
              <w:t>。</w:t>
            </w:r>
          </w:p>
          <w:p w14:paraId="0BD6BF56">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sz w:val="24"/>
                <w:szCs w:val="24"/>
                <w:lang w:val="en-US" w:eastAsia="zh-CN"/>
              </w:rPr>
            </w:pPr>
            <w:r>
              <w:rPr>
                <w:rFonts w:hint="default" w:ascii="Times New Roman" w:hAnsi="Times New Roman" w:eastAsia="宋体" w:cs="Times New Roman"/>
                <w:color w:val="000000" w:themeColor="text1"/>
                <w:sz w:val="24"/>
                <w:szCs w:val="24"/>
                <w:lang w:val="en-US" w:eastAsia="zh-CN"/>
              </w:rPr>
              <w:t>根据《建设项目环境风险评价技术导则》(HJ 169-2018)附录 C，计算所涉及的每种危险物质在场界内的最大存储总量与其在附录 B 中对应临界量的比值 Q。在不同厂区的同一种物质，按其在厂界内的最大存在总量计算。</w:t>
            </w:r>
          </w:p>
          <w:p w14:paraId="78031819">
            <w:pPr>
              <w:ind w:left="0" w:leftChars="0" w:right="0" w:rightChars="0" w:firstLine="0" w:firstLineChars="0"/>
              <w:jc w:val="center"/>
              <w:rPr>
                <w:rFonts w:hint="eastAsia" w:ascii="Times New Roman" w:hAnsi="Times New Roman" w:cs="Times New Roman"/>
                <w:b/>
                <w:bCs/>
                <w:color w:val="000000" w:themeColor="text1"/>
                <w:sz w:val="24"/>
                <w:szCs w:val="24"/>
                <w:lang w:val="en-US" w:eastAsia="zh-CN"/>
              </w:rPr>
            </w:pPr>
            <w:r>
              <w:rPr>
                <w:rFonts w:hint="default" w:ascii="Times New Roman" w:hAnsi="Times New Roman" w:cs="Times New Roman"/>
                <w:b/>
                <w:bCs/>
                <w:color w:val="000000" w:themeColor="text1"/>
                <w:sz w:val="24"/>
                <w:szCs w:val="24"/>
                <w:lang w:val="en-US" w:eastAsia="zh-CN"/>
              </w:rPr>
              <w:t>表4-</w:t>
            </w:r>
            <w:r>
              <w:rPr>
                <w:rFonts w:hint="eastAsia" w:cs="Times New Roman"/>
                <w:b/>
                <w:bCs/>
                <w:color w:val="000000" w:themeColor="text1"/>
                <w:sz w:val="24"/>
                <w:szCs w:val="24"/>
                <w:lang w:val="en-US" w:eastAsia="zh-CN"/>
              </w:rPr>
              <w:t>20</w:t>
            </w:r>
            <w:r>
              <w:rPr>
                <w:rFonts w:hint="default" w:ascii="Times New Roman" w:hAnsi="Times New Roman" w:cs="Times New Roman"/>
                <w:b/>
                <w:bCs/>
                <w:color w:val="000000" w:themeColor="text1"/>
                <w:sz w:val="24"/>
                <w:szCs w:val="24"/>
                <w:lang w:val="en-US" w:eastAsia="zh-CN"/>
              </w:rPr>
              <w:t xml:space="preserve">  </w:t>
            </w:r>
            <w:r>
              <w:rPr>
                <w:rFonts w:hint="eastAsia" w:ascii="Times New Roman" w:hAnsi="Times New Roman" w:cs="Times New Roman"/>
                <w:b/>
                <w:bCs/>
                <w:color w:val="000000" w:themeColor="text1"/>
                <w:sz w:val="24"/>
                <w:szCs w:val="24"/>
                <w:lang w:val="en-US" w:eastAsia="zh-CN"/>
              </w:rPr>
              <w:t>建设项目Q值确定表</w:t>
            </w:r>
          </w:p>
          <w:tbl>
            <w:tblPr>
              <w:tblStyle w:val="3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4"/>
              <w:gridCol w:w="2311"/>
              <w:gridCol w:w="1434"/>
              <w:gridCol w:w="1495"/>
              <w:gridCol w:w="1357"/>
              <w:gridCol w:w="1443"/>
            </w:tblGrid>
            <w:tr w14:paraId="26548B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3" w:type="pct"/>
                  <w:noWrap w:val="0"/>
                  <w:vAlign w:val="center"/>
                </w:tcPr>
                <w:p w14:paraId="41D6832A">
                  <w:pPr>
                    <w:pStyle w:val="12"/>
                    <w:spacing w:after="0"/>
                    <w:ind w:left="0" w:leftChars="0"/>
                    <w:jc w:val="center"/>
                    <w:rPr>
                      <w:rFonts w:hint="default" w:ascii="Times New Roman" w:hAnsi="Times New Roman" w:cs="Times New Roman"/>
                      <w:color w:val="000000" w:themeColor="text1"/>
                      <w:sz w:val="21"/>
                      <w:szCs w:val="21"/>
                      <w:lang w:val="en-US" w:eastAsia="zh-CN"/>
                    </w:rPr>
                  </w:pPr>
                  <w:r>
                    <w:rPr>
                      <w:rFonts w:hint="default" w:ascii="Times New Roman" w:hAnsi="Times New Roman" w:cs="Times New Roman"/>
                      <w:color w:val="000000" w:themeColor="text1"/>
                      <w:sz w:val="21"/>
                      <w:szCs w:val="21"/>
                      <w:lang w:val="en-US" w:eastAsia="zh-CN"/>
                    </w:rPr>
                    <w:t>序号</w:t>
                  </w:r>
                </w:p>
              </w:tc>
              <w:tc>
                <w:tcPr>
                  <w:tcW w:w="1318" w:type="pct"/>
                  <w:noWrap w:val="0"/>
                  <w:vAlign w:val="center"/>
                </w:tcPr>
                <w:p w14:paraId="494DB2E0">
                  <w:pPr>
                    <w:pStyle w:val="12"/>
                    <w:spacing w:after="0"/>
                    <w:ind w:left="0" w:leftChars="0"/>
                    <w:jc w:val="center"/>
                    <w:rPr>
                      <w:rFonts w:hint="default" w:ascii="Times New Roman" w:hAnsi="Times New Roman" w:cs="Times New Roman"/>
                      <w:color w:val="000000" w:themeColor="text1"/>
                      <w:sz w:val="21"/>
                      <w:szCs w:val="21"/>
                      <w:lang w:val="en-US" w:eastAsia="zh-CN"/>
                    </w:rPr>
                  </w:pPr>
                  <w:r>
                    <w:rPr>
                      <w:rFonts w:hint="default" w:ascii="Times New Roman" w:hAnsi="Times New Roman" w:cs="Times New Roman"/>
                      <w:color w:val="000000" w:themeColor="text1"/>
                      <w:sz w:val="21"/>
                      <w:szCs w:val="21"/>
                      <w:lang w:val="en-US" w:eastAsia="zh-CN"/>
                    </w:rPr>
                    <w:t>物质名称</w:t>
                  </w:r>
                </w:p>
              </w:tc>
              <w:tc>
                <w:tcPr>
                  <w:tcW w:w="818" w:type="pct"/>
                  <w:noWrap w:val="0"/>
                  <w:vAlign w:val="center"/>
                </w:tcPr>
                <w:p w14:paraId="1CACDD34">
                  <w:pPr>
                    <w:pStyle w:val="12"/>
                    <w:spacing w:after="0"/>
                    <w:ind w:left="0" w:leftChars="0"/>
                    <w:jc w:val="center"/>
                    <w:rPr>
                      <w:rFonts w:hint="default" w:ascii="Times New Roman" w:hAnsi="Times New Roman" w:cs="Times New Roman"/>
                      <w:color w:val="000000" w:themeColor="text1"/>
                      <w:sz w:val="21"/>
                      <w:szCs w:val="21"/>
                      <w:lang w:val="en-US" w:eastAsia="zh-CN"/>
                    </w:rPr>
                  </w:pPr>
                  <w:r>
                    <w:rPr>
                      <w:rFonts w:hint="default" w:ascii="Times New Roman" w:hAnsi="Times New Roman" w:cs="Times New Roman"/>
                      <w:color w:val="000000" w:themeColor="text1"/>
                      <w:sz w:val="21"/>
                      <w:szCs w:val="21"/>
                      <w:lang w:val="en-US" w:eastAsia="zh-CN"/>
                    </w:rPr>
                    <w:t>最大</w:t>
                  </w:r>
                  <w:r>
                    <w:rPr>
                      <w:rFonts w:hint="eastAsia" w:cs="Times New Roman"/>
                      <w:color w:val="000000" w:themeColor="text1"/>
                      <w:sz w:val="21"/>
                      <w:szCs w:val="21"/>
                      <w:lang w:val="en-US" w:eastAsia="zh-CN"/>
                    </w:rPr>
                    <w:t>储存量和在线量</w:t>
                  </w:r>
                  <w:r>
                    <w:rPr>
                      <w:rFonts w:hint="default" w:ascii="Times New Roman" w:hAnsi="Times New Roman" w:cs="Times New Roman"/>
                      <w:color w:val="000000" w:themeColor="text1"/>
                      <w:sz w:val="21"/>
                      <w:szCs w:val="21"/>
                      <w:lang w:val="en-US" w:eastAsia="zh-CN"/>
                    </w:rPr>
                    <w:t>qn/t</w:t>
                  </w:r>
                </w:p>
              </w:tc>
              <w:tc>
                <w:tcPr>
                  <w:tcW w:w="852" w:type="pct"/>
                  <w:noWrap w:val="0"/>
                  <w:vAlign w:val="center"/>
                </w:tcPr>
                <w:p w14:paraId="394E4FD0">
                  <w:pPr>
                    <w:pStyle w:val="12"/>
                    <w:spacing w:after="0"/>
                    <w:ind w:left="0" w:leftChars="0"/>
                    <w:jc w:val="center"/>
                    <w:rPr>
                      <w:rFonts w:hint="default" w:ascii="Times New Roman" w:hAnsi="Times New Roman" w:cs="Times New Roman"/>
                      <w:color w:val="000000" w:themeColor="text1"/>
                      <w:sz w:val="21"/>
                      <w:szCs w:val="21"/>
                      <w:lang w:val="en-US" w:eastAsia="zh-CN"/>
                    </w:rPr>
                  </w:pPr>
                  <w:r>
                    <w:rPr>
                      <w:rFonts w:hint="eastAsia" w:ascii="Times New Roman" w:hAnsi="Times New Roman" w:cs="Times New Roman"/>
                      <w:color w:val="000000" w:themeColor="text1"/>
                      <w:sz w:val="21"/>
                      <w:szCs w:val="21"/>
                      <w:lang w:val="en-US" w:eastAsia="zh-CN"/>
                    </w:rPr>
                    <w:t>对应风险物质类别</w:t>
                  </w:r>
                </w:p>
              </w:tc>
              <w:tc>
                <w:tcPr>
                  <w:tcW w:w="774" w:type="pct"/>
                  <w:noWrap w:val="0"/>
                  <w:vAlign w:val="center"/>
                </w:tcPr>
                <w:p w14:paraId="533DF0A0">
                  <w:pPr>
                    <w:pStyle w:val="12"/>
                    <w:spacing w:after="0"/>
                    <w:ind w:left="0" w:leftChars="0"/>
                    <w:jc w:val="center"/>
                    <w:rPr>
                      <w:rFonts w:hint="default" w:ascii="Times New Roman" w:hAnsi="Times New Roman" w:cs="Times New Roman"/>
                      <w:color w:val="000000" w:themeColor="text1"/>
                      <w:sz w:val="21"/>
                      <w:szCs w:val="21"/>
                      <w:lang w:val="en-US" w:eastAsia="zh-CN"/>
                    </w:rPr>
                  </w:pPr>
                  <w:r>
                    <w:rPr>
                      <w:rFonts w:hint="default" w:ascii="Times New Roman" w:hAnsi="Times New Roman" w:cs="Times New Roman"/>
                      <w:color w:val="000000" w:themeColor="text1"/>
                      <w:sz w:val="21"/>
                      <w:szCs w:val="21"/>
                      <w:lang w:val="en-US" w:eastAsia="zh-CN"/>
                    </w:rPr>
                    <w:t>临界量Qn/t</w:t>
                  </w:r>
                </w:p>
              </w:tc>
              <w:tc>
                <w:tcPr>
                  <w:tcW w:w="823" w:type="pct"/>
                  <w:noWrap w:val="0"/>
                  <w:vAlign w:val="center"/>
                </w:tcPr>
                <w:p w14:paraId="6B5FB448">
                  <w:pPr>
                    <w:pStyle w:val="12"/>
                    <w:spacing w:after="0"/>
                    <w:ind w:left="0" w:leftChars="0"/>
                    <w:jc w:val="center"/>
                    <w:rPr>
                      <w:rFonts w:hint="default" w:ascii="Times New Roman" w:hAnsi="Times New Roman" w:cs="Times New Roman"/>
                      <w:color w:val="000000" w:themeColor="text1"/>
                      <w:sz w:val="21"/>
                      <w:szCs w:val="21"/>
                      <w:lang w:val="en-US" w:eastAsia="zh-CN"/>
                    </w:rPr>
                  </w:pPr>
                  <w:r>
                    <w:rPr>
                      <w:rFonts w:hint="default" w:ascii="Times New Roman" w:hAnsi="Times New Roman" w:cs="Times New Roman"/>
                      <w:color w:val="000000" w:themeColor="text1"/>
                      <w:sz w:val="21"/>
                      <w:szCs w:val="21"/>
                      <w:lang w:val="en-US" w:eastAsia="zh-CN"/>
                    </w:rPr>
                    <w:t>该种危险物质Q值</w:t>
                  </w:r>
                </w:p>
              </w:tc>
            </w:tr>
            <w:tr w14:paraId="2398F3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13" w:type="pct"/>
                  <w:noWrap w:val="0"/>
                  <w:vAlign w:val="center"/>
                </w:tcPr>
                <w:p w14:paraId="5B91F143">
                  <w:pPr>
                    <w:pStyle w:val="12"/>
                    <w:spacing w:after="0"/>
                    <w:ind w:left="0" w:leftChars="0"/>
                    <w:jc w:val="center"/>
                    <w:rPr>
                      <w:rFonts w:hint="default" w:ascii="Times New Roman" w:hAnsi="Times New Roman" w:cs="Times New Roman"/>
                      <w:color w:val="000000" w:themeColor="text1"/>
                      <w:sz w:val="21"/>
                      <w:szCs w:val="21"/>
                      <w:lang w:val="en-US" w:eastAsia="zh-CN"/>
                    </w:rPr>
                  </w:pPr>
                  <w:r>
                    <w:rPr>
                      <w:rFonts w:hint="default" w:ascii="Times New Roman" w:hAnsi="Times New Roman" w:cs="Times New Roman"/>
                      <w:color w:val="000000" w:themeColor="text1"/>
                      <w:sz w:val="21"/>
                      <w:szCs w:val="21"/>
                      <w:lang w:val="en-US" w:eastAsia="zh-CN"/>
                    </w:rPr>
                    <w:t>1</w:t>
                  </w:r>
                </w:p>
              </w:tc>
              <w:tc>
                <w:tcPr>
                  <w:tcW w:w="1318" w:type="pct"/>
                  <w:noWrap w:val="0"/>
                  <w:vAlign w:val="center"/>
                </w:tcPr>
                <w:p w14:paraId="18FDF555">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环氧树脂A、B料</w:t>
                  </w:r>
                </w:p>
              </w:tc>
              <w:tc>
                <w:tcPr>
                  <w:tcW w:w="818" w:type="pct"/>
                  <w:noWrap w:val="0"/>
                  <w:vAlign w:val="center"/>
                </w:tcPr>
                <w:p w14:paraId="0C4072CE">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3</w:t>
                  </w:r>
                </w:p>
              </w:tc>
              <w:tc>
                <w:tcPr>
                  <w:tcW w:w="852" w:type="pct"/>
                  <w:vMerge w:val="restart"/>
                  <w:noWrap w:val="0"/>
                  <w:vAlign w:val="center"/>
                </w:tcPr>
                <w:p w14:paraId="2ADA0A9C">
                  <w:pPr>
                    <w:jc w:val="center"/>
                    <w:rPr>
                      <w:rFonts w:hint="default" w:ascii="Times New Roman" w:hAnsi="Times New Roman" w:eastAsia="宋体" w:cs="Times New Roman"/>
                      <w:color w:val="000000" w:themeColor="text1"/>
                      <w:sz w:val="21"/>
                      <w:szCs w:val="21"/>
                      <w:lang w:val="en-US" w:eastAsia="zh-CN"/>
                    </w:rPr>
                  </w:pPr>
                  <w:r>
                    <w:rPr>
                      <w:rFonts w:hint="default" w:ascii="Times New Roman" w:hAnsi="Times New Roman" w:eastAsia="宋体" w:cs="Times New Roman"/>
                      <w:color w:val="000000" w:themeColor="text1"/>
                      <w:sz w:val="21"/>
                      <w:szCs w:val="21"/>
                      <w:lang w:val="en-US" w:eastAsia="zh-CN"/>
                    </w:rPr>
                    <w:t>危害水环境物质（急性毒性类别 1）</w:t>
                  </w:r>
                </w:p>
              </w:tc>
              <w:tc>
                <w:tcPr>
                  <w:tcW w:w="774" w:type="pct"/>
                  <w:noWrap w:val="0"/>
                  <w:vAlign w:val="center"/>
                </w:tcPr>
                <w:p w14:paraId="4077BAC0">
                  <w:pPr>
                    <w:ind w:right="210"/>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cs="Times New Roman"/>
                      <w:color w:val="000000" w:themeColor="text1"/>
                      <w:sz w:val="21"/>
                      <w:szCs w:val="21"/>
                      <w:lang w:val="en-US" w:eastAsia="zh-CN"/>
                    </w:rPr>
                    <w:t>100</w:t>
                  </w:r>
                </w:p>
              </w:tc>
              <w:tc>
                <w:tcPr>
                  <w:tcW w:w="823" w:type="pct"/>
                  <w:noWrap w:val="0"/>
                  <w:vAlign w:val="center"/>
                </w:tcPr>
                <w:p w14:paraId="07383D40">
                  <w:pPr>
                    <w:pStyle w:val="12"/>
                    <w:spacing w:after="0"/>
                    <w:ind w:left="0" w:leftChars="0"/>
                    <w:jc w:val="center"/>
                    <w:rPr>
                      <w:rFonts w:hint="default" w:ascii="Times New Roman" w:hAnsi="Times New Roman" w:cs="Times New Roman"/>
                      <w:color w:val="000000" w:themeColor="text1"/>
                      <w:sz w:val="21"/>
                      <w:szCs w:val="21"/>
                      <w:lang w:val="en-US" w:eastAsia="zh-CN"/>
                    </w:rPr>
                  </w:pPr>
                  <w:r>
                    <w:rPr>
                      <w:rFonts w:hint="eastAsia" w:cs="Times New Roman"/>
                      <w:color w:val="000000" w:themeColor="text1"/>
                      <w:sz w:val="21"/>
                      <w:szCs w:val="21"/>
                      <w:lang w:val="en-US" w:eastAsia="zh-CN"/>
                    </w:rPr>
                    <w:t>0.03</w:t>
                  </w:r>
                </w:p>
              </w:tc>
            </w:tr>
            <w:tr w14:paraId="0C9526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13" w:type="pct"/>
                  <w:noWrap w:val="0"/>
                  <w:vAlign w:val="center"/>
                </w:tcPr>
                <w:p w14:paraId="3A5E82A0">
                  <w:pPr>
                    <w:pStyle w:val="12"/>
                    <w:spacing w:after="0"/>
                    <w:ind w:left="0" w:leftChars="0"/>
                    <w:jc w:val="center"/>
                    <w:rPr>
                      <w:rFonts w:hint="default" w:ascii="Times New Roman" w:hAnsi="Times New Roman" w:cs="Times New Roman"/>
                      <w:color w:val="000000" w:themeColor="text1"/>
                      <w:kern w:val="0"/>
                      <w:sz w:val="21"/>
                      <w:szCs w:val="21"/>
                      <w:lang w:val="en-US" w:eastAsia="zh-CN" w:bidi="ar-SA"/>
                    </w:rPr>
                  </w:pPr>
                  <w:r>
                    <w:rPr>
                      <w:rFonts w:hint="eastAsia" w:cs="Times New Roman"/>
                      <w:color w:val="000000" w:themeColor="text1"/>
                      <w:sz w:val="21"/>
                      <w:szCs w:val="21"/>
                      <w:lang w:val="en-US" w:eastAsia="zh-CN"/>
                    </w:rPr>
                    <w:t>2</w:t>
                  </w:r>
                </w:p>
              </w:tc>
              <w:tc>
                <w:tcPr>
                  <w:tcW w:w="1318" w:type="pct"/>
                  <w:noWrap w:val="0"/>
                  <w:vAlign w:val="center"/>
                </w:tcPr>
                <w:p w14:paraId="4533E261">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脱模</w:t>
                  </w:r>
                  <w:r>
                    <w:rPr>
                      <w:rFonts w:hint="eastAsia" w:cs="Times New Roman"/>
                      <w:color w:val="000000" w:themeColor="text1"/>
                      <w:sz w:val="21"/>
                      <w:szCs w:val="21"/>
                      <w:lang w:val="en-US" w:eastAsia="zh-CN"/>
                    </w:rPr>
                    <w:t>剂</w:t>
                  </w:r>
                </w:p>
              </w:tc>
              <w:tc>
                <w:tcPr>
                  <w:tcW w:w="818" w:type="pct"/>
                  <w:noWrap w:val="0"/>
                  <w:vAlign w:val="center"/>
                </w:tcPr>
                <w:p w14:paraId="44A7BD9C">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0.001</w:t>
                  </w:r>
                </w:p>
              </w:tc>
              <w:tc>
                <w:tcPr>
                  <w:tcW w:w="852" w:type="pct"/>
                  <w:vMerge w:val="continue"/>
                  <w:noWrap w:val="0"/>
                  <w:vAlign w:val="center"/>
                </w:tcPr>
                <w:p w14:paraId="0D6F884F">
                  <w:pPr>
                    <w:jc w:val="center"/>
                    <w:rPr>
                      <w:rFonts w:hint="eastAsia" w:ascii="Times New Roman" w:hAnsi="Times New Roman" w:eastAsia="宋体" w:cs="Times New Roman"/>
                      <w:color w:val="000000" w:themeColor="text1"/>
                      <w:sz w:val="21"/>
                      <w:szCs w:val="21"/>
                      <w:lang w:val="en-US" w:eastAsia="zh-CN"/>
                    </w:rPr>
                  </w:pPr>
                </w:p>
              </w:tc>
              <w:tc>
                <w:tcPr>
                  <w:tcW w:w="774" w:type="pct"/>
                  <w:noWrap w:val="0"/>
                  <w:vAlign w:val="center"/>
                </w:tcPr>
                <w:p w14:paraId="0463BB58">
                  <w:pPr>
                    <w:ind w:right="210"/>
                    <w:jc w:val="center"/>
                    <w:rPr>
                      <w:rFonts w:hint="default" w:ascii="Times New Roman" w:hAnsi="Times New Roman" w:cs="Times New Roman"/>
                      <w:color w:val="000000" w:themeColor="text1"/>
                      <w:sz w:val="21"/>
                      <w:szCs w:val="21"/>
                      <w:lang w:val="en-US" w:eastAsia="zh-CN"/>
                    </w:rPr>
                  </w:pPr>
                  <w:r>
                    <w:rPr>
                      <w:rFonts w:hint="eastAsia" w:ascii="Times New Roman" w:hAnsi="Times New Roman" w:cs="Times New Roman"/>
                      <w:color w:val="000000" w:themeColor="text1"/>
                      <w:sz w:val="21"/>
                      <w:szCs w:val="21"/>
                      <w:lang w:val="en-US" w:eastAsia="zh-CN"/>
                    </w:rPr>
                    <w:t>100</w:t>
                  </w:r>
                </w:p>
              </w:tc>
              <w:tc>
                <w:tcPr>
                  <w:tcW w:w="823" w:type="pct"/>
                  <w:noWrap w:val="0"/>
                  <w:vAlign w:val="center"/>
                </w:tcPr>
                <w:p w14:paraId="30742E60">
                  <w:pPr>
                    <w:pStyle w:val="12"/>
                    <w:spacing w:after="0"/>
                    <w:ind w:left="0" w:leftChars="0"/>
                    <w:jc w:val="center"/>
                    <w:rPr>
                      <w:rFonts w:hint="default" w:cs="Times New Roman"/>
                      <w:color w:val="000000" w:themeColor="text1"/>
                      <w:sz w:val="21"/>
                      <w:szCs w:val="21"/>
                      <w:lang w:val="en-US" w:eastAsia="zh-CN"/>
                    </w:rPr>
                  </w:pPr>
                  <w:r>
                    <w:rPr>
                      <w:rFonts w:hint="eastAsia" w:cs="Times New Roman"/>
                      <w:color w:val="000000" w:themeColor="text1"/>
                      <w:sz w:val="21"/>
                      <w:szCs w:val="21"/>
                      <w:lang w:val="en-US" w:eastAsia="zh-CN"/>
                    </w:rPr>
                    <w:t>0.00001</w:t>
                  </w:r>
                </w:p>
              </w:tc>
            </w:tr>
            <w:tr w14:paraId="76DC47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13" w:type="pct"/>
                  <w:noWrap w:val="0"/>
                  <w:vAlign w:val="center"/>
                </w:tcPr>
                <w:p w14:paraId="46C02348">
                  <w:pPr>
                    <w:pStyle w:val="12"/>
                    <w:spacing w:after="0"/>
                    <w:ind w:left="0" w:leftChars="0"/>
                    <w:jc w:val="center"/>
                    <w:rPr>
                      <w:rFonts w:hint="default" w:ascii="Times New Roman" w:hAnsi="Times New Roman" w:cs="Times New Roman"/>
                      <w:color w:val="000000" w:themeColor="text1"/>
                      <w:kern w:val="0"/>
                      <w:sz w:val="21"/>
                      <w:szCs w:val="21"/>
                      <w:lang w:val="en-US" w:eastAsia="zh-CN" w:bidi="ar-SA"/>
                    </w:rPr>
                  </w:pPr>
                  <w:r>
                    <w:rPr>
                      <w:rFonts w:hint="eastAsia" w:cs="Times New Roman"/>
                      <w:color w:val="000000" w:themeColor="text1"/>
                      <w:sz w:val="21"/>
                      <w:szCs w:val="21"/>
                      <w:lang w:val="en-US" w:eastAsia="zh-CN"/>
                    </w:rPr>
                    <w:t>3</w:t>
                  </w:r>
                </w:p>
              </w:tc>
              <w:tc>
                <w:tcPr>
                  <w:tcW w:w="1318" w:type="pct"/>
                  <w:noWrap w:val="0"/>
                  <w:vAlign w:val="center"/>
                </w:tcPr>
                <w:p w14:paraId="120A3512">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变压器油</w:t>
                  </w:r>
                </w:p>
              </w:tc>
              <w:tc>
                <w:tcPr>
                  <w:tcW w:w="818" w:type="pct"/>
                  <w:noWrap w:val="0"/>
                  <w:vAlign w:val="center"/>
                </w:tcPr>
                <w:p w14:paraId="1CA1FBAD">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3</w:t>
                  </w:r>
                </w:p>
              </w:tc>
              <w:tc>
                <w:tcPr>
                  <w:tcW w:w="852" w:type="pct"/>
                  <w:noWrap w:val="0"/>
                  <w:vAlign w:val="center"/>
                </w:tcPr>
                <w:p w14:paraId="7EEC35C8">
                  <w:pPr>
                    <w:jc w:val="center"/>
                    <w:rPr>
                      <w:rFonts w:hint="eastAsia"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 xml:space="preserve">油类物质 </w:t>
                  </w:r>
                </w:p>
              </w:tc>
              <w:tc>
                <w:tcPr>
                  <w:tcW w:w="774" w:type="pct"/>
                  <w:noWrap w:val="0"/>
                  <w:vAlign w:val="center"/>
                </w:tcPr>
                <w:p w14:paraId="4AB086BA">
                  <w:pPr>
                    <w:ind w:right="210"/>
                    <w:jc w:val="center"/>
                    <w:rPr>
                      <w:rFonts w:hint="default" w:ascii="Times New Roman" w:hAnsi="Times New Roman" w:cs="Times New Roman"/>
                      <w:color w:val="000000" w:themeColor="text1"/>
                      <w:sz w:val="21"/>
                      <w:szCs w:val="21"/>
                      <w:lang w:val="en-US" w:eastAsia="zh-CN"/>
                    </w:rPr>
                  </w:pPr>
                  <w:r>
                    <w:rPr>
                      <w:rFonts w:hint="eastAsia" w:ascii="Times New Roman" w:hAnsi="Times New Roman" w:cs="Times New Roman"/>
                      <w:color w:val="000000" w:themeColor="text1"/>
                      <w:sz w:val="21"/>
                      <w:szCs w:val="21"/>
                      <w:lang w:val="en-US" w:eastAsia="zh-CN"/>
                    </w:rPr>
                    <w:t>2500</w:t>
                  </w:r>
                </w:p>
              </w:tc>
              <w:tc>
                <w:tcPr>
                  <w:tcW w:w="823" w:type="pct"/>
                  <w:noWrap w:val="0"/>
                  <w:vAlign w:val="center"/>
                </w:tcPr>
                <w:p w14:paraId="0943038A">
                  <w:pPr>
                    <w:pStyle w:val="12"/>
                    <w:spacing w:after="0"/>
                    <w:ind w:left="0" w:leftChars="0"/>
                    <w:jc w:val="center"/>
                    <w:rPr>
                      <w:rFonts w:hint="default" w:cs="Times New Roman"/>
                      <w:color w:val="000000" w:themeColor="text1"/>
                      <w:sz w:val="21"/>
                      <w:szCs w:val="21"/>
                      <w:lang w:val="en-US" w:eastAsia="zh-CN"/>
                    </w:rPr>
                  </w:pPr>
                  <w:r>
                    <w:rPr>
                      <w:rFonts w:hint="eastAsia" w:cs="Times New Roman"/>
                      <w:color w:val="000000" w:themeColor="text1"/>
                      <w:sz w:val="21"/>
                      <w:szCs w:val="21"/>
                      <w:lang w:val="en-US" w:eastAsia="zh-CN"/>
                    </w:rPr>
                    <w:t>0.0012</w:t>
                  </w:r>
                </w:p>
              </w:tc>
            </w:tr>
            <w:tr w14:paraId="0AF89D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13" w:type="pct"/>
                  <w:noWrap w:val="0"/>
                  <w:vAlign w:val="center"/>
                </w:tcPr>
                <w:p w14:paraId="2EC909EF">
                  <w:pPr>
                    <w:pStyle w:val="12"/>
                    <w:spacing w:after="0"/>
                    <w:ind w:left="0" w:leftChars="0"/>
                    <w:jc w:val="center"/>
                    <w:rPr>
                      <w:rFonts w:hint="default" w:ascii="Times New Roman" w:hAnsi="Times New Roman" w:cs="Times New Roman"/>
                      <w:color w:val="000000" w:themeColor="text1"/>
                      <w:kern w:val="0"/>
                      <w:sz w:val="21"/>
                      <w:szCs w:val="21"/>
                      <w:lang w:val="en-US" w:eastAsia="zh-CN" w:bidi="ar-SA"/>
                    </w:rPr>
                  </w:pPr>
                  <w:r>
                    <w:rPr>
                      <w:rFonts w:hint="eastAsia" w:cs="Times New Roman"/>
                      <w:color w:val="000000" w:themeColor="text1"/>
                      <w:sz w:val="21"/>
                      <w:szCs w:val="21"/>
                      <w:lang w:val="en-US" w:eastAsia="zh-CN"/>
                    </w:rPr>
                    <w:t>4</w:t>
                  </w:r>
                </w:p>
              </w:tc>
              <w:tc>
                <w:tcPr>
                  <w:tcW w:w="1318" w:type="pct"/>
                  <w:noWrap w:val="0"/>
                  <w:vAlign w:val="center"/>
                </w:tcPr>
                <w:p w14:paraId="3A61AD4A">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乙炔</w:t>
                  </w:r>
                </w:p>
              </w:tc>
              <w:tc>
                <w:tcPr>
                  <w:tcW w:w="818" w:type="pct"/>
                  <w:noWrap w:val="0"/>
                  <w:vAlign w:val="center"/>
                </w:tcPr>
                <w:p w14:paraId="3E8441F5">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0.176</w:t>
                  </w:r>
                </w:p>
              </w:tc>
              <w:tc>
                <w:tcPr>
                  <w:tcW w:w="852" w:type="pct"/>
                  <w:noWrap w:val="0"/>
                  <w:vAlign w:val="center"/>
                </w:tcPr>
                <w:p w14:paraId="22B82B06">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乙炔</w:t>
                  </w:r>
                </w:p>
              </w:tc>
              <w:tc>
                <w:tcPr>
                  <w:tcW w:w="774" w:type="pct"/>
                  <w:noWrap w:val="0"/>
                  <w:vAlign w:val="center"/>
                </w:tcPr>
                <w:p w14:paraId="6860D940">
                  <w:pPr>
                    <w:ind w:right="210"/>
                    <w:jc w:val="center"/>
                    <w:rPr>
                      <w:rFonts w:hint="default" w:ascii="Times New Roman" w:hAnsi="Times New Roman" w:cs="Times New Roman"/>
                      <w:color w:val="000000" w:themeColor="text1"/>
                      <w:sz w:val="21"/>
                      <w:szCs w:val="21"/>
                      <w:lang w:val="en-US" w:eastAsia="zh-CN"/>
                    </w:rPr>
                  </w:pPr>
                  <w:r>
                    <w:rPr>
                      <w:rFonts w:hint="eastAsia" w:ascii="Times New Roman" w:hAnsi="Times New Roman" w:cs="Times New Roman"/>
                      <w:color w:val="000000" w:themeColor="text1"/>
                      <w:sz w:val="21"/>
                      <w:szCs w:val="21"/>
                      <w:lang w:val="en-US" w:eastAsia="zh-CN"/>
                    </w:rPr>
                    <w:t>10</w:t>
                  </w:r>
                </w:p>
              </w:tc>
              <w:tc>
                <w:tcPr>
                  <w:tcW w:w="823" w:type="pct"/>
                  <w:noWrap w:val="0"/>
                  <w:vAlign w:val="center"/>
                </w:tcPr>
                <w:p w14:paraId="52F821D1">
                  <w:pPr>
                    <w:pStyle w:val="12"/>
                    <w:spacing w:after="0"/>
                    <w:ind w:left="0" w:leftChars="0"/>
                    <w:jc w:val="center"/>
                    <w:rPr>
                      <w:rFonts w:hint="default" w:cs="Times New Roman"/>
                      <w:color w:val="000000" w:themeColor="text1"/>
                      <w:sz w:val="21"/>
                      <w:szCs w:val="21"/>
                      <w:lang w:val="en-US" w:eastAsia="zh-CN"/>
                    </w:rPr>
                  </w:pPr>
                  <w:r>
                    <w:rPr>
                      <w:rFonts w:hint="eastAsia" w:cs="Times New Roman"/>
                      <w:color w:val="000000" w:themeColor="text1"/>
                      <w:sz w:val="21"/>
                      <w:szCs w:val="21"/>
                      <w:lang w:val="en-US" w:eastAsia="zh-CN"/>
                    </w:rPr>
                    <w:t>0.0176</w:t>
                  </w:r>
                </w:p>
              </w:tc>
            </w:tr>
            <w:tr w14:paraId="2B01A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13" w:type="pct"/>
                  <w:noWrap w:val="0"/>
                  <w:vAlign w:val="center"/>
                </w:tcPr>
                <w:p w14:paraId="5A91F852">
                  <w:pPr>
                    <w:pStyle w:val="12"/>
                    <w:spacing w:after="0"/>
                    <w:ind w:left="0" w:leftChars="0"/>
                    <w:jc w:val="center"/>
                    <w:rPr>
                      <w:rFonts w:hint="default" w:ascii="Times New Roman" w:hAnsi="Times New Roman" w:cs="Times New Roman"/>
                      <w:color w:val="000000" w:themeColor="text1"/>
                      <w:kern w:val="0"/>
                      <w:sz w:val="21"/>
                      <w:szCs w:val="21"/>
                      <w:lang w:val="en-US" w:eastAsia="zh-CN" w:bidi="ar-SA"/>
                    </w:rPr>
                  </w:pPr>
                  <w:r>
                    <w:rPr>
                      <w:rFonts w:hint="eastAsia" w:cs="Times New Roman"/>
                      <w:color w:val="000000" w:themeColor="text1"/>
                      <w:sz w:val="21"/>
                      <w:szCs w:val="21"/>
                      <w:lang w:val="en-US" w:eastAsia="zh-CN"/>
                    </w:rPr>
                    <w:t>5</w:t>
                  </w:r>
                </w:p>
              </w:tc>
              <w:tc>
                <w:tcPr>
                  <w:tcW w:w="1318" w:type="pct"/>
                  <w:noWrap w:val="0"/>
                  <w:vAlign w:val="center"/>
                </w:tcPr>
                <w:p w14:paraId="69AB47B1">
                  <w:pPr>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危险废物</w:t>
                  </w:r>
                </w:p>
              </w:tc>
              <w:tc>
                <w:tcPr>
                  <w:tcW w:w="818" w:type="pct"/>
                  <w:noWrap w:val="0"/>
                  <w:vAlign w:val="center"/>
                </w:tcPr>
                <w:p w14:paraId="2F87AD30">
                  <w:pPr>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4.935</w:t>
                  </w:r>
                </w:p>
              </w:tc>
              <w:tc>
                <w:tcPr>
                  <w:tcW w:w="852" w:type="pct"/>
                  <w:noWrap w:val="0"/>
                  <w:vAlign w:val="center"/>
                </w:tcPr>
                <w:p w14:paraId="1A2F78FD">
                  <w:pPr>
                    <w:jc w:val="center"/>
                    <w:rPr>
                      <w:rFonts w:hint="eastAsia"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健康危险急性</w:t>
                  </w:r>
                </w:p>
                <w:p w14:paraId="4AA9AF5A">
                  <w:pPr>
                    <w:jc w:val="center"/>
                    <w:rPr>
                      <w:rFonts w:hint="eastAsia"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毒性物质（类</w:t>
                  </w:r>
                </w:p>
                <w:p w14:paraId="014869F0">
                  <w:pPr>
                    <w:jc w:val="center"/>
                    <w:rPr>
                      <w:rFonts w:hint="eastAsia"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别 2，类别 3）</w:t>
                  </w:r>
                </w:p>
              </w:tc>
              <w:tc>
                <w:tcPr>
                  <w:tcW w:w="774" w:type="pct"/>
                  <w:noWrap w:val="0"/>
                  <w:vAlign w:val="center"/>
                </w:tcPr>
                <w:p w14:paraId="6B8F6707">
                  <w:pPr>
                    <w:ind w:right="210"/>
                    <w:jc w:val="center"/>
                    <w:rPr>
                      <w:rFonts w:hint="default" w:ascii="Times New Roman" w:hAnsi="Times New Roman" w:cs="Times New Roman"/>
                      <w:color w:val="000000" w:themeColor="text1"/>
                      <w:sz w:val="21"/>
                      <w:szCs w:val="21"/>
                      <w:lang w:val="en-US" w:eastAsia="zh-CN"/>
                    </w:rPr>
                  </w:pPr>
                  <w:r>
                    <w:rPr>
                      <w:rFonts w:hint="eastAsia" w:ascii="Times New Roman" w:hAnsi="Times New Roman" w:cs="Times New Roman"/>
                      <w:color w:val="000000" w:themeColor="text1"/>
                      <w:sz w:val="21"/>
                      <w:szCs w:val="21"/>
                      <w:lang w:val="en-US" w:eastAsia="zh-CN"/>
                    </w:rPr>
                    <w:t>50</w:t>
                  </w:r>
                </w:p>
              </w:tc>
              <w:tc>
                <w:tcPr>
                  <w:tcW w:w="823" w:type="pct"/>
                  <w:noWrap w:val="0"/>
                  <w:vAlign w:val="center"/>
                </w:tcPr>
                <w:p w14:paraId="430F6319">
                  <w:pPr>
                    <w:pStyle w:val="12"/>
                    <w:spacing w:after="0"/>
                    <w:ind w:left="0" w:leftChars="0"/>
                    <w:jc w:val="center"/>
                    <w:rPr>
                      <w:rFonts w:hint="default" w:cs="Times New Roman"/>
                      <w:color w:val="000000" w:themeColor="text1"/>
                      <w:sz w:val="21"/>
                      <w:szCs w:val="21"/>
                      <w:lang w:val="en-US" w:eastAsia="zh-CN"/>
                    </w:rPr>
                  </w:pPr>
                  <w:r>
                    <w:rPr>
                      <w:rFonts w:hint="eastAsia" w:cs="Times New Roman"/>
                      <w:color w:val="000000" w:themeColor="text1"/>
                      <w:sz w:val="21"/>
                      <w:szCs w:val="21"/>
                      <w:lang w:val="en-US" w:eastAsia="zh-CN"/>
                    </w:rPr>
                    <w:t>0.0987</w:t>
                  </w:r>
                </w:p>
              </w:tc>
            </w:tr>
            <w:tr w14:paraId="5ED59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3402" w:type="pct"/>
                  <w:gridSpan w:val="4"/>
                  <w:noWrap w:val="0"/>
                  <w:vAlign w:val="center"/>
                </w:tcPr>
                <w:p w14:paraId="6CA605C7">
                  <w:pPr>
                    <w:ind w:right="210"/>
                    <w:jc w:val="center"/>
                    <w:rPr>
                      <w:rFonts w:hint="default" w:ascii="Times New Roman" w:hAnsi="Times New Roman" w:cs="Times New Roman"/>
                      <w:color w:val="000000" w:themeColor="text1"/>
                      <w:sz w:val="21"/>
                      <w:szCs w:val="21"/>
                      <w:lang w:val="en-US" w:eastAsia="zh-CN"/>
                    </w:rPr>
                  </w:pPr>
                  <w:r>
                    <w:rPr>
                      <w:rFonts w:hint="eastAsia" w:ascii="Times New Roman" w:hAnsi="Times New Roman" w:cs="Times New Roman"/>
                      <w:color w:val="000000" w:themeColor="text1"/>
                      <w:sz w:val="21"/>
                      <w:szCs w:val="21"/>
                      <w:lang w:val="en-US" w:eastAsia="zh-CN"/>
                    </w:rPr>
                    <w:t>合计</w:t>
                  </w:r>
                </w:p>
              </w:tc>
              <w:tc>
                <w:tcPr>
                  <w:tcW w:w="774" w:type="pct"/>
                  <w:noWrap w:val="0"/>
                  <w:vAlign w:val="center"/>
                </w:tcPr>
                <w:p w14:paraId="0E4AF6A5">
                  <w:pPr>
                    <w:ind w:right="210"/>
                    <w:jc w:val="center"/>
                    <w:rPr>
                      <w:rFonts w:hint="eastAsia" w:ascii="Times New Roman" w:hAnsi="Times New Roman" w:cs="Times New Roman"/>
                      <w:color w:val="000000" w:themeColor="text1"/>
                      <w:sz w:val="21"/>
                      <w:szCs w:val="21"/>
                      <w:lang w:val="en-US" w:eastAsia="zh-CN"/>
                    </w:rPr>
                  </w:pPr>
                </w:p>
              </w:tc>
              <w:tc>
                <w:tcPr>
                  <w:tcW w:w="823" w:type="pct"/>
                  <w:noWrap w:val="0"/>
                  <w:vAlign w:val="center"/>
                </w:tcPr>
                <w:p w14:paraId="316BC148">
                  <w:pPr>
                    <w:pStyle w:val="12"/>
                    <w:spacing w:after="0"/>
                    <w:ind w:left="0" w:leftChars="0"/>
                    <w:jc w:val="center"/>
                    <w:rPr>
                      <w:rFonts w:hint="default" w:cs="Times New Roman"/>
                      <w:color w:val="000000" w:themeColor="text1"/>
                      <w:sz w:val="21"/>
                      <w:szCs w:val="21"/>
                      <w:lang w:val="en-US" w:eastAsia="zh-CN"/>
                    </w:rPr>
                  </w:pPr>
                  <w:r>
                    <w:rPr>
                      <w:rFonts w:hint="eastAsia" w:cs="Times New Roman"/>
                      <w:color w:val="000000" w:themeColor="text1"/>
                      <w:sz w:val="21"/>
                      <w:szCs w:val="21"/>
                      <w:lang w:val="en-US" w:eastAsia="zh-CN"/>
                    </w:rPr>
                    <w:t>0.148</w:t>
                  </w:r>
                </w:p>
              </w:tc>
            </w:tr>
          </w:tbl>
          <w:p w14:paraId="364AB3AE">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sz w:val="24"/>
                <w:szCs w:val="24"/>
                <w:lang w:val="en-US" w:eastAsia="zh-CN"/>
              </w:rPr>
            </w:pPr>
            <w:r>
              <w:rPr>
                <w:rFonts w:hint="default" w:ascii="Times New Roman" w:hAnsi="Times New Roman" w:eastAsia="宋体" w:cs="Times New Roman"/>
                <w:color w:val="000000" w:themeColor="text1"/>
                <w:sz w:val="24"/>
                <w:szCs w:val="24"/>
                <w:lang w:val="en-US" w:eastAsia="zh-CN"/>
              </w:rPr>
              <w:t>由上表计算可知，本项目Q值＜1，</w:t>
            </w:r>
            <w:r>
              <w:rPr>
                <w:rFonts w:hint="eastAsia" w:ascii="Times New Roman" w:hAnsi="Times New Roman" w:eastAsia="宋体" w:cs="Times New Roman"/>
                <w:color w:val="000000" w:themeColor="text1"/>
                <w:sz w:val="24"/>
                <w:szCs w:val="24"/>
                <w:lang w:val="en-US" w:eastAsia="zh-CN"/>
              </w:rPr>
              <w:t>无需设置环境风险专项评价</w:t>
            </w:r>
            <w:r>
              <w:rPr>
                <w:rFonts w:hint="default" w:ascii="Times New Roman" w:hAnsi="Times New Roman" w:eastAsia="宋体" w:cs="Times New Roman"/>
                <w:color w:val="000000" w:themeColor="text1"/>
                <w:sz w:val="24"/>
                <w:szCs w:val="24"/>
                <w:lang w:val="en-US" w:eastAsia="zh-CN"/>
              </w:rPr>
              <w:t>。</w:t>
            </w:r>
            <w:r>
              <w:rPr>
                <w:rFonts w:hint="eastAsia" w:ascii="Times New Roman" w:hAnsi="Times New Roman" w:eastAsia="宋体" w:cs="Times New Roman"/>
                <w:color w:val="000000" w:themeColor="text1"/>
                <w:sz w:val="24"/>
                <w:szCs w:val="24"/>
                <w:lang w:val="en-US" w:eastAsia="zh-CN"/>
              </w:rPr>
              <w:t>项目风险潜势为</w:t>
            </w:r>
            <w:r>
              <w:rPr>
                <w:rFonts w:hint="default" w:ascii="Times New Roman" w:hAnsi="Times New Roman" w:eastAsia="宋体" w:cs="Times New Roman"/>
                <w:color w:val="000000" w:themeColor="text1"/>
                <w:sz w:val="24"/>
                <w:szCs w:val="24"/>
                <w:lang w:val="en-US" w:eastAsia="zh-CN"/>
              </w:rPr>
              <w:t>Ⅰ</w:t>
            </w:r>
            <w:r>
              <w:rPr>
                <w:rFonts w:hint="eastAsia" w:ascii="Times New Roman" w:hAnsi="Times New Roman" w:eastAsia="宋体" w:cs="Times New Roman"/>
                <w:color w:val="000000" w:themeColor="text1"/>
                <w:sz w:val="24"/>
                <w:szCs w:val="24"/>
                <w:lang w:val="en-US" w:eastAsia="zh-CN"/>
              </w:rPr>
              <w:t>，仅开展简单分析。</w:t>
            </w:r>
          </w:p>
          <w:p w14:paraId="47B111C2">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000000" w:themeColor="text1"/>
                <w:sz w:val="24"/>
                <w:szCs w:val="24"/>
                <w:lang w:val="en-US" w:eastAsia="zh-CN"/>
              </w:rPr>
            </w:pPr>
            <w:r>
              <w:rPr>
                <w:rFonts w:hint="eastAsia" w:ascii="Times New Roman" w:hAnsi="Times New Roman" w:eastAsia="宋体" w:cs="Times New Roman"/>
                <w:color w:val="000000" w:themeColor="text1"/>
                <w:sz w:val="24"/>
                <w:szCs w:val="24"/>
                <w:lang w:val="en-US" w:eastAsia="zh-CN"/>
              </w:rPr>
              <w:t>2、生产系统危险性识别、环境风险类型和影响途径</w:t>
            </w:r>
          </w:p>
          <w:p w14:paraId="0F717A8C">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sz w:val="24"/>
                <w:szCs w:val="24"/>
                <w:lang w:val="en-US" w:eastAsia="zh-CN"/>
              </w:rPr>
            </w:pPr>
            <w:r>
              <w:rPr>
                <w:rFonts w:hint="default" w:ascii="Times New Roman" w:hAnsi="Times New Roman" w:eastAsia="宋体" w:cs="Times New Roman"/>
                <w:color w:val="000000" w:themeColor="text1"/>
                <w:sz w:val="24"/>
                <w:szCs w:val="24"/>
                <w:lang w:val="en-US" w:eastAsia="zh-CN"/>
              </w:rPr>
              <w:t>（1）生产系统危险性识别</w:t>
            </w:r>
          </w:p>
          <w:p w14:paraId="4EA0299E">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sz w:val="24"/>
                <w:szCs w:val="24"/>
                <w:lang w:val="en-US" w:eastAsia="zh-CN"/>
              </w:rPr>
            </w:pPr>
            <w:r>
              <w:rPr>
                <w:rFonts w:hint="default" w:ascii="Times New Roman" w:hAnsi="Times New Roman" w:eastAsia="宋体" w:cs="Times New Roman"/>
                <w:color w:val="000000" w:themeColor="text1"/>
                <w:sz w:val="24"/>
                <w:szCs w:val="24"/>
                <w:lang w:val="en-US" w:eastAsia="zh-CN"/>
              </w:rPr>
              <w:t>根据本项目工艺和“三废”分析，本项目生产过程涉及的危险物质为</w:t>
            </w:r>
            <w:r>
              <w:rPr>
                <w:rFonts w:hint="eastAsia" w:ascii="Times New Roman" w:hAnsi="Times New Roman" w:eastAsia="宋体" w:cs="Times New Roman"/>
                <w:color w:val="000000" w:themeColor="text1"/>
                <w:sz w:val="24"/>
                <w:szCs w:val="24"/>
                <w:lang w:val="en-US" w:eastAsia="zh-CN"/>
              </w:rPr>
              <w:t>环氧树脂A、B料、脱模剂、</w:t>
            </w:r>
            <w:r>
              <w:rPr>
                <w:rFonts w:hint="default" w:ascii="Times New Roman" w:hAnsi="Times New Roman" w:eastAsia="宋体" w:cs="Times New Roman"/>
                <w:color w:val="000000" w:themeColor="text1"/>
                <w:sz w:val="24"/>
                <w:szCs w:val="24"/>
                <w:lang w:val="en-US" w:eastAsia="zh-CN"/>
              </w:rPr>
              <w:t>变压器油、乙炔、危险废物。环境风险主要是</w:t>
            </w:r>
            <w:r>
              <w:rPr>
                <w:rFonts w:hint="eastAsia" w:ascii="Times New Roman" w:hAnsi="Times New Roman" w:eastAsia="宋体" w:cs="Times New Roman"/>
                <w:color w:val="000000" w:themeColor="text1"/>
                <w:sz w:val="24"/>
                <w:szCs w:val="24"/>
                <w:lang w:val="en-US" w:eastAsia="zh-CN"/>
              </w:rPr>
              <w:t>环氧树脂A、B料、脱模剂、</w:t>
            </w:r>
            <w:r>
              <w:rPr>
                <w:rFonts w:hint="default" w:ascii="Times New Roman" w:hAnsi="Times New Roman" w:eastAsia="宋体" w:cs="Times New Roman"/>
                <w:color w:val="000000" w:themeColor="text1"/>
                <w:sz w:val="24"/>
                <w:szCs w:val="24"/>
                <w:lang w:val="en-US" w:eastAsia="zh-CN"/>
              </w:rPr>
              <w:t>变压器油、乙炔、危险废物等</w:t>
            </w:r>
            <w:r>
              <w:rPr>
                <w:rFonts w:hint="eastAsia" w:ascii="Times New Roman" w:hAnsi="Times New Roman" w:eastAsia="宋体" w:cs="Times New Roman"/>
                <w:color w:val="000000" w:themeColor="text1"/>
                <w:sz w:val="24"/>
                <w:szCs w:val="24"/>
                <w:lang w:val="en-US" w:eastAsia="zh-CN"/>
              </w:rPr>
              <w:t>发生</w:t>
            </w:r>
            <w:r>
              <w:rPr>
                <w:rFonts w:hint="default" w:ascii="Times New Roman" w:hAnsi="Times New Roman" w:eastAsia="宋体" w:cs="Times New Roman"/>
                <w:color w:val="000000" w:themeColor="text1"/>
                <w:sz w:val="24"/>
                <w:szCs w:val="24"/>
                <w:lang w:val="en-US" w:eastAsia="zh-CN"/>
              </w:rPr>
              <w:t>泄漏或</w:t>
            </w:r>
            <w:r>
              <w:rPr>
                <w:rFonts w:hint="eastAsia" w:cs="Times New Roman"/>
                <w:color w:val="000000" w:themeColor="text1"/>
                <w:sz w:val="24"/>
                <w:szCs w:val="24"/>
                <w:lang w:val="en-US" w:eastAsia="zh-CN"/>
              </w:rPr>
              <w:t>乙炔</w:t>
            </w:r>
            <w:r>
              <w:rPr>
                <w:rFonts w:hint="default" w:ascii="Times New Roman" w:hAnsi="Times New Roman" w:eastAsia="宋体" w:cs="Times New Roman"/>
                <w:color w:val="000000" w:themeColor="text1"/>
                <w:sz w:val="24"/>
                <w:szCs w:val="24"/>
                <w:lang w:val="en-US" w:eastAsia="zh-CN"/>
              </w:rPr>
              <w:t>遇明火可能引起火灾，严重时可能进一步引发爆炸，对区域环境空气造成影响。</w:t>
            </w:r>
          </w:p>
          <w:p w14:paraId="4355F3C7">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sz w:val="24"/>
                <w:szCs w:val="24"/>
                <w:lang w:val="en-US" w:eastAsia="zh-CN"/>
              </w:rPr>
            </w:pPr>
            <w:r>
              <w:rPr>
                <w:rFonts w:hint="default" w:ascii="Times New Roman" w:hAnsi="Times New Roman" w:eastAsia="宋体" w:cs="Times New Roman"/>
                <w:color w:val="000000" w:themeColor="text1"/>
                <w:sz w:val="24"/>
                <w:szCs w:val="24"/>
                <w:lang w:val="en-US" w:eastAsia="zh-CN"/>
              </w:rPr>
              <w:t>（2）环境风险类型及影响途径</w:t>
            </w:r>
          </w:p>
          <w:p w14:paraId="2A4F8AF7">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sz w:val="24"/>
                <w:szCs w:val="24"/>
                <w:lang w:val="en-US" w:eastAsia="zh-CN"/>
              </w:rPr>
            </w:pPr>
            <w:r>
              <w:rPr>
                <w:rFonts w:hint="default" w:ascii="Times New Roman" w:hAnsi="Times New Roman" w:eastAsia="宋体" w:cs="Times New Roman"/>
                <w:color w:val="000000" w:themeColor="text1"/>
                <w:sz w:val="24"/>
                <w:szCs w:val="24"/>
                <w:lang w:val="en-US" w:eastAsia="zh-CN"/>
              </w:rPr>
              <w:t>1）泄漏引发的污染物排放</w:t>
            </w:r>
          </w:p>
          <w:p w14:paraId="1E0CD592">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sz w:val="24"/>
                <w:szCs w:val="24"/>
                <w:lang w:val="en-US" w:eastAsia="zh-CN"/>
              </w:rPr>
            </w:pPr>
            <w:r>
              <w:rPr>
                <w:rFonts w:hint="default" w:ascii="Times New Roman" w:hAnsi="Times New Roman" w:eastAsia="宋体" w:cs="Times New Roman"/>
                <w:color w:val="000000" w:themeColor="text1"/>
                <w:sz w:val="24"/>
                <w:szCs w:val="24"/>
                <w:lang w:val="en-US" w:eastAsia="zh-CN"/>
              </w:rPr>
              <w:t>厂区内</w:t>
            </w:r>
            <w:r>
              <w:rPr>
                <w:rFonts w:hint="eastAsia" w:ascii="Times New Roman" w:hAnsi="Times New Roman" w:eastAsia="宋体" w:cs="Times New Roman"/>
                <w:color w:val="000000" w:themeColor="text1"/>
                <w:sz w:val="24"/>
                <w:szCs w:val="24"/>
                <w:lang w:val="en-US" w:eastAsia="zh-CN"/>
              </w:rPr>
              <w:t>环氧树脂A、B料、脱模剂、</w:t>
            </w:r>
            <w:r>
              <w:rPr>
                <w:rFonts w:hint="default" w:ascii="Times New Roman" w:hAnsi="Times New Roman" w:eastAsia="宋体" w:cs="Times New Roman"/>
                <w:color w:val="000000" w:themeColor="text1"/>
                <w:sz w:val="24"/>
                <w:szCs w:val="24"/>
                <w:lang w:val="en-US" w:eastAsia="zh-CN"/>
              </w:rPr>
              <w:t>变压器油、乙炔、危险废物泄漏是指作业不当、维护管理不完善等人为因素造成的危险物质泄漏，上述危险物质等全部进入环境，对厂区附近地下水、土壤造成明显的污染。由于厂区内危险物质总产生量不大，危险单元中物质存在量较少，局部泄漏量很少，在采取相关应急措施后其风险可控。</w:t>
            </w:r>
          </w:p>
          <w:p w14:paraId="1A78F4FD">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sz w:val="24"/>
                <w:szCs w:val="24"/>
                <w:lang w:val="en-US" w:eastAsia="zh-CN"/>
              </w:rPr>
            </w:pPr>
            <w:r>
              <w:rPr>
                <w:rFonts w:hint="default" w:ascii="Times New Roman" w:hAnsi="Times New Roman" w:eastAsia="宋体" w:cs="Times New Roman"/>
                <w:color w:val="000000" w:themeColor="text1"/>
                <w:sz w:val="24"/>
                <w:szCs w:val="24"/>
                <w:lang w:val="en-US" w:eastAsia="zh-CN"/>
              </w:rPr>
              <w:t>2）火灾、爆炸引发的伴生/次生污染物排放</w:t>
            </w:r>
          </w:p>
          <w:p w14:paraId="5276A322">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sz w:val="24"/>
                <w:szCs w:val="24"/>
                <w:lang w:val="en-US" w:eastAsia="zh-CN"/>
              </w:rPr>
            </w:pPr>
            <w:r>
              <w:rPr>
                <w:rFonts w:hint="default" w:ascii="Times New Roman" w:hAnsi="Times New Roman" w:eastAsia="宋体" w:cs="Times New Roman"/>
                <w:color w:val="000000" w:themeColor="text1"/>
                <w:sz w:val="24"/>
                <w:szCs w:val="24"/>
                <w:lang w:val="en-US" w:eastAsia="zh-CN"/>
              </w:rPr>
              <w:t>本项目使用的乙炔为外购的高纯乙炔，采用40L钢瓶贮存，乙炔遇明火可能引起火灾，严重时可能进一步引发爆炸。火灾、爆炸发生后，产生的高温、高压，建筑物内遗留大量的热或残余火苗，不仅会对厂房本身造成危害，还会把厂房周边周围的杂草引燃，导致进一步火灾。在火灾或者爆炸过程中，不完全燃烧会产生CO对环境造成污染，会引起人员中毒。消防废水可能进入地表水地造成污染。</w:t>
            </w:r>
          </w:p>
          <w:p w14:paraId="67B146E2">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sz w:val="24"/>
                <w:szCs w:val="24"/>
                <w:lang w:val="en-US" w:eastAsia="zh-CN"/>
              </w:rPr>
            </w:pPr>
            <w:r>
              <w:rPr>
                <w:rFonts w:hint="default" w:ascii="Times New Roman" w:hAnsi="Times New Roman" w:eastAsia="宋体" w:cs="Times New Roman"/>
                <w:color w:val="000000" w:themeColor="text1"/>
                <w:sz w:val="24"/>
                <w:szCs w:val="24"/>
                <w:lang w:val="en-US" w:eastAsia="zh-CN"/>
              </w:rPr>
              <w:t>厂区内部发生火灾时，在高温环境下其中含有或次生的污染物质（如有机废气）可能会因为挥发、热解吸等作用进入空气中，对厂区周围及下风向的环境空气产生影响，事故发生后到结束前这一时段内污染程度会达到最大，污染物最大地面浓度可能会超过该区域的环境空气质量标准。同时，在火灾事故的处理过程中，还会产生消防废水等污染，因此火灾、爆炸事故中产生的伴生/次生污染对环境的影响不可忽视。</w:t>
            </w:r>
          </w:p>
          <w:p w14:paraId="2297255E">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sz w:val="24"/>
                <w:szCs w:val="24"/>
                <w:lang w:val="en-US" w:eastAsia="zh-CN"/>
              </w:rPr>
            </w:pPr>
            <w:r>
              <w:rPr>
                <w:rFonts w:hint="default" w:ascii="Times New Roman" w:hAnsi="Times New Roman" w:eastAsia="宋体" w:cs="Times New Roman"/>
                <w:color w:val="000000" w:themeColor="text1"/>
                <w:sz w:val="24"/>
                <w:szCs w:val="24"/>
                <w:lang w:val="en-US" w:eastAsia="zh-CN"/>
              </w:rPr>
              <w:t>以上风险识别和分析结果汇总详见下表。</w:t>
            </w:r>
          </w:p>
          <w:p w14:paraId="26C6232A">
            <w:pPr>
              <w:ind w:left="0" w:leftChars="0" w:right="0" w:rightChars="0" w:firstLine="0" w:firstLineChars="0"/>
              <w:jc w:val="center"/>
              <w:rPr>
                <w:rFonts w:hint="eastAsia" w:ascii="Times New Roman" w:hAnsi="Times New Roman" w:eastAsia="宋体" w:cs="Times New Roman"/>
                <w:b/>
                <w:bCs/>
                <w:color w:val="000000" w:themeColor="text1"/>
                <w:sz w:val="24"/>
                <w:szCs w:val="24"/>
                <w:lang w:val="en-US" w:eastAsia="zh-CN"/>
              </w:rPr>
            </w:pPr>
            <w:r>
              <w:rPr>
                <w:rFonts w:hint="eastAsia" w:ascii="Times New Roman" w:hAnsi="Times New Roman" w:eastAsia="宋体" w:cs="Times New Roman"/>
                <w:b/>
                <w:bCs/>
                <w:color w:val="000000" w:themeColor="text1"/>
                <w:sz w:val="24"/>
                <w:szCs w:val="24"/>
                <w:lang w:val="en-US" w:eastAsia="zh-CN"/>
              </w:rPr>
              <w:t>表4-2</w:t>
            </w:r>
            <w:r>
              <w:rPr>
                <w:rFonts w:hint="eastAsia" w:cs="Times New Roman"/>
                <w:b/>
                <w:bCs/>
                <w:color w:val="000000" w:themeColor="text1"/>
                <w:sz w:val="24"/>
                <w:szCs w:val="24"/>
                <w:lang w:val="en-US" w:eastAsia="zh-CN"/>
              </w:rPr>
              <w:t>1</w:t>
            </w:r>
            <w:r>
              <w:rPr>
                <w:rFonts w:hint="eastAsia" w:ascii="Times New Roman" w:hAnsi="Times New Roman" w:eastAsia="宋体" w:cs="Times New Roman"/>
                <w:b/>
                <w:bCs/>
                <w:color w:val="000000" w:themeColor="text1"/>
                <w:sz w:val="24"/>
                <w:szCs w:val="24"/>
                <w:lang w:val="en-US" w:eastAsia="zh-CN"/>
              </w:rPr>
              <w:t xml:space="preserve">  环境风险识别汇总表</w:t>
            </w:r>
          </w:p>
          <w:tbl>
            <w:tblPr>
              <w:tblStyle w:val="3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9"/>
              <w:gridCol w:w="1434"/>
              <w:gridCol w:w="1848"/>
              <w:gridCol w:w="1253"/>
              <w:gridCol w:w="1253"/>
              <w:gridCol w:w="1255"/>
              <w:gridCol w:w="1257"/>
            </w:tblGrid>
            <w:tr w14:paraId="5F611C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 w:type="pct"/>
                  <w:vAlign w:val="center"/>
                </w:tcPr>
                <w:p w14:paraId="01FF5A40">
                  <w:pPr>
                    <w:pStyle w:val="12"/>
                    <w:spacing w:after="0"/>
                    <w:ind w:left="0" w:leftChars="0"/>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序号</w:t>
                  </w:r>
                </w:p>
              </w:tc>
              <w:tc>
                <w:tcPr>
                  <w:tcW w:w="817" w:type="pct"/>
                  <w:vAlign w:val="center"/>
                </w:tcPr>
                <w:p w14:paraId="35522ECF">
                  <w:pPr>
                    <w:pStyle w:val="12"/>
                    <w:spacing w:after="0"/>
                    <w:ind w:left="0" w:leftChars="0"/>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风险源</w:t>
                  </w:r>
                </w:p>
              </w:tc>
              <w:tc>
                <w:tcPr>
                  <w:tcW w:w="1053" w:type="pct"/>
                  <w:vAlign w:val="center"/>
                </w:tcPr>
                <w:p w14:paraId="48AEB91F">
                  <w:pPr>
                    <w:pStyle w:val="12"/>
                    <w:spacing w:after="0"/>
                    <w:ind w:left="0" w:leftChars="0"/>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危险物质</w:t>
                  </w:r>
                </w:p>
              </w:tc>
              <w:tc>
                <w:tcPr>
                  <w:tcW w:w="714" w:type="pct"/>
                  <w:vAlign w:val="center"/>
                </w:tcPr>
                <w:p w14:paraId="29EF155E">
                  <w:pPr>
                    <w:pStyle w:val="12"/>
                    <w:spacing w:after="0"/>
                    <w:ind w:left="0" w:leftChars="0"/>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主要参数</w:t>
                  </w:r>
                </w:p>
              </w:tc>
              <w:tc>
                <w:tcPr>
                  <w:tcW w:w="714" w:type="pct"/>
                  <w:vAlign w:val="center"/>
                </w:tcPr>
                <w:p w14:paraId="73C5A364">
                  <w:pPr>
                    <w:pStyle w:val="12"/>
                    <w:spacing w:after="0"/>
                    <w:ind w:left="0" w:leftChars="0"/>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环境风险类型</w:t>
                  </w:r>
                </w:p>
              </w:tc>
              <w:tc>
                <w:tcPr>
                  <w:tcW w:w="715" w:type="pct"/>
                  <w:vAlign w:val="center"/>
                </w:tcPr>
                <w:p w14:paraId="5E02A77B">
                  <w:pPr>
                    <w:pStyle w:val="12"/>
                    <w:spacing w:after="0"/>
                    <w:ind w:left="0" w:leftChars="0"/>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影响途径</w:t>
                  </w:r>
                </w:p>
              </w:tc>
              <w:tc>
                <w:tcPr>
                  <w:tcW w:w="716" w:type="pct"/>
                  <w:vAlign w:val="center"/>
                </w:tcPr>
                <w:p w14:paraId="5B6EF2F9">
                  <w:pPr>
                    <w:pStyle w:val="12"/>
                    <w:spacing w:after="0"/>
                    <w:ind w:left="0" w:leftChars="0"/>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可能受影响的敏感目标</w:t>
                  </w:r>
                </w:p>
              </w:tc>
            </w:tr>
            <w:tr w14:paraId="01D020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 w:type="pct"/>
                  <w:vAlign w:val="center"/>
                </w:tcPr>
                <w:p w14:paraId="6E8A52B1">
                  <w:pPr>
                    <w:pStyle w:val="12"/>
                    <w:spacing w:after="0"/>
                    <w:ind w:left="0" w:leftChars="0"/>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1</w:t>
                  </w:r>
                </w:p>
              </w:tc>
              <w:tc>
                <w:tcPr>
                  <w:tcW w:w="817" w:type="pct"/>
                  <w:vAlign w:val="center"/>
                </w:tcPr>
                <w:p w14:paraId="56AFA04C">
                  <w:pPr>
                    <w:pStyle w:val="12"/>
                    <w:spacing w:after="0"/>
                    <w:ind w:left="0" w:leftChars="0"/>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化学品库</w:t>
                  </w:r>
                </w:p>
              </w:tc>
              <w:tc>
                <w:tcPr>
                  <w:tcW w:w="1053" w:type="pct"/>
                  <w:vAlign w:val="center"/>
                </w:tcPr>
                <w:p w14:paraId="291324BC">
                  <w:pPr>
                    <w:pStyle w:val="12"/>
                    <w:spacing w:after="0"/>
                    <w:ind w:left="0" w:leftChars="0"/>
                    <w:jc w:val="center"/>
                    <w:rPr>
                      <w:rFonts w:hint="default" w:ascii="Times New Roman" w:hAnsi="Times New Roman" w:eastAsia="宋体" w:cs="Times New Roman"/>
                      <w:color w:val="000000" w:themeColor="text1"/>
                      <w:sz w:val="21"/>
                      <w:szCs w:val="21"/>
                      <w:lang w:val="en-US" w:eastAsia="zh-CN"/>
                    </w:rPr>
                  </w:pPr>
                  <w:r>
                    <w:rPr>
                      <w:rFonts w:hint="default" w:ascii="Times New Roman" w:hAnsi="Times New Roman" w:eastAsia="宋体" w:cs="Times New Roman"/>
                      <w:color w:val="000000" w:themeColor="text1"/>
                      <w:sz w:val="21"/>
                      <w:szCs w:val="21"/>
                      <w:lang w:val="en-US" w:eastAsia="zh-CN"/>
                    </w:rPr>
                    <w:t>环氧树脂A、B料、脱模剂</w:t>
                  </w:r>
                </w:p>
              </w:tc>
              <w:tc>
                <w:tcPr>
                  <w:tcW w:w="714" w:type="pct"/>
                  <w:vAlign w:val="center"/>
                </w:tcPr>
                <w:p w14:paraId="12A3ED79">
                  <w:pPr>
                    <w:pStyle w:val="12"/>
                    <w:spacing w:after="0"/>
                    <w:ind w:left="0" w:leftChars="0"/>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环氧树脂25kg/桶，脱模剂15kg/桶</w:t>
                  </w:r>
                </w:p>
              </w:tc>
              <w:tc>
                <w:tcPr>
                  <w:tcW w:w="714" w:type="pct"/>
                  <w:vMerge w:val="restart"/>
                  <w:vAlign w:val="center"/>
                </w:tcPr>
                <w:p w14:paraId="7C6C7B76">
                  <w:pPr>
                    <w:pStyle w:val="12"/>
                    <w:spacing w:after="0"/>
                    <w:ind w:left="0" w:leftChars="0"/>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泄露</w:t>
                  </w:r>
                </w:p>
              </w:tc>
              <w:tc>
                <w:tcPr>
                  <w:tcW w:w="715" w:type="pct"/>
                  <w:vMerge w:val="restart"/>
                  <w:vAlign w:val="center"/>
                </w:tcPr>
                <w:p w14:paraId="18AF1DE4">
                  <w:pPr>
                    <w:pStyle w:val="12"/>
                    <w:spacing w:after="0"/>
                    <w:ind w:left="0" w:leftChars="0"/>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地表径流、大气扩散</w:t>
                  </w:r>
                </w:p>
              </w:tc>
              <w:tc>
                <w:tcPr>
                  <w:tcW w:w="716" w:type="pct"/>
                  <w:vMerge w:val="restart"/>
                  <w:vAlign w:val="center"/>
                </w:tcPr>
                <w:p w14:paraId="15BB292A">
                  <w:pPr>
                    <w:pStyle w:val="12"/>
                    <w:spacing w:after="0"/>
                    <w:ind w:left="0" w:leftChars="0"/>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地表水、地下水、大气环境、周边土壤</w:t>
                  </w:r>
                </w:p>
              </w:tc>
            </w:tr>
            <w:tr w14:paraId="22B516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 w:type="pct"/>
                  <w:vAlign w:val="center"/>
                </w:tcPr>
                <w:p w14:paraId="6A35765F">
                  <w:pPr>
                    <w:pStyle w:val="12"/>
                    <w:spacing w:after="0"/>
                    <w:ind w:left="0" w:leftChars="0"/>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2</w:t>
                  </w:r>
                </w:p>
              </w:tc>
              <w:tc>
                <w:tcPr>
                  <w:tcW w:w="817" w:type="pct"/>
                  <w:vAlign w:val="center"/>
                </w:tcPr>
                <w:p w14:paraId="3F9FBC63">
                  <w:pPr>
                    <w:pStyle w:val="12"/>
                    <w:spacing w:after="0"/>
                    <w:ind w:left="0" w:leftChars="0"/>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储罐区</w:t>
                  </w:r>
                </w:p>
              </w:tc>
              <w:tc>
                <w:tcPr>
                  <w:tcW w:w="1053" w:type="pct"/>
                  <w:vAlign w:val="center"/>
                </w:tcPr>
                <w:p w14:paraId="66AC539E">
                  <w:pPr>
                    <w:pStyle w:val="12"/>
                    <w:spacing w:after="0"/>
                    <w:ind w:left="0" w:leftChars="0"/>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变压器油</w:t>
                  </w:r>
                </w:p>
              </w:tc>
              <w:tc>
                <w:tcPr>
                  <w:tcW w:w="714" w:type="pct"/>
                  <w:vAlign w:val="center"/>
                </w:tcPr>
                <w:p w14:paraId="7CC18A39">
                  <w:pPr>
                    <w:pStyle w:val="12"/>
                    <w:spacing w:after="0"/>
                    <w:ind w:left="0" w:leftChars="0"/>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最大贮存量3t</w:t>
                  </w:r>
                </w:p>
              </w:tc>
              <w:tc>
                <w:tcPr>
                  <w:tcW w:w="714" w:type="pct"/>
                  <w:vMerge w:val="continue"/>
                  <w:vAlign w:val="center"/>
                </w:tcPr>
                <w:p w14:paraId="37C3FDF1">
                  <w:pPr>
                    <w:pStyle w:val="12"/>
                    <w:spacing w:after="0"/>
                    <w:ind w:left="0" w:leftChars="0"/>
                    <w:jc w:val="center"/>
                    <w:rPr>
                      <w:rFonts w:hint="default" w:ascii="Times New Roman" w:hAnsi="Times New Roman" w:eastAsia="宋体" w:cs="Times New Roman"/>
                      <w:color w:val="000000" w:themeColor="text1"/>
                      <w:sz w:val="21"/>
                      <w:szCs w:val="21"/>
                      <w:lang w:val="en-US" w:eastAsia="zh-CN"/>
                    </w:rPr>
                  </w:pPr>
                </w:p>
              </w:tc>
              <w:tc>
                <w:tcPr>
                  <w:tcW w:w="715" w:type="pct"/>
                  <w:vMerge w:val="continue"/>
                  <w:vAlign w:val="center"/>
                </w:tcPr>
                <w:p w14:paraId="51522546">
                  <w:pPr>
                    <w:pStyle w:val="12"/>
                    <w:spacing w:after="0"/>
                    <w:ind w:left="0" w:leftChars="0"/>
                    <w:jc w:val="center"/>
                    <w:rPr>
                      <w:rFonts w:hint="default" w:ascii="Times New Roman" w:hAnsi="Times New Roman" w:eastAsia="宋体" w:cs="Times New Roman"/>
                      <w:color w:val="000000" w:themeColor="text1"/>
                      <w:sz w:val="21"/>
                      <w:szCs w:val="21"/>
                      <w:lang w:val="en-US" w:eastAsia="zh-CN"/>
                    </w:rPr>
                  </w:pPr>
                </w:p>
              </w:tc>
              <w:tc>
                <w:tcPr>
                  <w:tcW w:w="716" w:type="pct"/>
                  <w:vMerge w:val="continue"/>
                  <w:vAlign w:val="center"/>
                </w:tcPr>
                <w:p w14:paraId="77A4AF33">
                  <w:pPr>
                    <w:pStyle w:val="12"/>
                    <w:spacing w:after="0"/>
                    <w:ind w:left="0" w:leftChars="0"/>
                    <w:jc w:val="center"/>
                    <w:rPr>
                      <w:rFonts w:hint="default" w:ascii="Times New Roman" w:hAnsi="Times New Roman" w:eastAsia="宋体" w:cs="Times New Roman"/>
                      <w:color w:val="000000" w:themeColor="text1"/>
                      <w:sz w:val="21"/>
                      <w:szCs w:val="21"/>
                      <w:lang w:val="en-US" w:eastAsia="zh-CN"/>
                    </w:rPr>
                  </w:pPr>
                </w:p>
              </w:tc>
            </w:tr>
            <w:tr w14:paraId="01EF65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 w:type="pct"/>
                  <w:vAlign w:val="center"/>
                </w:tcPr>
                <w:p w14:paraId="3C43C704">
                  <w:pPr>
                    <w:pStyle w:val="12"/>
                    <w:spacing w:after="0"/>
                    <w:ind w:left="0" w:leftChars="0"/>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3</w:t>
                  </w:r>
                </w:p>
              </w:tc>
              <w:tc>
                <w:tcPr>
                  <w:tcW w:w="817" w:type="pct"/>
                  <w:vAlign w:val="center"/>
                </w:tcPr>
                <w:p w14:paraId="05F2628F">
                  <w:pPr>
                    <w:pStyle w:val="12"/>
                    <w:spacing w:after="0"/>
                    <w:ind w:left="0" w:leftChars="0"/>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物料仓库</w:t>
                  </w:r>
                </w:p>
              </w:tc>
              <w:tc>
                <w:tcPr>
                  <w:tcW w:w="1053" w:type="pct"/>
                  <w:vAlign w:val="center"/>
                </w:tcPr>
                <w:p w14:paraId="72F34F50">
                  <w:pPr>
                    <w:pStyle w:val="12"/>
                    <w:spacing w:after="0"/>
                    <w:ind w:left="0" w:leftChars="0"/>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乙炔</w:t>
                  </w:r>
                </w:p>
              </w:tc>
              <w:tc>
                <w:tcPr>
                  <w:tcW w:w="714" w:type="pct"/>
                  <w:vAlign w:val="center"/>
                </w:tcPr>
                <w:p w14:paraId="6F88EB92">
                  <w:pPr>
                    <w:pStyle w:val="12"/>
                    <w:spacing w:after="0"/>
                    <w:ind w:left="0" w:leftChars="0"/>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最大贮存0.176t</w:t>
                  </w:r>
                </w:p>
              </w:tc>
              <w:tc>
                <w:tcPr>
                  <w:tcW w:w="714" w:type="pct"/>
                  <w:vAlign w:val="center"/>
                </w:tcPr>
                <w:p w14:paraId="69062A96">
                  <w:pPr>
                    <w:pStyle w:val="12"/>
                    <w:spacing w:after="0"/>
                    <w:ind w:left="0" w:leftChars="0"/>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火灾</w:t>
                  </w:r>
                </w:p>
              </w:tc>
              <w:tc>
                <w:tcPr>
                  <w:tcW w:w="715" w:type="pct"/>
                  <w:vMerge w:val="continue"/>
                  <w:vAlign w:val="center"/>
                </w:tcPr>
                <w:p w14:paraId="4E20D214">
                  <w:pPr>
                    <w:pStyle w:val="12"/>
                    <w:spacing w:after="0"/>
                    <w:ind w:left="0" w:leftChars="0"/>
                    <w:jc w:val="center"/>
                    <w:rPr>
                      <w:rFonts w:hint="default" w:ascii="Times New Roman" w:hAnsi="Times New Roman" w:eastAsia="宋体" w:cs="Times New Roman"/>
                      <w:color w:val="000000" w:themeColor="text1"/>
                      <w:sz w:val="21"/>
                      <w:szCs w:val="21"/>
                      <w:lang w:val="en-US" w:eastAsia="zh-CN"/>
                    </w:rPr>
                  </w:pPr>
                </w:p>
              </w:tc>
              <w:tc>
                <w:tcPr>
                  <w:tcW w:w="716" w:type="pct"/>
                  <w:vMerge w:val="continue"/>
                  <w:vAlign w:val="center"/>
                </w:tcPr>
                <w:p w14:paraId="70A8D941">
                  <w:pPr>
                    <w:pStyle w:val="12"/>
                    <w:spacing w:after="0"/>
                    <w:ind w:left="0" w:leftChars="0"/>
                    <w:jc w:val="center"/>
                    <w:rPr>
                      <w:rFonts w:hint="default" w:ascii="Times New Roman" w:hAnsi="Times New Roman" w:eastAsia="宋体" w:cs="Times New Roman"/>
                      <w:color w:val="000000" w:themeColor="text1"/>
                      <w:sz w:val="21"/>
                      <w:szCs w:val="21"/>
                      <w:lang w:val="en-US" w:eastAsia="zh-CN"/>
                    </w:rPr>
                  </w:pPr>
                </w:p>
              </w:tc>
            </w:tr>
            <w:tr w14:paraId="02AB1F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 w:type="pct"/>
                  <w:vAlign w:val="center"/>
                </w:tcPr>
                <w:p w14:paraId="703E7ACE">
                  <w:pPr>
                    <w:pStyle w:val="12"/>
                    <w:spacing w:after="0"/>
                    <w:ind w:left="0" w:leftChars="0"/>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4</w:t>
                  </w:r>
                </w:p>
              </w:tc>
              <w:tc>
                <w:tcPr>
                  <w:tcW w:w="817" w:type="pct"/>
                  <w:vAlign w:val="center"/>
                </w:tcPr>
                <w:p w14:paraId="0E37FFAB">
                  <w:pPr>
                    <w:pStyle w:val="12"/>
                    <w:spacing w:after="0"/>
                    <w:ind w:left="0" w:leftChars="0"/>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危废间</w:t>
                  </w:r>
                </w:p>
              </w:tc>
              <w:tc>
                <w:tcPr>
                  <w:tcW w:w="1053" w:type="pct"/>
                  <w:vAlign w:val="center"/>
                </w:tcPr>
                <w:p w14:paraId="5C8757D6">
                  <w:pPr>
                    <w:pStyle w:val="12"/>
                    <w:spacing w:after="0"/>
                    <w:ind w:left="0" w:leftChars="0"/>
                    <w:jc w:val="center"/>
                    <w:rPr>
                      <w:rFonts w:hint="eastAsia"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危险废物</w:t>
                  </w:r>
                </w:p>
              </w:tc>
              <w:tc>
                <w:tcPr>
                  <w:tcW w:w="714" w:type="pct"/>
                  <w:vAlign w:val="center"/>
                </w:tcPr>
                <w:p w14:paraId="127FE50F">
                  <w:pPr>
                    <w:pStyle w:val="12"/>
                    <w:spacing w:after="0"/>
                    <w:ind w:left="0" w:leftChars="0"/>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eastAsia="宋体" w:cs="Times New Roman"/>
                      <w:color w:val="000000" w:themeColor="text1"/>
                      <w:sz w:val="21"/>
                      <w:szCs w:val="21"/>
                      <w:lang w:val="en-US" w:eastAsia="zh-CN"/>
                    </w:rPr>
                    <w:t>/</w:t>
                  </w:r>
                </w:p>
              </w:tc>
              <w:tc>
                <w:tcPr>
                  <w:tcW w:w="714" w:type="pct"/>
                  <w:vAlign w:val="center"/>
                </w:tcPr>
                <w:p w14:paraId="0EAC191F">
                  <w:pPr>
                    <w:pStyle w:val="12"/>
                    <w:spacing w:after="0"/>
                    <w:ind w:left="0" w:leftChars="0"/>
                    <w:jc w:val="center"/>
                    <w:rPr>
                      <w:rFonts w:hint="default" w:ascii="Times New Roman" w:hAnsi="Times New Roman" w:eastAsia="宋体" w:cs="Times New Roman"/>
                      <w:color w:val="000000" w:themeColor="text1"/>
                      <w:sz w:val="21"/>
                      <w:szCs w:val="21"/>
                      <w:lang w:val="en-US" w:eastAsia="zh-CN"/>
                    </w:rPr>
                  </w:pPr>
                  <w:r>
                    <w:rPr>
                      <w:rFonts w:hint="eastAsia" w:cs="Times New Roman"/>
                      <w:color w:val="000000" w:themeColor="text1"/>
                      <w:sz w:val="21"/>
                      <w:szCs w:val="21"/>
                      <w:lang w:val="en-US" w:eastAsia="zh-CN"/>
                    </w:rPr>
                    <w:t>泄漏</w:t>
                  </w:r>
                </w:p>
              </w:tc>
              <w:tc>
                <w:tcPr>
                  <w:tcW w:w="715" w:type="pct"/>
                  <w:vMerge w:val="continue"/>
                  <w:vAlign w:val="center"/>
                </w:tcPr>
                <w:p w14:paraId="62D94C8D">
                  <w:pPr>
                    <w:pStyle w:val="12"/>
                    <w:spacing w:after="0"/>
                    <w:ind w:left="0" w:leftChars="0"/>
                    <w:jc w:val="center"/>
                    <w:rPr>
                      <w:rFonts w:hint="default" w:ascii="Times New Roman" w:hAnsi="Times New Roman" w:eastAsia="宋体" w:cs="Times New Roman"/>
                      <w:color w:val="000000" w:themeColor="text1"/>
                      <w:sz w:val="21"/>
                      <w:szCs w:val="21"/>
                      <w:lang w:val="en-US" w:eastAsia="zh-CN"/>
                    </w:rPr>
                  </w:pPr>
                </w:p>
              </w:tc>
              <w:tc>
                <w:tcPr>
                  <w:tcW w:w="716" w:type="pct"/>
                  <w:vMerge w:val="continue"/>
                  <w:vAlign w:val="center"/>
                </w:tcPr>
                <w:p w14:paraId="70D5A58F">
                  <w:pPr>
                    <w:pStyle w:val="12"/>
                    <w:spacing w:after="0"/>
                    <w:ind w:left="0" w:leftChars="0"/>
                    <w:jc w:val="center"/>
                    <w:rPr>
                      <w:rFonts w:hint="default" w:ascii="Times New Roman" w:hAnsi="Times New Roman" w:eastAsia="宋体" w:cs="Times New Roman"/>
                      <w:color w:val="000000" w:themeColor="text1"/>
                      <w:sz w:val="21"/>
                      <w:szCs w:val="21"/>
                      <w:lang w:val="en-US" w:eastAsia="zh-CN"/>
                    </w:rPr>
                  </w:pPr>
                </w:p>
              </w:tc>
            </w:tr>
          </w:tbl>
          <w:p w14:paraId="137F8448">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000000" w:themeColor="text1"/>
                <w:sz w:val="24"/>
                <w:szCs w:val="24"/>
                <w:lang w:val="en-US" w:eastAsia="zh-CN"/>
              </w:rPr>
            </w:pPr>
            <w:r>
              <w:rPr>
                <w:rFonts w:hint="eastAsia" w:ascii="Times New Roman" w:hAnsi="Times New Roman" w:eastAsia="宋体" w:cs="Times New Roman"/>
                <w:color w:val="000000" w:themeColor="text1"/>
                <w:sz w:val="24"/>
                <w:szCs w:val="24"/>
                <w:lang w:val="en-US" w:eastAsia="zh-CN"/>
              </w:rPr>
              <w:t>3、环境风险防范措施及应急要求</w:t>
            </w:r>
          </w:p>
          <w:p w14:paraId="45B08DB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000000" w:themeColor="text1"/>
                <w:sz w:val="24"/>
                <w:szCs w:val="24"/>
                <w:lang w:val="en-US" w:eastAsia="zh-CN"/>
              </w:rPr>
            </w:pPr>
            <w:r>
              <w:rPr>
                <w:rFonts w:hint="default"/>
                <w:color w:val="000000" w:themeColor="text1"/>
                <w:sz w:val="24"/>
                <w:szCs w:val="24"/>
                <w:lang w:val="en-US" w:eastAsia="zh-CN"/>
              </w:rPr>
              <w:t>为使环境风险减小到最低限度，必须加强劳动安全卫生管理，制定完备、有效的安全防范措施，尽可能降低该项目环境风险事故发生的概率</w:t>
            </w:r>
            <w:r>
              <w:rPr>
                <w:rFonts w:hint="eastAsia"/>
                <w:color w:val="000000" w:themeColor="text1"/>
                <w:sz w:val="24"/>
                <w:szCs w:val="24"/>
                <w:lang w:val="en-US" w:eastAsia="zh-CN"/>
              </w:rPr>
              <w:t>。</w:t>
            </w:r>
          </w:p>
          <w:p w14:paraId="5ADD588C">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sz w:val="24"/>
                <w:szCs w:val="24"/>
                <w:lang w:val="en-US" w:eastAsia="zh-CN"/>
              </w:rPr>
            </w:pPr>
            <w:r>
              <w:rPr>
                <w:rFonts w:hint="default" w:ascii="Times New Roman" w:hAnsi="Times New Roman" w:eastAsia="宋体" w:cs="Times New Roman"/>
                <w:color w:val="000000" w:themeColor="text1"/>
                <w:sz w:val="24"/>
                <w:szCs w:val="24"/>
                <w:lang w:val="en-US" w:eastAsia="zh-CN"/>
              </w:rPr>
              <w:t>（1）储存、管理安全防范措施</w:t>
            </w:r>
          </w:p>
          <w:p w14:paraId="3FF1370E">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sz w:val="24"/>
                <w:szCs w:val="24"/>
                <w:lang w:val="en-US" w:eastAsia="zh-CN"/>
              </w:rPr>
            </w:pPr>
            <w:r>
              <w:rPr>
                <w:rFonts w:hint="default" w:ascii="Times New Roman" w:hAnsi="Times New Roman" w:eastAsia="宋体" w:cs="Times New Roman"/>
                <w:color w:val="000000" w:themeColor="text1"/>
                <w:sz w:val="24"/>
                <w:szCs w:val="24"/>
                <w:lang w:val="en-US" w:eastAsia="zh-CN"/>
              </w:rPr>
              <w:t>①油罐区、生产车间及危废暂存间地面防渗、防漏，设置醒目的防火、禁止吸烟及明火标志；</w:t>
            </w:r>
          </w:p>
          <w:p w14:paraId="7A5AD30A">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sz w:val="24"/>
                <w:szCs w:val="24"/>
                <w:lang w:val="en-US" w:eastAsia="zh-CN"/>
              </w:rPr>
            </w:pPr>
            <w:r>
              <w:rPr>
                <w:rFonts w:hint="default" w:ascii="Times New Roman" w:hAnsi="Times New Roman" w:eastAsia="宋体" w:cs="Times New Roman"/>
                <w:color w:val="000000" w:themeColor="text1"/>
                <w:sz w:val="24"/>
                <w:szCs w:val="24"/>
                <w:lang w:val="en-US" w:eastAsia="zh-CN"/>
              </w:rPr>
              <w:t>②油罐区、生产车间内部地面采取水泥混凝土硬化，满足相应的防渗系数；加强对物料储存、使用的安全管理和检查，避免物料出现泄漏，配备相应品种和数量的消防器材及泄漏应急处理设备；</w:t>
            </w:r>
          </w:p>
          <w:p w14:paraId="7A607B31">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sz w:val="24"/>
                <w:szCs w:val="24"/>
                <w:lang w:val="en-US" w:eastAsia="zh-CN"/>
              </w:rPr>
            </w:pPr>
            <w:r>
              <w:rPr>
                <w:rFonts w:hint="default" w:ascii="Times New Roman" w:hAnsi="Times New Roman" w:eastAsia="宋体" w:cs="Times New Roman"/>
                <w:color w:val="000000" w:themeColor="text1"/>
                <w:sz w:val="24"/>
                <w:szCs w:val="24"/>
                <w:lang w:val="en-US" w:eastAsia="zh-CN"/>
              </w:rPr>
              <w:t>③油罐区、危废间设置围堰及导流沟，防止液态危废泄漏进入外环境；</w:t>
            </w:r>
            <w:r>
              <w:rPr>
                <w:rFonts w:hint="eastAsia" w:ascii="Times New Roman" w:hAnsi="Times New Roman" w:eastAsia="宋体" w:cs="Times New Roman"/>
                <w:color w:val="000000" w:themeColor="text1"/>
                <w:sz w:val="24"/>
                <w:szCs w:val="24"/>
                <w:lang w:val="en-US" w:eastAsia="zh-CN"/>
              </w:rPr>
              <w:t>油罐区设置围堰，围堰尺寸为2.5*3*0.6m。</w:t>
            </w:r>
          </w:p>
          <w:p w14:paraId="17CCDCA9">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sz w:val="24"/>
                <w:szCs w:val="24"/>
                <w:lang w:val="en-US" w:eastAsia="zh-CN"/>
              </w:rPr>
            </w:pPr>
            <w:r>
              <w:rPr>
                <w:rFonts w:hint="eastAsia" w:ascii="Times New Roman" w:hAnsi="Times New Roman" w:eastAsia="宋体" w:cs="Times New Roman"/>
                <w:color w:val="000000" w:themeColor="text1"/>
                <w:sz w:val="24"/>
                <w:szCs w:val="24"/>
                <w:lang w:val="en-US" w:eastAsia="zh-CN"/>
              </w:rPr>
              <w:t>④</w:t>
            </w:r>
            <w:r>
              <w:rPr>
                <w:rFonts w:hint="default" w:ascii="Times New Roman" w:hAnsi="Times New Roman" w:eastAsia="宋体" w:cs="Times New Roman"/>
                <w:color w:val="000000" w:themeColor="text1"/>
                <w:sz w:val="24"/>
                <w:szCs w:val="24"/>
                <w:lang w:val="en-US" w:eastAsia="zh-CN"/>
              </w:rPr>
              <w:t>加强生产设备的维护保养和定期巡视，若发生泄漏应及时维修；</w:t>
            </w:r>
          </w:p>
          <w:p w14:paraId="1BE925BC">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sz w:val="24"/>
                <w:szCs w:val="24"/>
                <w:lang w:val="en-US" w:eastAsia="zh-CN"/>
              </w:rPr>
            </w:pPr>
            <w:r>
              <w:rPr>
                <w:rFonts w:hint="eastAsia" w:ascii="Times New Roman" w:hAnsi="Times New Roman" w:eastAsia="宋体" w:cs="Times New Roman"/>
                <w:color w:val="000000" w:themeColor="text1"/>
                <w:sz w:val="24"/>
                <w:szCs w:val="24"/>
                <w:lang w:val="en-US" w:eastAsia="zh-CN"/>
              </w:rPr>
              <w:t>⑤</w:t>
            </w:r>
            <w:r>
              <w:rPr>
                <w:rFonts w:hint="default" w:ascii="Times New Roman" w:hAnsi="Times New Roman" w:eastAsia="宋体" w:cs="Times New Roman"/>
                <w:color w:val="000000" w:themeColor="text1"/>
                <w:sz w:val="24"/>
                <w:szCs w:val="24"/>
                <w:lang w:val="en-US" w:eastAsia="zh-CN"/>
              </w:rPr>
              <w:t>危废暂存间配备吸附棉、沙土、备用空桶等，发生泄漏时，立即将收集的物料转移至备用空桶中，无法收集的油污使用沙土、吸附棉吸附处理泄漏物料，不得用水冲洗，泄漏的变压器油按照危险废物进行委外处理。</w:t>
            </w:r>
          </w:p>
          <w:p w14:paraId="1086327C">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sz w:val="24"/>
                <w:szCs w:val="24"/>
                <w:lang w:val="en-US" w:eastAsia="zh-CN"/>
              </w:rPr>
            </w:pPr>
            <w:r>
              <w:rPr>
                <w:rFonts w:hint="eastAsia" w:ascii="Times New Roman" w:hAnsi="Times New Roman" w:eastAsia="宋体" w:cs="Times New Roman"/>
                <w:color w:val="000000" w:themeColor="text1"/>
                <w:sz w:val="24"/>
                <w:szCs w:val="24"/>
                <w:lang w:val="en-US" w:eastAsia="zh-CN"/>
              </w:rPr>
              <w:t>⑥</w:t>
            </w:r>
            <w:r>
              <w:rPr>
                <w:rFonts w:hint="default" w:ascii="Times New Roman" w:hAnsi="Times New Roman" w:eastAsia="宋体" w:cs="Times New Roman"/>
                <w:color w:val="000000" w:themeColor="text1"/>
                <w:sz w:val="24"/>
                <w:szCs w:val="24"/>
                <w:lang w:val="en-US" w:eastAsia="zh-CN"/>
              </w:rPr>
              <w:t>危废暂存间严格按照《危险废物贮存污染控制标准</w:t>
            </w:r>
            <w:r>
              <w:rPr>
                <w:rFonts w:hint="eastAsia" w:ascii="Times New Roman" w:hAnsi="Times New Roman" w:eastAsia="宋体" w:cs="Times New Roman"/>
                <w:color w:val="000000" w:themeColor="text1"/>
                <w:sz w:val="24"/>
                <w:szCs w:val="24"/>
                <w:lang w:val="en-US" w:eastAsia="zh-CN"/>
              </w:rPr>
              <w:t>》</w:t>
            </w:r>
            <w:r>
              <w:rPr>
                <w:rFonts w:hint="default" w:ascii="Times New Roman" w:hAnsi="Times New Roman" w:eastAsia="宋体" w:cs="Times New Roman"/>
                <w:color w:val="000000" w:themeColor="text1"/>
                <w:sz w:val="24"/>
                <w:szCs w:val="24"/>
                <w:lang w:val="en-US" w:eastAsia="zh-CN"/>
              </w:rPr>
              <w:t>（GB18597-2023）进行建设，危废转运过程中应委托第三方有资质的运输单位进行。</w:t>
            </w:r>
          </w:p>
          <w:p w14:paraId="2B9B4216">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sz w:val="24"/>
                <w:szCs w:val="24"/>
                <w:lang w:val="en-US" w:eastAsia="zh-CN"/>
              </w:rPr>
            </w:pPr>
            <w:r>
              <w:rPr>
                <w:rFonts w:hint="default" w:ascii="Times New Roman" w:hAnsi="Times New Roman" w:eastAsia="宋体" w:cs="Times New Roman"/>
                <w:color w:val="000000" w:themeColor="text1"/>
                <w:sz w:val="24"/>
                <w:szCs w:val="24"/>
                <w:lang w:val="en-US" w:eastAsia="zh-CN"/>
              </w:rPr>
              <w:t>（2）废气事故排放风险防范措施</w:t>
            </w:r>
          </w:p>
          <w:p w14:paraId="17813161">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sz w:val="24"/>
                <w:szCs w:val="24"/>
                <w:lang w:val="en-US" w:eastAsia="zh-CN"/>
              </w:rPr>
            </w:pPr>
            <w:r>
              <w:rPr>
                <w:rFonts w:hint="default" w:ascii="Times New Roman" w:hAnsi="Times New Roman" w:eastAsia="宋体" w:cs="Times New Roman"/>
                <w:color w:val="000000" w:themeColor="text1"/>
                <w:sz w:val="24"/>
                <w:szCs w:val="24"/>
                <w:lang w:val="en-US" w:eastAsia="zh-CN"/>
              </w:rPr>
              <w:t>废气事故排放情况下，即视为废气不经治理设施处理而直接排放，对周边的大气环境有一定的影响。为避免出现事故排放，建设单位应建立健全环保管理机制和各项环保规章制度，落实岗位环保责任制，加强环境风险防范工作，防止事故排放导致环境问题，避免出现废气处理事故排放，防止废气治理设施事故性失效，要求加强对废气治理设施的日常运行管理，加强对操作人员的岗位培训，确保废气稳定达标排放，杜绝事故性排放。</w:t>
            </w:r>
          </w:p>
          <w:p w14:paraId="4094DEDB">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sz w:val="24"/>
                <w:szCs w:val="24"/>
                <w:lang w:val="en-US" w:eastAsia="zh-CN"/>
              </w:rPr>
            </w:pPr>
            <w:r>
              <w:rPr>
                <w:rFonts w:hint="default" w:ascii="Times New Roman" w:hAnsi="Times New Roman" w:eastAsia="宋体" w:cs="Times New Roman"/>
                <w:color w:val="000000" w:themeColor="text1"/>
                <w:sz w:val="24"/>
                <w:szCs w:val="24"/>
                <w:lang w:val="en-US" w:eastAsia="zh-CN"/>
              </w:rPr>
              <w:t>（3）事故应急措施</w:t>
            </w:r>
          </w:p>
          <w:p w14:paraId="24231A3B">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sz w:val="24"/>
                <w:szCs w:val="24"/>
                <w:lang w:val="en-US" w:eastAsia="zh-CN"/>
              </w:rPr>
            </w:pPr>
            <w:r>
              <w:rPr>
                <w:rFonts w:hint="default" w:ascii="Times New Roman" w:hAnsi="Times New Roman" w:eastAsia="宋体" w:cs="Times New Roman"/>
                <w:color w:val="000000" w:themeColor="text1"/>
                <w:sz w:val="24"/>
                <w:szCs w:val="24"/>
                <w:lang w:val="en-US" w:eastAsia="zh-CN"/>
              </w:rPr>
              <w:t>①当发生物料泄漏时，应立即切断火源，隔离泄漏污染区，严格限制人员出入，同时向主管负责人报告。</w:t>
            </w:r>
          </w:p>
          <w:p w14:paraId="34936E6D">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sz w:val="24"/>
                <w:szCs w:val="24"/>
                <w:lang w:val="en-US" w:eastAsia="zh-CN"/>
              </w:rPr>
            </w:pPr>
            <w:r>
              <w:rPr>
                <w:rFonts w:hint="default" w:ascii="Times New Roman" w:hAnsi="Times New Roman" w:eastAsia="宋体" w:cs="Times New Roman"/>
                <w:color w:val="000000" w:themeColor="text1"/>
                <w:sz w:val="24"/>
                <w:szCs w:val="24"/>
                <w:lang w:val="en-US" w:eastAsia="zh-CN"/>
              </w:rPr>
              <w:t>②小量泄漏应急处置：尽可能将溢流液收集到有盖容器内，用砂土、活性炭或其他惰性材料吸收残液，也可用不燃性分散剂制成的乳液或肥皂水、洗涤剂洗刷，并使用装置将废液等全部收集专用容器中，与使用过的吸附物一起，按照危险废物进行委外处理。</w:t>
            </w:r>
          </w:p>
          <w:p w14:paraId="5F5F9AFE">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sz w:val="24"/>
                <w:szCs w:val="24"/>
                <w:lang w:val="en-US" w:eastAsia="zh-CN"/>
              </w:rPr>
            </w:pPr>
            <w:r>
              <w:rPr>
                <w:rFonts w:hint="default" w:ascii="Times New Roman" w:hAnsi="Times New Roman" w:eastAsia="宋体" w:cs="Times New Roman"/>
                <w:color w:val="000000" w:themeColor="text1"/>
                <w:sz w:val="24"/>
                <w:szCs w:val="24"/>
                <w:lang w:val="en-US" w:eastAsia="zh-CN"/>
              </w:rPr>
              <w:t>③大量泄漏应急处置：首先应将泄漏物控制在围堰或构筑消防沙袋围堤，用泡沫覆盖，降低蒸汽灾害，并转移至专用收集器内，回收的物质按照危险废物进行委外处理。</w:t>
            </w:r>
          </w:p>
          <w:p w14:paraId="56DBD7DA">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sz w:val="24"/>
                <w:szCs w:val="24"/>
                <w:lang w:val="en-US" w:eastAsia="zh-CN"/>
              </w:rPr>
            </w:pPr>
            <w:r>
              <w:rPr>
                <w:rFonts w:hint="default" w:ascii="Times New Roman" w:hAnsi="Times New Roman" w:eastAsia="宋体" w:cs="Times New Roman"/>
                <w:color w:val="000000" w:themeColor="text1"/>
                <w:sz w:val="24"/>
                <w:szCs w:val="24"/>
                <w:lang w:val="en-US" w:eastAsia="zh-CN"/>
              </w:rPr>
              <w:t>（4）火灾次生环境事件应急处置</w:t>
            </w:r>
          </w:p>
          <w:p w14:paraId="7E314C89">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sz w:val="24"/>
                <w:szCs w:val="24"/>
                <w:lang w:val="en-US" w:eastAsia="zh-CN"/>
              </w:rPr>
            </w:pPr>
            <w:r>
              <w:rPr>
                <w:rFonts w:hint="default" w:ascii="Times New Roman" w:hAnsi="Times New Roman" w:eastAsia="宋体" w:cs="Times New Roman"/>
                <w:color w:val="000000" w:themeColor="text1"/>
                <w:sz w:val="24"/>
                <w:szCs w:val="24"/>
                <w:lang w:val="en-US" w:eastAsia="zh-CN"/>
              </w:rPr>
              <w:t>落实安全检查制度，定期检查，排除火灾隐患；加强厂区消防检查和管理，在厂区按照消防要求设置灭火器材，准备吸油毡、消防沙等应急救援物资；发生物料泄漏事件，或者发生火灾等事故时，通过设置托盘、围堰等措施控制泄漏物或消防废水进入雨水管道。</w:t>
            </w:r>
          </w:p>
          <w:p w14:paraId="48281149">
            <w:pPr>
              <w:keepNext w:val="0"/>
              <w:keepLines w:val="0"/>
              <w:pageBreakBefore w:val="0"/>
              <w:widowControl w:val="0"/>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sz w:val="24"/>
                <w:szCs w:val="24"/>
                <w:lang w:val="en-US" w:eastAsia="zh-CN"/>
              </w:rPr>
            </w:pPr>
            <w:r>
              <w:rPr>
                <w:rFonts w:hint="default" w:ascii="Times New Roman" w:hAnsi="Times New Roman" w:eastAsia="宋体" w:cs="Times New Roman"/>
                <w:color w:val="000000" w:themeColor="text1"/>
                <w:sz w:val="24"/>
                <w:szCs w:val="24"/>
                <w:lang w:val="en-US" w:eastAsia="zh-CN"/>
              </w:rPr>
              <w:t>建设单位应对火灾救援过程中产生的喷射泡沫、干粉等，进行收集处置；及时关闭厂区雨水总排口，沙袋制成临时围堰，对进入雨水系统的消防水采取截流措施，再用吸油毡对污油进行吸附，吸油毡及吸附物质需按照危废处置，禁止随意丢弃，禁止混入一般固体废物。</w:t>
            </w:r>
          </w:p>
          <w:p w14:paraId="7A98002F">
            <w:pPr>
              <w:pStyle w:val="155"/>
              <w:tabs>
                <w:tab w:val="left" w:pos="358"/>
              </w:tabs>
              <w:spacing w:before="0" w:after="0"/>
              <w:ind w:firstLine="480" w:firstLineChars="200"/>
              <w:outlineLvl w:val="9"/>
              <w:rPr>
                <w:b w:val="0"/>
                <w:color w:val="000000" w:themeColor="text1"/>
              </w:rPr>
            </w:pPr>
            <w:r>
              <w:rPr>
                <w:rFonts w:hint="eastAsia"/>
                <w:b w:val="0"/>
                <w:color w:val="000000" w:themeColor="text1"/>
              </w:rPr>
              <w:t>拟建项目对厂内事故废水防范措施如下。</w:t>
            </w:r>
          </w:p>
          <w:p w14:paraId="05E1FBEF">
            <w:pPr>
              <w:pStyle w:val="155"/>
              <w:tabs>
                <w:tab w:val="left" w:pos="358"/>
              </w:tabs>
              <w:spacing w:before="0" w:after="0"/>
              <w:ind w:firstLine="480" w:firstLineChars="200"/>
              <w:outlineLvl w:val="9"/>
              <w:rPr>
                <w:rFonts w:hint="eastAsia" w:ascii="宋体" w:hAnsi="宋体" w:eastAsia="宋体" w:cs="宋体"/>
                <w:b w:val="0"/>
                <w:color w:val="000000" w:themeColor="text1"/>
                <w:lang w:val="en-US" w:eastAsia="zh-CN"/>
              </w:rPr>
            </w:pPr>
            <w:r>
              <w:rPr>
                <w:rFonts w:hint="eastAsia" w:ascii="宋体" w:hAnsi="宋体" w:cs="宋体"/>
                <w:b w:val="0"/>
                <w:color w:val="000000" w:themeColor="text1"/>
              </w:rPr>
              <w:t>①</w:t>
            </w:r>
            <w:r>
              <w:rPr>
                <w:rFonts w:hint="eastAsia" w:ascii="宋体" w:hAnsi="宋体" w:cs="宋体"/>
                <w:b w:val="0"/>
                <w:color w:val="000000" w:themeColor="text1"/>
                <w:lang w:val="en-US" w:eastAsia="zh-CN"/>
              </w:rPr>
              <w:t>一级防控措施</w:t>
            </w:r>
          </w:p>
          <w:p w14:paraId="316474E2">
            <w:pPr>
              <w:pStyle w:val="155"/>
              <w:tabs>
                <w:tab w:val="left" w:pos="358"/>
              </w:tabs>
              <w:spacing w:before="0" w:after="0"/>
              <w:ind w:firstLine="480" w:firstLineChars="200"/>
              <w:outlineLvl w:val="9"/>
              <w:rPr>
                <w:b w:val="0"/>
                <w:color w:val="000000" w:themeColor="text1"/>
              </w:rPr>
            </w:pPr>
            <w:r>
              <w:rPr>
                <w:rFonts w:hint="eastAsia"/>
                <w:b w:val="0"/>
                <w:color w:val="000000" w:themeColor="text1"/>
                <w:lang w:val="en-US" w:eastAsia="zh-CN"/>
              </w:rPr>
              <w:t>厂区</w:t>
            </w:r>
            <w:r>
              <w:rPr>
                <w:rFonts w:hint="eastAsia"/>
                <w:b w:val="0"/>
                <w:color w:val="000000" w:themeColor="text1"/>
              </w:rPr>
              <w:t>事故废水收集至事故应急池。</w:t>
            </w:r>
          </w:p>
          <w:p w14:paraId="59EB1C1E">
            <w:pPr>
              <w:pStyle w:val="155"/>
              <w:tabs>
                <w:tab w:val="left" w:pos="358"/>
              </w:tabs>
              <w:spacing w:before="0" w:after="0"/>
              <w:ind w:firstLine="480" w:firstLineChars="200"/>
              <w:outlineLvl w:val="9"/>
              <w:rPr>
                <w:rFonts w:hint="eastAsia" w:eastAsia="宋体"/>
                <w:b w:val="0"/>
                <w:color w:val="000000" w:themeColor="text1"/>
                <w:lang w:eastAsia="zh-CN"/>
              </w:rPr>
            </w:pPr>
            <w:r>
              <w:rPr>
                <w:rFonts w:hint="eastAsia" w:ascii="宋体" w:hAnsi="宋体" w:cs="宋体"/>
                <w:b w:val="0"/>
                <w:color w:val="000000" w:themeColor="text1"/>
              </w:rPr>
              <w:t>②</w:t>
            </w:r>
            <w:r>
              <w:rPr>
                <w:rFonts w:hint="eastAsia"/>
                <w:b w:val="0"/>
                <w:color w:val="000000" w:themeColor="text1"/>
                <w:lang w:val="en-US" w:eastAsia="zh-CN"/>
              </w:rPr>
              <w:t>二级防控措施</w:t>
            </w:r>
          </w:p>
          <w:p w14:paraId="106DD77A">
            <w:pPr>
              <w:pStyle w:val="155"/>
              <w:tabs>
                <w:tab w:val="left" w:pos="358"/>
              </w:tabs>
              <w:spacing w:before="0" w:after="0"/>
              <w:ind w:firstLine="480"/>
              <w:outlineLvl w:val="9"/>
              <w:rPr>
                <w:rFonts w:hint="default" w:eastAsia="宋体"/>
                <w:b w:val="0"/>
                <w:color w:val="000000" w:themeColor="text1"/>
                <w:lang w:val="en-US" w:eastAsia="zh-CN"/>
              </w:rPr>
            </w:pPr>
            <w:r>
              <w:rPr>
                <w:rFonts w:hint="eastAsia"/>
                <w:b w:val="0"/>
                <w:color w:val="000000" w:themeColor="text1"/>
              </w:rPr>
              <w:t>根据设计方案，事故状态下雨水及消防废水均进入事故水池，事故状态下</w:t>
            </w:r>
            <w:r>
              <w:rPr>
                <w:rFonts w:hint="eastAsia"/>
                <w:b w:val="0"/>
                <w:color w:val="000000" w:themeColor="text1"/>
                <w:lang w:val="en-US" w:eastAsia="zh-CN"/>
              </w:rPr>
              <w:t>检查</w:t>
            </w:r>
            <w:r>
              <w:rPr>
                <w:rFonts w:hint="eastAsia"/>
                <w:b w:val="0"/>
                <w:color w:val="000000" w:themeColor="text1"/>
              </w:rPr>
              <w:t>厂区雨水和污水管网出口阀门</w:t>
            </w:r>
            <w:r>
              <w:rPr>
                <w:rFonts w:hint="eastAsia"/>
                <w:b w:val="0"/>
                <w:color w:val="000000" w:themeColor="text1"/>
                <w:lang w:val="en-US" w:eastAsia="zh-CN"/>
              </w:rPr>
              <w:t>是否为关闭状态</w:t>
            </w:r>
            <w:r>
              <w:rPr>
                <w:rFonts w:hint="eastAsia"/>
                <w:b w:val="0"/>
                <w:color w:val="000000" w:themeColor="text1"/>
              </w:rPr>
              <w:t>，将事故状态下污染物控制在厂内。待事故应急解除后，将收集的事故废水分批送入</w:t>
            </w:r>
            <w:r>
              <w:rPr>
                <w:rFonts w:hint="eastAsia"/>
                <w:b w:val="0"/>
                <w:color w:val="000000" w:themeColor="text1"/>
                <w:lang w:val="en-US" w:eastAsia="zh-CN"/>
              </w:rPr>
              <w:t>污水处理厂进行处理。</w:t>
            </w:r>
          </w:p>
          <w:p w14:paraId="256B8205">
            <w:pPr>
              <w:pStyle w:val="155"/>
              <w:tabs>
                <w:tab w:val="left" w:pos="358"/>
              </w:tabs>
              <w:spacing w:before="0" w:after="0"/>
              <w:ind w:firstLine="480" w:firstLineChars="200"/>
              <w:outlineLvl w:val="9"/>
              <w:rPr>
                <w:rFonts w:hint="eastAsia"/>
                <w:b w:val="0"/>
                <w:color w:val="000000" w:themeColor="text1"/>
                <w:lang w:val="en-US" w:eastAsia="zh-CN"/>
              </w:rPr>
            </w:pPr>
            <w:r>
              <w:rPr>
                <w:rFonts w:hint="eastAsia"/>
                <w:b w:val="0"/>
                <w:color w:val="000000" w:themeColor="text1"/>
                <w:lang w:val="en-US" w:eastAsia="zh-CN"/>
              </w:rPr>
              <w:t>③三级防控措施</w:t>
            </w:r>
          </w:p>
          <w:p w14:paraId="08ECACDC">
            <w:pPr>
              <w:pStyle w:val="155"/>
              <w:tabs>
                <w:tab w:val="left" w:pos="358"/>
              </w:tabs>
              <w:spacing w:before="0" w:after="0"/>
              <w:ind w:firstLine="480" w:firstLineChars="200"/>
              <w:outlineLvl w:val="9"/>
              <w:rPr>
                <w:rFonts w:hint="default"/>
                <w:b w:val="0"/>
                <w:color w:val="000000" w:themeColor="text1"/>
                <w:lang w:val="en-US" w:eastAsia="zh-CN"/>
              </w:rPr>
            </w:pPr>
            <w:r>
              <w:rPr>
                <w:rFonts w:hint="default"/>
                <w:b w:val="0"/>
                <w:color w:val="000000" w:themeColor="text1"/>
                <w:lang w:val="en-US" w:eastAsia="zh-CN"/>
              </w:rPr>
              <w:t>厂内事故池均设有与外界水体隔绝的控制阀门，发生火灾事故时，将事故废水收集，分批</w:t>
            </w:r>
            <w:r>
              <w:rPr>
                <w:rFonts w:hint="eastAsia"/>
                <w:b w:val="0"/>
                <w:color w:val="000000" w:themeColor="text1"/>
                <w:lang w:val="en-US" w:eastAsia="zh-CN"/>
              </w:rPr>
              <w:t>送至龙湖开发区污水处理厂</w:t>
            </w:r>
            <w:r>
              <w:rPr>
                <w:rFonts w:hint="default"/>
                <w:b w:val="0"/>
                <w:color w:val="000000" w:themeColor="text1"/>
                <w:lang w:val="en-US" w:eastAsia="zh-CN"/>
              </w:rPr>
              <w:t>，避免携带危险物质的污水直接进入外环境。</w:t>
            </w:r>
          </w:p>
          <w:p w14:paraId="7962DF3D">
            <w:pPr>
              <w:pStyle w:val="155"/>
              <w:tabs>
                <w:tab w:val="left" w:pos="358"/>
              </w:tabs>
              <w:spacing w:before="0" w:after="0"/>
              <w:ind w:firstLine="480" w:firstLineChars="200"/>
              <w:outlineLvl w:val="9"/>
              <w:rPr>
                <w:rFonts w:hint="default"/>
                <w:b w:val="0"/>
                <w:color w:val="000000" w:themeColor="text1"/>
                <w:lang w:val="en-US" w:eastAsia="zh-CN"/>
              </w:rPr>
            </w:pPr>
            <w:r>
              <w:rPr>
                <w:rFonts w:hint="default"/>
                <w:b w:val="0"/>
                <w:color w:val="000000" w:themeColor="text1"/>
                <w:lang w:val="en-US" w:eastAsia="zh-CN"/>
              </w:rPr>
              <w:t>本项目</w:t>
            </w:r>
            <w:r>
              <w:rPr>
                <w:rFonts w:hint="eastAsia"/>
                <w:b w:val="0"/>
                <w:color w:val="000000" w:themeColor="text1"/>
                <w:lang w:val="en-US" w:eastAsia="zh-CN"/>
              </w:rPr>
              <w:t>设置事故水池</w:t>
            </w:r>
            <w:r>
              <w:rPr>
                <w:rFonts w:hint="default"/>
                <w:b w:val="0"/>
                <w:color w:val="000000" w:themeColor="text1"/>
                <w:lang w:val="en-US" w:eastAsia="zh-CN"/>
              </w:rPr>
              <w:t>，事故下废水可以收集、暂存，后期分批处理达标</w:t>
            </w:r>
            <w:r>
              <w:rPr>
                <w:rFonts w:hint="eastAsia"/>
                <w:b w:val="0"/>
                <w:color w:val="000000" w:themeColor="text1"/>
                <w:lang w:val="en-US" w:eastAsia="zh-CN"/>
              </w:rPr>
              <w:t>。</w:t>
            </w:r>
            <w:r>
              <w:rPr>
                <w:rFonts w:hint="default"/>
                <w:b w:val="0"/>
                <w:color w:val="000000" w:themeColor="text1"/>
                <w:lang w:val="en-US" w:eastAsia="zh-CN"/>
              </w:rPr>
              <w:t>事故水采取“单元、厂区、园区”三级联控，废水总排口、雨水排口设置切断设施,可确保一般事故状态废水不外排。</w:t>
            </w:r>
          </w:p>
          <w:p w14:paraId="2093885F">
            <w:pPr>
              <w:pStyle w:val="155"/>
              <w:tabs>
                <w:tab w:val="left" w:pos="358"/>
              </w:tabs>
              <w:spacing w:before="0" w:after="0"/>
              <w:ind w:firstLine="480" w:firstLineChars="200"/>
              <w:outlineLvl w:val="9"/>
              <w:rPr>
                <w:rFonts w:hint="default"/>
                <w:b w:val="0"/>
                <w:color w:val="000000" w:themeColor="text1"/>
                <w:lang w:val="en-US" w:eastAsia="zh-CN"/>
              </w:rPr>
            </w:pPr>
            <w:r>
              <w:rPr>
                <w:rFonts w:hint="default"/>
                <w:b w:val="0"/>
                <w:color w:val="000000" w:themeColor="text1"/>
                <w:lang w:val="en-US" w:eastAsia="zh-CN"/>
              </w:rPr>
              <w:t>拟建项目在采取上述措施后，可确保项目的事故废水控制在厂区内，不经处理达标不外排，同时开发区对地表水体设置控制闸，不会污染厂址附近地表水体拟建项目事故状态下事故废水三级防控示意见下图所示。</w:t>
            </w:r>
          </w:p>
          <w:p w14:paraId="577A9354">
            <w:pPr>
              <w:pStyle w:val="155"/>
              <w:keepNext w:val="0"/>
              <w:keepLines w:val="0"/>
              <w:pageBreakBefore w:val="0"/>
              <w:widowControl/>
              <w:tabs>
                <w:tab w:val="left" w:pos="358"/>
              </w:tabs>
              <w:kinsoku/>
              <w:wordWrap/>
              <w:overflowPunct/>
              <w:topLinePunct w:val="0"/>
              <w:autoSpaceDE/>
              <w:autoSpaceDN/>
              <w:bidi w:val="0"/>
              <w:adjustRightInd/>
              <w:snapToGrid/>
              <w:spacing w:before="0" w:after="0" w:line="240" w:lineRule="auto"/>
              <w:ind w:firstLine="0"/>
              <w:textAlignment w:val="auto"/>
              <w:outlineLvl w:val="9"/>
              <w:rPr>
                <w:rFonts w:hint="eastAsia"/>
                <w:b w:val="0"/>
                <w:color w:val="000000" w:themeColor="text1"/>
              </w:rPr>
            </w:pPr>
            <w:r>
              <w:rPr>
                <w:color w:val="000000" w:themeColor="text1"/>
                <w:sz w:val="24"/>
              </w:rPr>
              <w:pict>
                <v:shape id="_x0000_s1045" o:spid="_x0000_s1045" o:spt="202" type="#_x0000_t202" style="position:absolute;left:0pt;margin-left:33.6pt;margin-top:139.8pt;height:10.2pt;width:41.85pt;z-index:251664384;mso-width-relative:page;mso-height-relative:page;" fillcolor="#FFFFFF" filled="t" stroked="t" coordsize="21600,21600">
                  <v:path/>
                  <v:fill on="t" focussize="0,0"/>
                  <v:stroke color="#FFFFFF"/>
                  <v:imagedata o:title=""/>
                  <o:lock v:ext="edit" aspectratio="f"/>
                  <v:textbox>
                    <w:txbxContent>
                      <w:p w14:paraId="63DE8A4C"/>
                    </w:txbxContent>
                  </v:textbox>
                </v:shape>
              </w:pict>
            </w:r>
            <w:r>
              <w:rPr>
                <w:color w:val="000000" w:themeColor="text1"/>
              </w:rPr>
              <w:pict>
                <v:shape id="_x0000_i1050" o:spt="75" type="#_x0000_t75" style="height:162.65pt;width:397.7pt;" filled="f" o:preferrelative="t" stroked="f" coordsize="21600,21600">
                  <v:path/>
                  <v:fill on="f" focussize="0,0"/>
                  <v:stroke on="f"/>
                  <v:imagedata r:id="rId45" o:title=""/>
                  <o:lock v:ext="edit" aspectratio="t"/>
                  <w10:wrap type="none"/>
                  <w10:anchorlock/>
                </v:shape>
              </w:pict>
            </w:r>
          </w:p>
          <w:p w14:paraId="26E69CD2">
            <w:pPr>
              <w:pStyle w:val="155"/>
              <w:tabs>
                <w:tab w:val="left" w:pos="358"/>
              </w:tabs>
              <w:spacing w:before="0" w:after="0"/>
              <w:jc w:val="center"/>
              <w:outlineLvl w:val="9"/>
              <w:rPr>
                <w:rFonts w:hint="default" w:eastAsia="宋体"/>
                <w:b/>
                <w:bCs/>
                <w:color w:val="000000" w:themeColor="text1"/>
                <w:lang w:val="en-US" w:eastAsia="zh-CN"/>
              </w:rPr>
            </w:pPr>
            <w:r>
              <w:rPr>
                <w:rFonts w:hint="eastAsia"/>
                <w:b/>
                <w:bCs/>
                <w:color w:val="000000" w:themeColor="text1"/>
                <w:lang w:val="en-US" w:eastAsia="zh-CN"/>
              </w:rPr>
              <w:t>图4-2  事故废水三级防控示意图</w:t>
            </w:r>
          </w:p>
          <w:p w14:paraId="5AE4A44C">
            <w:pPr>
              <w:pStyle w:val="155"/>
              <w:tabs>
                <w:tab w:val="left" w:pos="358"/>
              </w:tabs>
              <w:spacing w:before="0" w:after="0"/>
              <w:ind w:firstLine="480"/>
              <w:outlineLvl w:val="9"/>
              <w:rPr>
                <w:b w:val="0"/>
                <w:color w:val="000000" w:themeColor="text1"/>
              </w:rPr>
            </w:pPr>
            <w:r>
              <w:rPr>
                <w:rFonts w:hint="eastAsia"/>
                <w:b w:val="0"/>
                <w:color w:val="000000" w:themeColor="text1"/>
              </w:rPr>
              <w:t>根据《建设项目环境风险评价技术导则》(HJ169-2018)，应急储存设施应根据发生事故的设备容量、事故时消防用水量及可能进入应急储存设施的雨水量等因素综合确定。</w:t>
            </w:r>
          </w:p>
          <w:p w14:paraId="4ED2933D">
            <w:pPr>
              <w:spacing w:line="360" w:lineRule="auto"/>
              <w:ind w:firstLine="480" w:firstLineChars="200"/>
              <w:rPr>
                <w:rFonts w:hint="eastAsia" w:ascii="Times New Roman" w:hAnsi="Times New Roman" w:eastAsia="宋体" w:cs="Times New Roman"/>
                <w:b w:val="0"/>
                <w:color w:val="000000" w:themeColor="text1"/>
                <w:sz w:val="24"/>
                <w:szCs w:val="24"/>
                <w:lang w:eastAsia="zh-CN"/>
              </w:rPr>
            </w:pPr>
            <w:r>
              <w:rPr>
                <w:rFonts w:hint="eastAsia" w:ascii="Times New Roman" w:hAnsi="Times New Roman" w:eastAsia="宋体" w:cs="Times New Roman"/>
                <w:b w:val="0"/>
                <w:color w:val="000000" w:themeColor="text1"/>
                <w:sz w:val="24"/>
                <w:szCs w:val="24"/>
                <w:lang w:val="en-US" w:eastAsia="zh-CN"/>
              </w:rPr>
              <w:t>参照</w:t>
            </w:r>
            <w:r>
              <w:rPr>
                <w:rFonts w:hint="default" w:ascii="Times New Roman" w:hAnsi="Times New Roman" w:eastAsia="宋体" w:cs="Times New Roman"/>
                <w:b w:val="0"/>
                <w:color w:val="000000" w:themeColor="text1"/>
                <w:sz w:val="24"/>
                <w:szCs w:val="24"/>
              </w:rPr>
              <w:t>中国石化《水体</w:t>
            </w:r>
            <w:r>
              <w:rPr>
                <w:rFonts w:hint="eastAsia" w:ascii="Times New Roman" w:hAnsi="Times New Roman" w:eastAsia="宋体" w:cs="Times New Roman"/>
                <w:b w:val="0"/>
                <w:color w:val="000000" w:themeColor="text1"/>
                <w:sz w:val="24"/>
                <w:szCs w:val="24"/>
                <w:lang w:val="en-US" w:eastAsia="zh-CN"/>
              </w:rPr>
              <w:t>环境风险防控要点</w:t>
            </w:r>
            <w:r>
              <w:rPr>
                <w:rFonts w:hint="default" w:ascii="Times New Roman" w:hAnsi="Times New Roman" w:eastAsia="宋体" w:cs="Times New Roman"/>
                <w:b w:val="0"/>
                <w:color w:val="000000" w:themeColor="text1"/>
                <w:sz w:val="24"/>
                <w:szCs w:val="24"/>
              </w:rPr>
              <w:t>》中相关要求，事故储存设施总有效面积</w:t>
            </w:r>
            <w:r>
              <w:rPr>
                <w:rFonts w:hint="eastAsia" w:ascii="Times New Roman" w:hAnsi="Times New Roman" w:eastAsia="宋体" w:cs="Times New Roman"/>
                <w:b w:val="0"/>
                <w:color w:val="000000" w:themeColor="text1"/>
                <w:sz w:val="24"/>
                <w:szCs w:val="24"/>
                <w:lang w:eastAsia="zh-CN"/>
              </w:rPr>
              <w:t>：</w:t>
            </w:r>
          </w:p>
          <w:p w14:paraId="12A1DC7F">
            <w:pPr>
              <w:spacing w:line="360" w:lineRule="auto"/>
              <w:ind w:firstLine="480" w:firstLineChars="200"/>
              <w:rPr>
                <w:rFonts w:hint="default" w:ascii="Times New Roman" w:hAnsi="Times New Roman" w:eastAsia="宋体" w:cs="Times New Roman"/>
                <w:color w:val="000000" w:themeColor="text1"/>
                <w:sz w:val="24"/>
                <w:szCs w:val="24"/>
              </w:rPr>
            </w:pPr>
            <w:r>
              <w:rPr>
                <w:rFonts w:hint="default" w:ascii="Times New Roman" w:hAnsi="Times New Roman" w:eastAsia="宋体" w:cs="Times New Roman"/>
                <w:b w:val="0"/>
                <w:color w:val="000000" w:themeColor="text1"/>
                <w:sz w:val="24"/>
                <w:szCs w:val="24"/>
              </w:rPr>
              <w:t>V总=（V1+V2-V3）max+V4+V5</w:t>
            </w:r>
          </w:p>
          <w:p w14:paraId="70B9A650">
            <w:pPr>
              <w:spacing w:line="360" w:lineRule="auto"/>
              <w:ind w:firstLine="480" w:firstLineChars="200"/>
              <w:rPr>
                <w:rFonts w:ascii="Times New Roman" w:hAnsi="Times New Roman" w:eastAsia="宋体" w:cs="Times New Roman"/>
                <w:color w:val="000000" w:themeColor="text1"/>
                <w:sz w:val="24"/>
                <w:szCs w:val="24"/>
              </w:rPr>
            </w:pPr>
            <w:r>
              <w:rPr>
                <w:rFonts w:ascii="Times New Roman" w:hAnsi="Times New Roman" w:eastAsia="宋体" w:cs="Times New Roman"/>
                <w:color w:val="000000" w:themeColor="text1"/>
                <w:sz w:val="24"/>
                <w:szCs w:val="24"/>
              </w:rPr>
              <w:t>V1 ---收集系统范围内发生事故的一个罐组或一套装置的物料量（注：储存相同物料的罐组按一个最大储罐计，装置物料量按存留最大物料量的一台反应器或中间储罐计）；</w:t>
            </w:r>
          </w:p>
          <w:p w14:paraId="5C9D0208">
            <w:pPr>
              <w:spacing w:line="360" w:lineRule="auto"/>
              <w:ind w:firstLine="480" w:firstLineChars="200"/>
              <w:rPr>
                <w:rFonts w:ascii="Times New Roman" w:hAnsi="Times New Roman" w:eastAsia="宋体" w:cs="Times New Roman"/>
                <w:color w:val="000000" w:themeColor="text1"/>
                <w:sz w:val="24"/>
                <w:szCs w:val="24"/>
              </w:rPr>
            </w:pPr>
            <w:r>
              <w:rPr>
                <w:rFonts w:ascii="Times New Roman" w:hAnsi="Times New Roman" w:eastAsia="宋体" w:cs="Times New Roman"/>
                <w:color w:val="000000" w:themeColor="text1"/>
                <w:sz w:val="24"/>
                <w:szCs w:val="24"/>
              </w:rPr>
              <w:t>V2---发生事故的储罐或装置的消防水量，m</w:t>
            </w:r>
            <w:r>
              <w:rPr>
                <w:rFonts w:ascii="Times New Roman" w:hAnsi="Times New Roman" w:eastAsia="宋体" w:cs="Times New Roman"/>
                <w:color w:val="000000" w:themeColor="text1"/>
                <w:sz w:val="24"/>
                <w:szCs w:val="24"/>
                <w:vertAlign w:val="superscript"/>
              </w:rPr>
              <w:t>3</w:t>
            </w:r>
            <w:r>
              <w:rPr>
                <w:rFonts w:ascii="Times New Roman" w:hAnsi="Times New Roman" w:eastAsia="宋体" w:cs="Times New Roman"/>
                <w:color w:val="000000" w:themeColor="text1"/>
                <w:sz w:val="24"/>
                <w:szCs w:val="24"/>
              </w:rPr>
              <w:t>；</w:t>
            </w:r>
          </w:p>
          <w:p w14:paraId="1333A83E">
            <w:pPr>
              <w:spacing w:line="360" w:lineRule="auto"/>
              <w:ind w:firstLine="480" w:firstLineChars="200"/>
              <w:rPr>
                <w:rFonts w:ascii="Times New Roman" w:hAnsi="Times New Roman" w:eastAsia="宋体" w:cs="Times New Roman"/>
                <w:color w:val="000000" w:themeColor="text1"/>
                <w:sz w:val="24"/>
                <w:szCs w:val="24"/>
              </w:rPr>
            </w:pPr>
            <w:r>
              <w:rPr>
                <w:rFonts w:ascii="Times New Roman" w:hAnsi="Times New Roman" w:eastAsia="宋体" w:cs="Times New Roman"/>
                <w:color w:val="000000" w:themeColor="text1"/>
                <w:sz w:val="24"/>
                <w:szCs w:val="24"/>
              </w:rPr>
              <w:t>V3---发生事故时可以传输到其他储存或处理设施的物料量，m</w:t>
            </w:r>
            <w:r>
              <w:rPr>
                <w:rFonts w:ascii="Times New Roman" w:hAnsi="Times New Roman" w:eastAsia="宋体" w:cs="Times New Roman"/>
                <w:color w:val="000000" w:themeColor="text1"/>
                <w:sz w:val="24"/>
                <w:szCs w:val="24"/>
                <w:vertAlign w:val="superscript"/>
              </w:rPr>
              <w:t>3</w:t>
            </w:r>
            <w:r>
              <w:rPr>
                <w:rFonts w:ascii="Times New Roman" w:hAnsi="Times New Roman" w:eastAsia="宋体" w:cs="Times New Roman"/>
                <w:color w:val="000000" w:themeColor="text1"/>
                <w:sz w:val="24"/>
                <w:szCs w:val="24"/>
              </w:rPr>
              <w:t>；</w:t>
            </w:r>
          </w:p>
          <w:p w14:paraId="6C24B970">
            <w:pPr>
              <w:spacing w:line="360" w:lineRule="auto"/>
              <w:ind w:firstLine="480" w:firstLineChars="200"/>
              <w:rPr>
                <w:rFonts w:ascii="Times New Roman" w:hAnsi="Times New Roman" w:eastAsia="宋体" w:cs="Times New Roman"/>
                <w:color w:val="000000" w:themeColor="text1"/>
                <w:sz w:val="24"/>
                <w:szCs w:val="24"/>
              </w:rPr>
            </w:pPr>
            <w:r>
              <w:rPr>
                <w:rFonts w:ascii="Times New Roman" w:hAnsi="Times New Roman" w:eastAsia="宋体" w:cs="Times New Roman"/>
                <w:color w:val="000000" w:themeColor="text1"/>
                <w:sz w:val="24"/>
                <w:szCs w:val="24"/>
              </w:rPr>
              <w:t>V4---发生事故时仍必须进入该收集系统的生产废水量，m</w:t>
            </w:r>
            <w:r>
              <w:rPr>
                <w:rFonts w:ascii="Times New Roman" w:hAnsi="Times New Roman" w:eastAsia="宋体" w:cs="Times New Roman"/>
                <w:color w:val="000000" w:themeColor="text1"/>
                <w:sz w:val="24"/>
                <w:szCs w:val="24"/>
                <w:vertAlign w:val="superscript"/>
              </w:rPr>
              <w:t>3</w:t>
            </w:r>
            <w:r>
              <w:rPr>
                <w:rFonts w:ascii="Times New Roman" w:hAnsi="Times New Roman" w:eastAsia="宋体" w:cs="Times New Roman"/>
                <w:color w:val="000000" w:themeColor="text1"/>
                <w:sz w:val="24"/>
                <w:szCs w:val="24"/>
              </w:rPr>
              <w:t>;</w:t>
            </w:r>
          </w:p>
          <w:p w14:paraId="6F426C10">
            <w:pPr>
              <w:spacing w:line="360" w:lineRule="auto"/>
              <w:ind w:firstLine="480" w:firstLineChars="200"/>
              <w:rPr>
                <w:rFonts w:ascii="Times New Roman" w:hAnsi="Times New Roman" w:eastAsia="宋体" w:cs="Times New Roman"/>
                <w:color w:val="000000" w:themeColor="text1"/>
                <w:sz w:val="24"/>
                <w:szCs w:val="24"/>
              </w:rPr>
            </w:pPr>
            <w:r>
              <w:rPr>
                <w:rFonts w:ascii="Times New Roman" w:hAnsi="Times New Roman" w:eastAsia="宋体" w:cs="Times New Roman"/>
                <w:color w:val="000000" w:themeColor="text1"/>
                <w:sz w:val="24"/>
                <w:szCs w:val="24"/>
              </w:rPr>
              <w:t>V5---发生事故时可能进入该收集系统的降雨量，m</w:t>
            </w:r>
            <w:r>
              <w:rPr>
                <w:rFonts w:ascii="Times New Roman" w:hAnsi="Times New Roman" w:eastAsia="宋体" w:cs="Times New Roman"/>
                <w:color w:val="000000" w:themeColor="text1"/>
                <w:sz w:val="24"/>
                <w:szCs w:val="24"/>
                <w:vertAlign w:val="superscript"/>
              </w:rPr>
              <w:t>3</w:t>
            </w:r>
            <w:r>
              <w:rPr>
                <w:rFonts w:ascii="Times New Roman" w:hAnsi="Times New Roman" w:eastAsia="宋体" w:cs="Times New Roman"/>
                <w:color w:val="000000" w:themeColor="text1"/>
                <w:sz w:val="24"/>
                <w:szCs w:val="24"/>
              </w:rPr>
              <w:t>；</w:t>
            </w:r>
          </w:p>
          <w:p w14:paraId="169F84FB">
            <w:pPr>
              <w:spacing w:line="360" w:lineRule="auto"/>
              <w:ind w:firstLine="480" w:firstLineChars="200"/>
              <w:rPr>
                <w:rFonts w:ascii="Times New Roman" w:hAnsi="Times New Roman" w:eastAsia="宋体" w:cs="Times New Roman"/>
                <w:color w:val="000000" w:themeColor="text1"/>
                <w:sz w:val="24"/>
                <w:szCs w:val="24"/>
              </w:rPr>
            </w:pPr>
            <w:r>
              <w:rPr>
                <w:rFonts w:ascii="Times New Roman" w:hAnsi="Times New Roman" w:eastAsia="宋体" w:cs="Times New Roman"/>
                <w:color w:val="000000" w:themeColor="text1"/>
                <w:sz w:val="24"/>
                <w:szCs w:val="24"/>
              </w:rPr>
              <w:t>V5=10qF</w:t>
            </w:r>
          </w:p>
          <w:p w14:paraId="55995247">
            <w:pPr>
              <w:spacing w:line="360" w:lineRule="auto"/>
              <w:ind w:firstLine="480" w:firstLineChars="200"/>
              <w:rPr>
                <w:rFonts w:ascii="Times New Roman" w:hAnsi="Times New Roman" w:eastAsia="宋体" w:cs="Times New Roman"/>
                <w:color w:val="000000" w:themeColor="text1"/>
                <w:sz w:val="24"/>
                <w:szCs w:val="24"/>
              </w:rPr>
            </w:pPr>
            <w:r>
              <w:rPr>
                <w:rFonts w:ascii="Times New Roman" w:hAnsi="Times New Roman" w:eastAsia="宋体" w:cs="Times New Roman"/>
                <w:color w:val="000000" w:themeColor="text1"/>
                <w:sz w:val="24"/>
                <w:szCs w:val="24"/>
              </w:rPr>
              <w:t>q ---降雨强度，mm；按平均日降雨量；</w:t>
            </w:r>
          </w:p>
          <w:p w14:paraId="0907A507">
            <w:pPr>
              <w:spacing w:line="360" w:lineRule="auto"/>
              <w:ind w:firstLine="480" w:firstLineChars="200"/>
              <w:rPr>
                <w:rFonts w:ascii="Times New Roman" w:hAnsi="Times New Roman" w:eastAsia="宋体" w:cs="Times New Roman"/>
                <w:color w:val="000000" w:themeColor="text1"/>
                <w:sz w:val="24"/>
                <w:szCs w:val="24"/>
              </w:rPr>
            </w:pPr>
            <w:r>
              <w:rPr>
                <w:rFonts w:ascii="Times New Roman" w:hAnsi="Times New Roman" w:eastAsia="宋体" w:cs="Times New Roman"/>
                <w:color w:val="000000" w:themeColor="text1"/>
                <w:sz w:val="24"/>
                <w:szCs w:val="24"/>
              </w:rPr>
              <w:t>q=qa/n</w:t>
            </w:r>
          </w:p>
          <w:p w14:paraId="5ADFE20E">
            <w:pPr>
              <w:spacing w:line="360" w:lineRule="auto"/>
              <w:ind w:firstLine="480" w:firstLineChars="200"/>
              <w:rPr>
                <w:rFonts w:ascii="Times New Roman" w:hAnsi="Times New Roman" w:eastAsia="宋体" w:cs="Times New Roman"/>
                <w:color w:val="000000" w:themeColor="text1"/>
                <w:sz w:val="24"/>
                <w:szCs w:val="24"/>
              </w:rPr>
            </w:pPr>
            <w:r>
              <w:rPr>
                <w:rFonts w:ascii="Times New Roman" w:hAnsi="Times New Roman" w:eastAsia="宋体" w:cs="Times New Roman"/>
                <w:color w:val="000000" w:themeColor="text1"/>
                <w:sz w:val="24"/>
                <w:szCs w:val="24"/>
              </w:rPr>
              <w:t>qa---年平均降雨量，mm；</w:t>
            </w:r>
          </w:p>
          <w:p w14:paraId="7AA8743C">
            <w:pPr>
              <w:spacing w:line="360" w:lineRule="auto"/>
              <w:ind w:firstLine="480" w:firstLineChars="200"/>
              <w:rPr>
                <w:rFonts w:ascii="Times New Roman" w:hAnsi="Times New Roman" w:eastAsia="宋体" w:cs="Times New Roman"/>
                <w:color w:val="000000" w:themeColor="text1"/>
                <w:sz w:val="24"/>
                <w:szCs w:val="24"/>
              </w:rPr>
            </w:pPr>
            <w:r>
              <w:rPr>
                <w:rFonts w:ascii="Times New Roman" w:hAnsi="Times New Roman" w:eastAsia="宋体" w:cs="Times New Roman"/>
                <w:color w:val="000000" w:themeColor="text1"/>
                <w:sz w:val="24"/>
                <w:szCs w:val="24"/>
              </w:rPr>
              <w:t>n---年平均降雨日数。</w:t>
            </w:r>
          </w:p>
          <w:p w14:paraId="01FAD4CE">
            <w:pPr>
              <w:spacing w:line="360" w:lineRule="auto"/>
              <w:ind w:firstLine="480" w:firstLineChars="200"/>
              <w:rPr>
                <w:rFonts w:ascii="Times New Roman" w:hAnsi="Times New Roman" w:eastAsia="宋体" w:cs="Times New Roman"/>
                <w:color w:val="000000" w:themeColor="text1"/>
                <w:sz w:val="24"/>
                <w:szCs w:val="24"/>
              </w:rPr>
            </w:pPr>
            <w:r>
              <w:rPr>
                <w:rFonts w:ascii="Times New Roman" w:hAnsi="Times New Roman" w:eastAsia="宋体" w:cs="Times New Roman"/>
                <w:color w:val="000000" w:themeColor="text1"/>
                <w:sz w:val="24"/>
                <w:szCs w:val="24"/>
              </w:rPr>
              <w:t>F---必须进入事故废水收集系统的雨水汇水面积，ha。</w:t>
            </w:r>
          </w:p>
          <w:p w14:paraId="777AE462">
            <w:pPr>
              <w:spacing w:line="360" w:lineRule="auto"/>
              <w:ind w:firstLine="480" w:firstLineChars="200"/>
              <w:rPr>
                <w:rFonts w:ascii="Times New Roman" w:hAnsi="Times New Roman" w:eastAsia="宋体" w:cs="Times New Roman"/>
                <w:color w:val="000000" w:themeColor="text1"/>
                <w:sz w:val="24"/>
                <w:szCs w:val="24"/>
              </w:rPr>
            </w:pPr>
            <w:r>
              <w:rPr>
                <w:rFonts w:ascii="Times New Roman" w:hAnsi="Times New Roman" w:eastAsia="宋体" w:cs="Times New Roman"/>
                <w:color w:val="000000" w:themeColor="text1"/>
                <w:sz w:val="24"/>
                <w:szCs w:val="24"/>
              </w:rPr>
              <w:t>根据项目情况，本项目事故存储设施总有效容积按储罐区事故和装置区事故分别计算取较大值，详见如下：</w:t>
            </w:r>
          </w:p>
          <w:p w14:paraId="75677EF6">
            <w:pPr>
              <w:spacing w:line="360" w:lineRule="auto"/>
              <w:ind w:firstLine="480" w:firstLineChars="200"/>
              <w:rPr>
                <w:rFonts w:ascii="Times New Roman" w:hAnsi="Times New Roman" w:eastAsia="宋体" w:cs="Times New Roman"/>
                <w:color w:val="000000" w:themeColor="text1"/>
                <w:sz w:val="24"/>
                <w:szCs w:val="24"/>
              </w:rPr>
            </w:pPr>
            <w:r>
              <w:rPr>
                <w:rFonts w:hint="eastAsia" w:ascii="Times New Roman" w:hAnsi="Times New Roman" w:eastAsia="宋体" w:cs="Times New Roman"/>
                <w:color w:val="000000" w:themeColor="text1"/>
                <w:sz w:val="24"/>
                <w:szCs w:val="24"/>
                <w:lang w:val="en-US" w:eastAsia="zh-CN"/>
              </w:rPr>
              <w:t>变压器油最大贮存量为3t，密度为0.896g/cm</w:t>
            </w:r>
            <w:r>
              <w:rPr>
                <w:rFonts w:hint="eastAsia" w:ascii="Times New Roman" w:hAnsi="Times New Roman" w:eastAsia="宋体" w:cs="Times New Roman"/>
                <w:color w:val="000000" w:themeColor="text1"/>
                <w:sz w:val="24"/>
                <w:szCs w:val="24"/>
                <w:vertAlign w:val="superscript"/>
                <w:lang w:val="en-US" w:eastAsia="zh-CN"/>
              </w:rPr>
              <w:t>3</w:t>
            </w:r>
            <w:r>
              <w:rPr>
                <w:rFonts w:hint="eastAsia" w:ascii="Times New Roman" w:hAnsi="Times New Roman" w:eastAsia="宋体" w:cs="Times New Roman"/>
                <w:color w:val="000000" w:themeColor="text1"/>
                <w:sz w:val="24"/>
                <w:szCs w:val="24"/>
                <w:lang w:val="en-US" w:eastAsia="zh-CN"/>
              </w:rPr>
              <w:t>，变压器油储罐最大储存约为3.3m</w:t>
            </w:r>
            <w:r>
              <w:rPr>
                <w:rFonts w:hint="eastAsia" w:ascii="Times New Roman" w:hAnsi="Times New Roman" w:eastAsia="宋体" w:cs="Times New Roman"/>
                <w:color w:val="000000" w:themeColor="text1"/>
                <w:sz w:val="24"/>
                <w:szCs w:val="24"/>
                <w:vertAlign w:val="superscript"/>
                <w:lang w:val="en-US" w:eastAsia="zh-CN"/>
              </w:rPr>
              <w:t>3</w:t>
            </w:r>
            <w:r>
              <w:rPr>
                <w:rFonts w:hint="eastAsia" w:ascii="Times New Roman" w:hAnsi="Times New Roman" w:eastAsia="宋体" w:cs="Times New Roman"/>
                <w:color w:val="000000" w:themeColor="text1"/>
                <w:sz w:val="24"/>
                <w:szCs w:val="24"/>
                <w:vertAlign w:val="baseline"/>
                <w:lang w:val="en-US" w:eastAsia="zh-CN"/>
              </w:rPr>
              <w:t>，</w:t>
            </w:r>
            <w:r>
              <w:rPr>
                <w:rFonts w:ascii="Times New Roman" w:hAnsi="Times New Roman" w:eastAsia="宋体" w:cs="Times New Roman"/>
                <w:color w:val="000000" w:themeColor="text1"/>
                <w:sz w:val="24"/>
                <w:szCs w:val="24"/>
              </w:rPr>
              <w:t>V1=</w:t>
            </w:r>
            <w:r>
              <w:rPr>
                <w:rFonts w:hint="eastAsia" w:ascii="Times New Roman" w:hAnsi="Times New Roman" w:eastAsia="宋体" w:cs="Times New Roman"/>
                <w:color w:val="000000" w:themeColor="text1"/>
                <w:sz w:val="24"/>
                <w:szCs w:val="24"/>
                <w:lang w:val="en-US" w:eastAsia="zh-CN"/>
              </w:rPr>
              <w:t>3.3m</w:t>
            </w:r>
            <w:r>
              <w:rPr>
                <w:rFonts w:hint="eastAsia" w:ascii="Times New Roman" w:hAnsi="Times New Roman" w:eastAsia="宋体" w:cs="Times New Roman"/>
                <w:color w:val="000000" w:themeColor="text1"/>
                <w:sz w:val="24"/>
                <w:szCs w:val="24"/>
                <w:vertAlign w:val="superscript"/>
                <w:lang w:val="en-US" w:eastAsia="zh-CN"/>
              </w:rPr>
              <w:t>3</w:t>
            </w:r>
            <w:r>
              <w:rPr>
                <w:rFonts w:ascii="Times New Roman" w:hAnsi="Times New Roman" w:eastAsia="宋体" w:cs="Times New Roman"/>
                <w:color w:val="000000" w:themeColor="text1"/>
                <w:sz w:val="24"/>
                <w:szCs w:val="24"/>
              </w:rPr>
              <w:t>。</w:t>
            </w:r>
          </w:p>
          <w:p w14:paraId="365A653F">
            <w:pPr>
              <w:adjustRightInd w:val="0"/>
              <w:snapToGrid w:val="0"/>
              <w:spacing w:line="360" w:lineRule="auto"/>
              <w:ind w:firstLine="480" w:firstLineChars="200"/>
              <w:rPr>
                <w:rFonts w:ascii="Times New Roman" w:hAnsi="Times New Roman" w:eastAsia="宋体" w:cs="Times New Roman"/>
                <w:color w:val="000000" w:themeColor="text1"/>
                <w:sz w:val="24"/>
                <w:szCs w:val="24"/>
              </w:rPr>
            </w:pPr>
            <w:r>
              <w:rPr>
                <w:rFonts w:hint="default" w:ascii="Times New Roman" w:hAnsi="Times New Roman" w:cs="Times New Roman"/>
                <w:bCs/>
                <w:color w:val="000000" w:themeColor="text1"/>
                <w:sz w:val="24"/>
              </w:rPr>
              <w:t>项目的消防用水量主要为室内消防用水量。由于项目内的生产车间、原辅材料仓库均位于</w:t>
            </w:r>
            <w:r>
              <w:rPr>
                <w:rFonts w:hint="eastAsia" w:cs="Times New Roman"/>
                <w:bCs/>
                <w:color w:val="000000" w:themeColor="text1"/>
                <w:sz w:val="24"/>
                <w:lang w:val="en-US" w:eastAsia="zh-CN"/>
              </w:rPr>
              <w:t>厂房内</w:t>
            </w:r>
            <w:r>
              <w:rPr>
                <w:rFonts w:hint="default" w:ascii="Times New Roman" w:hAnsi="Times New Roman" w:cs="Times New Roman"/>
                <w:bCs/>
                <w:color w:val="000000" w:themeColor="text1"/>
                <w:sz w:val="24"/>
              </w:rPr>
              <w:t>，因此本次评价仅关注室内消防用水排放的部分。根据《消防给水及消火栓系统技术规范》（GB50973-2014）表3.5.2建筑物室内消火栓设计流量，本项目生产车间火灾危险性等级为丁类，因此室内消防栓设计流量为1</w:t>
            </w:r>
            <w:r>
              <w:rPr>
                <w:rFonts w:hint="eastAsia" w:cs="Times New Roman"/>
                <w:bCs/>
                <w:color w:val="000000" w:themeColor="text1"/>
                <w:sz w:val="24"/>
                <w:lang w:val="en-US" w:eastAsia="zh-CN"/>
              </w:rPr>
              <w:t>5</w:t>
            </w:r>
            <w:r>
              <w:rPr>
                <w:rFonts w:hint="default" w:ascii="Times New Roman" w:hAnsi="Times New Roman" w:cs="Times New Roman"/>
                <w:bCs/>
                <w:color w:val="000000" w:themeColor="text1"/>
                <w:sz w:val="24"/>
              </w:rPr>
              <w:t>L/s，一次火灾延续时间为 60min 计算，消火栓消防用水量约</w:t>
            </w:r>
            <w:r>
              <w:rPr>
                <w:rFonts w:hint="eastAsia" w:cs="Times New Roman"/>
                <w:bCs/>
                <w:color w:val="000000" w:themeColor="text1"/>
                <w:sz w:val="24"/>
                <w:lang w:val="en-US" w:eastAsia="zh-CN"/>
              </w:rPr>
              <w:t>54</w:t>
            </w:r>
            <w:r>
              <w:rPr>
                <w:rFonts w:hint="default" w:ascii="Times New Roman" w:hAnsi="Times New Roman" w:cs="Times New Roman"/>
                <w:bCs/>
                <w:color w:val="000000" w:themeColor="text1"/>
                <w:sz w:val="24"/>
              </w:rPr>
              <w:t xml:space="preserve"> m</w:t>
            </w:r>
            <w:r>
              <w:rPr>
                <w:rFonts w:hint="default" w:ascii="Times New Roman" w:hAnsi="Times New Roman" w:cs="Times New Roman"/>
                <w:bCs/>
                <w:color w:val="000000" w:themeColor="text1"/>
                <w:sz w:val="24"/>
                <w:vertAlign w:val="superscript"/>
              </w:rPr>
              <w:t>3</w:t>
            </w:r>
            <w:r>
              <w:rPr>
                <w:rFonts w:hint="default" w:ascii="Times New Roman" w:hAnsi="Times New Roman" w:cs="Times New Roman"/>
                <w:bCs/>
                <w:color w:val="000000" w:themeColor="text1"/>
                <w:sz w:val="24"/>
              </w:rPr>
              <w:t>。</w:t>
            </w:r>
            <w:r>
              <w:rPr>
                <w:rFonts w:ascii="Times New Roman" w:hAnsi="Times New Roman" w:eastAsia="宋体" w:cs="Times New Roman"/>
                <w:color w:val="000000" w:themeColor="text1"/>
                <w:sz w:val="24"/>
                <w:szCs w:val="24"/>
              </w:rPr>
              <w:t>V</w:t>
            </w:r>
            <w:r>
              <w:rPr>
                <w:rFonts w:hint="eastAsia" w:ascii="Times New Roman" w:hAnsi="Times New Roman" w:eastAsia="宋体" w:cs="Times New Roman"/>
                <w:color w:val="000000" w:themeColor="text1"/>
                <w:sz w:val="24"/>
                <w:szCs w:val="24"/>
                <w:lang w:val="en-US" w:eastAsia="zh-CN"/>
              </w:rPr>
              <w:t>2</w:t>
            </w:r>
            <w:r>
              <w:rPr>
                <w:rFonts w:ascii="Times New Roman" w:hAnsi="Times New Roman" w:eastAsia="宋体" w:cs="Times New Roman"/>
                <w:color w:val="000000" w:themeColor="text1"/>
                <w:sz w:val="24"/>
                <w:szCs w:val="24"/>
              </w:rPr>
              <w:t>=</w:t>
            </w:r>
            <w:r>
              <w:rPr>
                <w:rFonts w:hint="eastAsia" w:cs="Times New Roman"/>
                <w:color w:val="000000" w:themeColor="text1"/>
                <w:sz w:val="24"/>
                <w:szCs w:val="24"/>
                <w:lang w:val="en-US" w:eastAsia="zh-CN"/>
              </w:rPr>
              <w:t>54</w:t>
            </w:r>
            <w:r>
              <w:rPr>
                <w:rFonts w:ascii="Times New Roman" w:hAnsi="Times New Roman" w:eastAsia="宋体" w:cs="Times New Roman"/>
                <w:color w:val="000000" w:themeColor="text1"/>
                <w:sz w:val="24"/>
                <w:szCs w:val="24"/>
              </w:rPr>
              <w:t>m</w:t>
            </w:r>
            <w:r>
              <w:rPr>
                <w:rFonts w:ascii="Times New Roman" w:hAnsi="Times New Roman" w:eastAsia="宋体" w:cs="Times New Roman"/>
                <w:color w:val="000000" w:themeColor="text1"/>
                <w:sz w:val="24"/>
                <w:szCs w:val="24"/>
                <w:vertAlign w:val="superscript"/>
              </w:rPr>
              <w:t>3</w:t>
            </w:r>
          </w:p>
          <w:p w14:paraId="4A829A24">
            <w:pPr>
              <w:spacing w:line="360" w:lineRule="auto"/>
              <w:ind w:firstLine="480" w:firstLineChars="200"/>
              <w:rPr>
                <w:rFonts w:ascii="Times New Roman" w:hAnsi="Times New Roman" w:eastAsia="宋体" w:cs="Times New Roman"/>
                <w:color w:val="000000" w:themeColor="text1"/>
                <w:sz w:val="24"/>
                <w:szCs w:val="24"/>
              </w:rPr>
            </w:pPr>
            <w:r>
              <w:rPr>
                <w:rFonts w:ascii="Times New Roman" w:hAnsi="Times New Roman" w:eastAsia="宋体" w:cs="Times New Roman"/>
                <w:color w:val="000000" w:themeColor="text1"/>
                <w:sz w:val="24"/>
                <w:szCs w:val="24"/>
              </w:rPr>
              <w:t>V3=</w:t>
            </w:r>
            <w:r>
              <w:rPr>
                <w:rFonts w:hint="eastAsia" w:ascii="Times New Roman" w:hAnsi="Times New Roman" w:eastAsia="宋体" w:cs="Times New Roman"/>
                <w:color w:val="000000" w:themeColor="text1"/>
                <w:sz w:val="24"/>
                <w:szCs w:val="24"/>
                <w:lang w:val="en-US" w:eastAsia="zh-CN"/>
              </w:rPr>
              <w:t>4.5</w:t>
            </w:r>
            <w:r>
              <w:rPr>
                <w:rFonts w:ascii="Times New Roman" w:hAnsi="Times New Roman" w:eastAsia="宋体" w:cs="Times New Roman"/>
                <w:color w:val="000000" w:themeColor="text1"/>
                <w:sz w:val="24"/>
                <w:szCs w:val="24"/>
              </w:rPr>
              <w:t>m</w:t>
            </w:r>
            <w:r>
              <w:rPr>
                <w:rFonts w:ascii="Times New Roman" w:hAnsi="Times New Roman" w:eastAsia="宋体" w:cs="Times New Roman"/>
                <w:color w:val="000000" w:themeColor="text1"/>
                <w:sz w:val="24"/>
                <w:szCs w:val="24"/>
                <w:vertAlign w:val="superscript"/>
              </w:rPr>
              <w:t>3</w:t>
            </w:r>
            <w:r>
              <w:rPr>
                <w:rFonts w:ascii="Times New Roman" w:hAnsi="Times New Roman" w:eastAsia="宋体" w:cs="Times New Roman"/>
                <w:color w:val="000000" w:themeColor="text1"/>
                <w:sz w:val="24"/>
                <w:szCs w:val="24"/>
              </w:rPr>
              <w:t>，</w:t>
            </w:r>
            <w:r>
              <w:rPr>
                <w:rFonts w:hint="eastAsia" w:ascii="Times New Roman" w:hAnsi="Times New Roman" w:eastAsia="宋体" w:cs="Times New Roman"/>
                <w:color w:val="000000" w:themeColor="text1"/>
                <w:sz w:val="24"/>
                <w:szCs w:val="24"/>
                <w:lang w:val="en-US" w:eastAsia="zh-CN"/>
              </w:rPr>
              <w:t>储罐区设置围堰，围堰尺寸为</w:t>
            </w:r>
            <w:r>
              <w:rPr>
                <w:rFonts w:hint="eastAsia" w:cs="Times New Roman"/>
                <w:color w:val="000000" w:themeColor="text1"/>
                <w:sz w:val="24"/>
                <w:szCs w:val="24"/>
                <w:lang w:val="en-US" w:eastAsia="zh-CN"/>
              </w:rPr>
              <w:t>2.5*3*0.6m</w:t>
            </w:r>
            <w:r>
              <w:rPr>
                <w:rFonts w:ascii="Times New Roman" w:hAnsi="Times New Roman" w:eastAsia="宋体" w:cs="Times New Roman"/>
                <w:color w:val="000000" w:themeColor="text1"/>
                <w:sz w:val="24"/>
                <w:szCs w:val="24"/>
              </w:rPr>
              <w:t>。</w:t>
            </w:r>
          </w:p>
          <w:p w14:paraId="03B7CB67">
            <w:pPr>
              <w:spacing w:line="360" w:lineRule="auto"/>
              <w:ind w:firstLine="480" w:firstLineChars="200"/>
              <w:rPr>
                <w:rFonts w:ascii="Times New Roman" w:hAnsi="Times New Roman" w:eastAsia="宋体" w:cs="Times New Roman"/>
                <w:color w:val="000000" w:themeColor="text1"/>
                <w:sz w:val="24"/>
                <w:szCs w:val="24"/>
              </w:rPr>
            </w:pPr>
            <w:r>
              <w:rPr>
                <w:rFonts w:ascii="Times New Roman" w:hAnsi="Times New Roman" w:eastAsia="宋体" w:cs="Times New Roman"/>
                <w:color w:val="000000" w:themeColor="text1"/>
                <w:sz w:val="24"/>
                <w:szCs w:val="24"/>
              </w:rPr>
              <w:t>V4＝0m</w:t>
            </w:r>
            <w:r>
              <w:rPr>
                <w:rFonts w:ascii="Times New Roman" w:hAnsi="Times New Roman" w:eastAsia="宋体" w:cs="Times New Roman"/>
                <w:color w:val="000000" w:themeColor="text1"/>
                <w:sz w:val="24"/>
                <w:szCs w:val="24"/>
                <w:vertAlign w:val="superscript"/>
              </w:rPr>
              <w:t>3</w:t>
            </w:r>
            <w:r>
              <w:rPr>
                <w:rFonts w:ascii="Times New Roman" w:hAnsi="Times New Roman" w:eastAsia="宋体" w:cs="Times New Roman"/>
                <w:color w:val="000000" w:themeColor="text1"/>
                <w:sz w:val="24"/>
                <w:szCs w:val="24"/>
              </w:rPr>
              <w:t>，本项目</w:t>
            </w:r>
            <w:r>
              <w:rPr>
                <w:rFonts w:hint="eastAsia" w:ascii="Times New Roman" w:hAnsi="Times New Roman" w:eastAsia="宋体" w:cs="Times New Roman"/>
                <w:color w:val="000000" w:themeColor="text1"/>
                <w:sz w:val="24"/>
                <w:szCs w:val="24"/>
              </w:rPr>
              <w:t>无生产废水，因此V</w:t>
            </w:r>
            <w:r>
              <w:rPr>
                <w:rFonts w:ascii="Times New Roman" w:hAnsi="Times New Roman" w:eastAsia="宋体" w:cs="Times New Roman"/>
                <w:color w:val="000000" w:themeColor="text1"/>
                <w:sz w:val="24"/>
                <w:szCs w:val="24"/>
              </w:rPr>
              <w:t>4</w:t>
            </w:r>
            <w:r>
              <w:rPr>
                <w:rFonts w:hint="eastAsia" w:ascii="Times New Roman" w:hAnsi="Times New Roman" w:eastAsia="宋体" w:cs="Times New Roman"/>
                <w:color w:val="000000" w:themeColor="text1"/>
                <w:sz w:val="24"/>
                <w:szCs w:val="24"/>
              </w:rPr>
              <w:t>取0</w:t>
            </w:r>
            <w:r>
              <w:rPr>
                <w:rFonts w:ascii="Times New Roman" w:hAnsi="Times New Roman" w:eastAsia="宋体" w:cs="Times New Roman"/>
                <w:color w:val="000000" w:themeColor="text1"/>
                <w:sz w:val="24"/>
                <w:szCs w:val="24"/>
              </w:rPr>
              <w:t>。</w:t>
            </w:r>
          </w:p>
          <w:p w14:paraId="218C878B">
            <w:pPr>
              <w:spacing w:line="360" w:lineRule="auto"/>
              <w:ind w:left="479" w:leftChars="228" w:firstLine="0" w:firstLineChars="0"/>
              <w:rPr>
                <w:rFonts w:ascii="Times New Roman" w:hAnsi="Times New Roman" w:eastAsia="宋体" w:cs="Times New Roman"/>
                <w:color w:val="000000" w:themeColor="text1"/>
                <w:sz w:val="24"/>
                <w:szCs w:val="24"/>
              </w:rPr>
            </w:pPr>
            <w:r>
              <w:rPr>
                <w:rFonts w:ascii="Times New Roman" w:hAnsi="Times New Roman" w:eastAsia="宋体" w:cs="Times New Roman"/>
                <w:color w:val="000000" w:themeColor="text1"/>
                <w:sz w:val="24"/>
                <w:szCs w:val="24"/>
              </w:rPr>
              <w:t>V5=</w:t>
            </w:r>
            <w:r>
              <w:rPr>
                <w:rFonts w:hint="eastAsia" w:ascii="Times New Roman" w:hAnsi="Times New Roman" w:eastAsia="宋体" w:cs="Times New Roman"/>
                <w:color w:val="000000" w:themeColor="text1"/>
                <w:sz w:val="24"/>
                <w:szCs w:val="24"/>
                <w:lang w:val="en-US" w:eastAsia="zh-CN"/>
              </w:rPr>
              <w:t>4.38</w:t>
            </w:r>
            <w:r>
              <w:rPr>
                <w:rFonts w:ascii="Times New Roman" w:hAnsi="Times New Roman" w:eastAsia="宋体" w:cs="Times New Roman"/>
                <w:color w:val="000000" w:themeColor="text1"/>
                <w:sz w:val="24"/>
                <w:szCs w:val="24"/>
              </w:rPr>
              <w:t>m</w:t>
            </w:r>
            <w:r>
              <w:rPr>
                <w:rFonts w:ascii="Times New Roman" w:hAnsi="Times New Roman" w:eastAsia="宋体" w:cs="Times New Roman"/>
                <w:color w:val="000000" w:themeColor="text1"/>
                <w:sz w:val="24"/>
                <w:szCs w:val="24"/>
                <w:vertAlign w:val="superscript"/>
              </w:rPr>
              <w:t>3</w:t>
            </w:r>
            <w:r>
              <w:rPr>
                <w:rFonts w:ascii="Times New Roman" w:hAnsi="Times New Roman" w:eastAsia="宋体" w:cs="Times New Roman"/>
                <w:color w:val="000000" w:themeColor="text1"/>
                <w:sz w:val="24"/>
                <w:szCs w:val="24"/>
              </w:rPr>
              <w:t>。</w:t>
            </w:r>
            <w:r>
              <w:rPr>
                <w:rFonts w:hint="eastAsia" w:ascii="Times New Roman" w:hAnsi="Times New Roman" w:eastAsia="宋体" w:cs="Times New Roman"/>
                <w:color w:val="000000" w:themeColor="text1"/>
                <w:sz w:val="24"/>
                <w:szCs w:val="24"/>
              </w:rPr>
              <w:t>年平均降雨量</w:t>
            </w:r>
            <w:r>
              <w:rPr>
                <w:rFonts w:hint="eastAsia" w:ascii="Times New Roman" w:hAnsi="Times New Roman" w:eastAsia="宋体" w:cs="Times New Roman"/>
                <w:color w:val="000000" w:themeColor="text1"/>
                <w:sz w:val="24"/>
                <w:szCs w:val="24"/>
                <w:lang w:val="en-US" w:eastAsia="zh-CN"/>
              </w:rPr>
              <w:t>832.2</w:t>
            </w:r>
            <w:r>
              <w:rPr>
                <w:rFonts w:hint="eastAsia" w:ascii="Times New Roman" w:hAnsi="Times New Roman" w:eastAsia="宋体" w:cs="Times New Roman"/>
                <w:color w:val="000000" w:themeColor="text1"/>
                <w:sz w:val="24"/>
                <w:szCs w:val="24"/>
              </w:rPr>
              <w:t>mm，年平均雨日95天，汇水面积约0.</w:t>
            </w:r>
            <w:r>
              <w:rPr>
                <w:rFonts w:hint="eastAsia" w:ascii="Times New Roman" w:hAnsi="Times New Roman" w:eastAsia="宋体" w:cs="Times New Roman"/>
                <w:color w:val="000000" w:themeColor="text1"/>
                <w:sz w:val="24"/>
                <w:szCs w:val="24"/>
                <w:lang w:val="en-US" w:eastAsia="zh-CN"/>
              </w:rPr>
              <w:t>05</w:t>
            </w:r>
            <w:r>
              <w:rPr>
                <w:rFonts w:hint="eastAsia" w:ascii="Times New Roman" w:hAnsi="Times New Roman" w:eastAsia="宋体" w:cs="Times New Roman"/>
                <w:color w:val="000000" w:themeColor="text1"/>
                <w:sz w:val="24"/>
                <w:szCs w:val="24"/>
              </w:rPr>
              <w:t>hm</w:t>
            </w:r>
            <w:r>
              <w:rPr>
                <w:rFonts w:hint="eastAsia" w:ascii="Times New Roman" w:hAnsi="Times New Roman" w:eastAsia="宋体" w:cs="Times New Roman"/>
                <w:color w:val="000000" w:themeColor="text1"/>
                <w:sz w:val="24"/>
                <w:szCs w:val="24"/>
                <w:vertAlign w:val="superscript"/>
              </w:rPr>
              <w:t>2</w:t>
            </w:r>
            <w:r>
              <w:rPr>
                <w:rFonts w:hint="eastAsia" w:ascii="Times New Roman" w:hAnsi="Times New Roman" w:eastAsia="宋体" w:cs="Times New Roman"/>
                <w:color w:val="000000" w:themeColor="text1"/>
                <w:sz w:val="24"/>
                <w:szCs w:val="24"/>
              </w:rPr>
              <w:t>。</w:t>
            </w:r>
            <w:r>
              <w:rPr>
                <w:rFonts w:ascii="Times New Roman" w:hAnsi="Times New Roman" w:eastAsia="宋体" w:cs="Times New Roman"/>
                <w:color w:val="000000" w:themeColor="text1"/>
                <w:sz w:val="24"/>
                <w:szCs w:val="24"/>
              </w:rPr>
              <w:t>V总＝（V1＋V2－V3）max＋V4+V5＝</w:t>
            </w:r>
            <w:r>
              <w:rPr>
                <w:rFonts w:hint="eastAsia" w:cs="Times New Roman"/>
                <w:color w:val="000000" w:themeColor="text1"/>
                <w:sz w:val="24"/>
                <w:szCs w:val="24"/>
                <w:lang w:val="en-US" w:eastAsia="zh-CN"/>
              </w:rPr>
              <w:t>57.18</w:t>
            </w:r>
            <w:r>
              <w:rPr>
                <w:rFonts w:ascii="Times New Roman" w:hAnsi="Times New Roman" w:eastAsia="宋体" w:cs="Times New Roman"/>
                <w:color w:val="000000" w:themeColor="text1"/>
                <w:sz w:val="24"/>
                <w:szCs w:val="24"/>
              </w:rPr>
              <w:t>m</w:t>
            </w:r>
            <w:r>
              <w:rPr>
                <w:rFonts w:ascii="Times New Roman" w:hAnsi="Times New Roman" w:eastAsia="宋体" w:cs="Times New Roman"/>
                <w:color w:val="000000" w:themeColor="text1"/>
                <w:sz w:val="24"/>
                <w:szCs w:val="24"/>
                <w:vertAlign w:val="superscript"/>
              </w:rPr>
              <w:t>3</w:t>
            </w:r>
            <w:r>
              <w:rPr>
                <w:rFonts w:ascii="Times New Roman" w:hAnsi="Times New Roman" w:eastAsia="宋体" w:cs="Times New Roman"/>
                <w:color w:val="000000" w:themeColor="text1"/>
                <w:sz w:val="24"/>
                <w:szCs w:val="24"/>
              </w:rPr>
              <w:t>。</w:t>
            </w:r>
          </w:p>
          <w:p w14:paraId="382862E3">
            <w:pPr>
              <w:pStyle w:val="155"/>
              <w:tabs>
                <w:tab w:val="left" w:pos="358"/>
              </w:tabs>
              <w:spacing w:before="0" w:after="0"/>
              <w:ind w:firstLine="480" w:firstLineChars="200"/>
              <w:outlineLvl w:val="9"/>
              <w:rPr>
                <w:rFonts w:hint="default" w:eastAsia="宋体"/>
                <w:b w:val="0"/>
                <w:color w:val="000000" w:themeColor="text1"/>
                <w:lang w:val="en-US" w:eastAsia="zh-CN"/>
              </w:rPr>
            </w:pPr>
            <w:r>
              <w:rPr>
                <w:rFonts w:hint="eastAsia"/>
                <w:b w:val="0"/>
                <w:color w:val="000000" w:themeColor="text1"/>
                <w:lang w:val="en-US" w:eastAsia="zh-CN"/>
              </w:rPr>
              <w:t>综上，企业需设置事故应急池，容积为60m</w:t>
            </w:r>
            <w:r>
              <w:rPr>
                <w:rFonts w:hint="eastAsia"/>
                <w:b w:val="0"/>
                <w:color w:val="000000" w:themeColor="text1"/>
                <w:vertAlign w:val="superscript"/>
                <w:lang w:val="en-US" w:eastAsia="zh-CN"/>
              </w:rPr>
              <w:t>3</w:t>
            </w:r>
            <w:r>
              <w:rPr>
                <w:rFonts w:hint="eastAsia"/>
                <w:b w:val="0"/>
                <w:color w:val="000000" w:themeColor="text1"/>
                <w:lang w:val="en-US" w:eastAsia="zh-CN"/>
              </w:rPr>
              <w:t>。</w:t>
            </w:r>
          </w:p>
          <w:p w14:paraId="41481B5E">
            <w:pPr>
              <w:keepNext w:val="0"/>
              <w:keepLines w:val="0"/>
              <w:pageBreakBefore w:val="0"/>
              <w:widowControl w:val="0"/>
              <w:numPr>
                <w:ilvl w:val="0"/>
                <w:numId w:val="0"/>
              </w:numPr>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000000" w:themeColor="text1"/>
                <w:sz w:val="24"/>
                <w:szCs w:val="24"/>
                <w:lang w:val="en-US" w:eastAsia="zh-CN"/>
              </w:rPr>
            </w:pPr>
            <w:r>
              <w:rPr>
                <w:rFonts w:hint="eastAsia" w:ascii="Times New Roman" w:hAnsi="Times New Roman" w:eastAsia="宋体" w:cs="Times New Roman"/>
                <w:color w:val="000000" w:themeColor="text1"/>
                <w:kern w:val="2"/>
                <w:sz w:val="24"/>
                <w:szCs w:val="24"/>
                <w:lang w:val="en-US" w:eastAsia="zh-CN" w:bidi="ar-SA"/>
              </w:rPr>
              <w:t>4、</w:t>
            </w:r>
            <w:r>
              <w:rPr>
                <w:rFonts w:hint="eastAsia" w:ascii="Times New Roman" w:hAnsi="Times New Roman" w:eastAsia="宋体" w:cs="Times New Roman"/>
                <w:color w:val="000000" w:themeColor="text1"/>
                <w:sz w:val="24"/>
                <w:szCs w:val="24"/>
                <w:lang w:val="en-US" w:eastAsia="zh-CN"/>
              </w:rPr>
              <w:t>制定突发环境事件应急预案</w:t>
            </w:r>
          </w:p>
          <w:p w14:paraId="35B86B49">
            <w:pPr>
              <w:keepNext w:val="0"/>
              <w:keepLines w:val="0"/>
              <w:pageBreakBefore w:val="0"/>
              <w:widowControl w:val="0"/>
              <w:numPr>
                <w:ilvl w:val="0"/>
                <w:numId w:val="0"/>
              </w:numPr>
              <w:tabs>
                <w:tab w:val="left" w:pos="1215"/>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themeColor="text1"/>
                <w:sz w:val="24"/>
                <w:szCs w:val="24"/>
                <w:lang w:val="en-US" w:eastAsia="zh-CN"/>
              </w:rPr>
            </w:pPr>
            <w:r>
              <w:rPr>
                <w:rFonts w:hint="default" w:ascii="Times New Roman" w:hAnsi="Times New Roman" w:eastAsia="宋体" w:cs="Times New Roman"/>
                <w:color w:val="000000" w:themeColor="text1"/>
                <w:sz w:val="24"/>
                <w:szCs w:val="24"/>
                <w:lang w:val="en-US" w:eastAsia="zh-CN"/>
              </w:rPr>
              <w:t>制定风险事故应急预案的目的是为了在发生风险事故时，能以最快的速度发挥最大的效能，有序的实施救援，尽快控制事态的发展，降低事故造成的危害，减少损失。建设单位应根据《突发环境事件应急预案管理暂行办法》等要求，结合的实际情况，编制突发环境事件应急预案，并完成备案。</w:t>
            </w:r>
          </w:p>
          <w:p w14:paraId="44886574">
            <w:pPr>
              <w:keepNext w:val="0"/>
              <w:keepLines w:val="0"/>
              <w:pageBreakBefore w:val="0"/>
              <w:widowControl w:val="0"/>
              <w:numPr>
                <w:ilvl w:val="0"/>
                <w:numId w:val="0"/>
              </w:numPr>
              <w:tabs>
                <w:tab w:val="left" w:pos="1215"/>
              </w:tabs>
              <w:kinsoku/>
              <w:wordWrap/>
              <w:overflowPunct/>
              <w:topLinePunct w:val="0"/>
              <w:autoSpaceDE/>
              <w:autoSpaceDN/>
              <w:bidi w:val="0"/>
              <w:adjustRightInd w:val="0"/>
              <w:snapToGrid w:val="0"/>
              <w:spacing w:line="360" w:lineRule="auto"/>
              <w:ind w:left="0" w:leftChars="0" w:firstLine="480" w:firstLineChars="200"/>
              <w:jc w:val="left"/>
              <w:textAlignment w:val="auto"/>
              <w:rPr>
                <w:rFonts w:hint="eastAsia" w:ascii="Times New Roman" w:hAnsi="Times New Roman" w:eastAsia="宋体" w:cs="Times New Roman"/>
                <w:color w:val="000000" w:themeColor="text1"/>
                <w:sz w:val="24"/>
                <w:szCs w:val="24"/>
                <w:lang w:val="en-US" w:eastAsia="zh-CN"/>
              </w:rPr>
            </w:pPr>
            <w:r>
              <w:rPr>
                <w:rFonts w:hint="eastAsia" w:ascii="Times New Roman" w:hAnsi="Times New Roman" w:eastAsia="宋体" w:cs="Times New Roman"/>
                <w:color w:val="000000" w:themeColor="text1"/>
                <w:sz w:val="24"/>
                <w:szCs w:val="24"/>
                <w:lang w:val="en-US" w:eastAsia="zh-CN"/>
              </w:rPr>
              <w:t>5、结论</w:t>
            </w:r>
          </w:p>
          <w:p w14:paraId="54AAE1D0">
            <w:pPr>
              <w:keepNext w:val="0"/>
              <w:keepLines w:val="0"/>
              <w:pageBreakBefore w:val="0"/>
              <w:widowControl w:val="0"/>
              <w:numPr>
                <w:ilvl w:val="0"/>
                <w:numId w:val="0"/>
              </w:numPr>
              <w:tabs>
                <w:tab w:val="left" w:pos="1215"/>
              </w:tabs>
              <w:kinsoku/>
              <w:wordWrap/>
              <w:overflowPunct/>
              <w:topLinePunct w:val="0"/>
              <w:autoSpaceDE/>
              <w:autoSpaceDN/>
              <w:bidi w:val="0"/>
              <w:adjustRightInd w:val="0"/>
              <w:snapToGrid w:val="0"/>
              <w:spacing w:line="360" w:lineRule="auto"/>
              <w:ind w:leftChars="0" w:firstLine="480" w:firstLineChars="200"/>
              <w:jc w:val="left"/>
              <w:textAlignment w:val="auto"/>
              <w:rPr>
                <w:rFonts w:hint="default" w:ascii="Times New Roman" w:hAnsi="Times New Roman" w:eastAsia="宋体" w:cs="Times New Roman"/>
                <w:color w:val="000000" w:themeColor="text1"/>
                <w:sz w:val="24"/>
                <w:szCs w:val="24"/>
                <w:lang w:val="en-US" w:eastAsia="zh-CN"/>
              </w:rPr>
            </w:pPr>
            <w:r>
              <w:rPr>
                <w:rFonts w:hint="default" w:ascii="Times New Roman" w:hAnsi="Times New Roman" w:eastAsia="宋体" w:cs="Times New Roman"/>
                <w:color w:val="000000" w:themeColor="text1"/>
                <w:sz w:val="24"/>
                <w:szCs w:val="24"/>
                <w:lang w:val="en-US" w:eastAsia="zh-CN"/>
              </w:rPr>
              <w:t>本项目采用成熟可靠的生产工艺和设备，各生产单元在设计中严格执行各行业有关规范中的安全卫生条款，对影响环境安全的因素均采取了措施予以防范，正常情况下能够保证安全生产和达到工业企业设计卫生标准的要求通过采取各项环境风险防范措施，该项目在建成后能够有效防止危险废物泄漏事故发生，一旦发生事故，依靠拟定的安全防护设施和事故应急措施也能及时控制事故，防止事故的蔓延，对环境的影响是可以接受的。</w:t>
            </w:r>
          </w:p>
          <w:p w14:paraId="348692FC">
            <w:pPr>
              <w:pStyle w:val="30"/>
              <w:rPr>
                <w:rFonts w:hint="eastAsia"/>
                <w:color w:val="000000" w:themeColor="text1"/>
                <w:lang w:val="en-US" w:eastAsia="zh-CN"/>
              </w:rPr>
            </w:pPr>
          </w:p>
          <w:p w14:paraId="008C9F0A">
            <w:pPr>
              <w:pStyle w:val="30"/>
              <w:rPr>
                <w:rFonts w:hint="eastAsia"/>
                <w:color w:val="000000" w:themeColor="text1"/>
                <w:lang w:val="en-US" w:eastAsia="zh-CN"/>
              </w:rPr>
            </w:pPr>
          </w:p>
          <w:p w14:paraId="6300F505">
            <w:pPr>
              <w:pStyle w:val="30"/>
              <w:rPr>
                <w:rFonts w:hint="eastAsia"/>
                <w:color w:val="000000" w:themeColor="text1"/>
                <w:lang w:val="en-US" w:eastAsia="zh-CN"/>
              </w:rPr>
            </w:pPr>
          </w:p>
          <w:p w14:paraId="009FCA47">
            <w:pPr>
              <w:pStyle w:val="30"/>
              <w:rPr>
                <w:rFonts w:hint="eastAsia"/>
                <w:color w:val="000000" w:themeColor="text1"/>
                <w:lang w:val="en-US" w:eastAsia="zh-CN"/>
              </w:rPr>
            </w:pPr>
          </w:p>
          <w:p w14:paraId="1A3B6E98">
            <w:pPr>
              <w:pStyle w:val="30"/>
              <w:rPr>
                <w:rFonts w:hint="eastAsia"/>
                <w:color w:val="000000" w:themeColor="text1"/>
                <w:lang w:val="en-US" w:eastAsia="zh-CN"/>
              </w:rPr>
            </w:pPr>
          </w:p>
          <w:p w14:paraId="6DE0BF33">
            <w:pPr>
              <w:pStyle w:val="30"/>
              <w:rPr>
                <w:rFonts w:hint="eastAsia"/>
                <w:color w:val="000000" w:themeColor="text1"/>
                <w:lang w:val="en-US" w:eastAsia="zh-CN"/>
              </w:rPr>
            </w:pPr>
          </w:p>
          <w:p w14:paraId="17D3B84B">
            <w:pPr>
              <w:pStyle w:val="30"/>
              <w:rPr>
                <w:rFonts w:hint="eastAsia"/>
                <w:color w:val="000000" w:themeColor="text1"/>
                <w:lang w:val="en-US" w:eastAsia="zh-CN"/>
              </w:rPr>
            </w:pPr>
          </w:p>
          <w:p w14:paraId="322EFA5E">
            <w:pPr>
              <w:pStyle w:val="30"/>
              <w:rPr>
                <w:rFonts w:hint="eastAsia"/>
                <w:color w:val="000000" w:themeColor="text1"/>
                <w:lang w:val="en-US" w:eastAsia="zh-CN"/>
              </w:rPr>
            </w:pPr>
          </w:p>
          <w:p w14:paraId="67CC48BC">
            <w:pPr>
              <w:pStyle w:val="30"/>
              <w:rPr>
                <w:rFonts w:hint="eastAsia"/>
                <w:color w:val="000000" w:themeColor="text1"/>
                <w:lang w:val="en-US" w:eastAsia="zh-CN"/>
              </w:rPr>
            </w:pPr>
          </w:p>
          <w:p w14:paraId="529EAB7F">
            <w:pPr>
              <w:pStyle w:val="30"/>
              <w:rPr>
                <w:rFonts w:hint="eastAsia"/>
                <w:color w:val="000000" w:themeColor="text1"/>
                <w:lang w:val="en-US" w:eastAsia="zh-CN"/>
              </w:rPr>
            </w:pPr>
          </w:p>
          <w:p w14:paraId="0EE7997D">
            <w:pPr>
              <w:pStyle w:val="30"/>
              <w:rPr>
                <w:rFonts w:hint="eastAsia"/>
                <w:color w:val="000000" w:themeColor="text1"/>
                <w:lang w:val="en-US" w:eastAsia="zh-CN"/>
              </w:rPr>
            </w:pPr>
          </w:p>
          <w:p w14:paraId="0DBB5395">
            <w:pPr>
              <w:pStyle w:val="30"/>
              <w:rPr>
                <w:rFonts w:hint="eastAsia"/>
                <w:color w:val="000000" w:themeColor="text1"/>
                <w:lang w:val="en-US" w:eastAsia="zh-CN"/>
              </w:rPr>
            </w:pPr>
          </w:p>
          <w:p w14:paraId="0086D922">
            <w:pPr>
              <w:pStyle w:val="30"/>
              <w:rPr>
                <w:rFonts w:hint="eastAsia"/>
                <w:color w:val="000000" w:themeColor="text1"/>
                <w:lang w:val="en-US" w:eastAsia="zh-CN"/>
              </w:rPr>
            </w:pPr>
          </w:p>
          <w:p w14:paraId="7337DFF0">
            <w:pPr>
              <w:pStyle w:val="30"/>
              <w:rPr>
                <w:rFonts w:hint="eastAsia"/>
                <w:color w:val="000000" w:themeColor="text1"/>
                <w:lang w:val="en-US" w:eastAsia="zh-CN"/>
              </w:rPr>
            </w:pPr>
          </w:p>
          <w:p w14:paraId="7FC6D94F">
            <w:pPr>
              <w:pStyle w:val="30"/>
              <w:rPr>
                <w:rFonts w:hint="eastAsia"/>
                <w:color w:val="000000" w:themeColor="text1"/>
                <w:lang w:val="en-US" w:eastAsia="zh-CN"/>
              </w:rPr>
            </w:pPr>
          </w:p>
          <w:p w14:paraId="2FE80EC2">
            <w:pPr>
              <w:pStyle w:val="30"/>
              <w:rPr>
                <w:rFonts w:hint="eastAsia"/>
                <w:color w:val="000000" w:themeColor="text1"/>
                <w:lang w:val="en-US" w:eastAsia="zh-CN"/>
              </w:rPr>
            </w:pPr>
          </w:p>
          <w:p w14:paraId="77F15C63">
            <w:pPr>
              <w:pStyle w:val="30"/>
              <w:rPr>
                <w:rFonts w:hint="eastAsia"/>
                <w:color w:val="000000" w:themeColor="text1"/>
                <w:lang w:val="en-US" w:eastAsia="zh-CN"/>
              </w:rPr>
            </w:pPr>
          </w:p>
          <w:p w14:paraId="11363417">
            <w:pPr>
              <w:pStyle w:val="30"/>
              <w:rPr>
                <w:rFonts w:hint="eastAsia"/>
                <w:color w:val="000000" w:themeColor="text1"/>
                <w:lang w:val="en-US" w:eastAsia="zh-CN"/>
              </w:rPr>
            </w:pPr>
          </w:p>
          <w:p w14:paraId="3D0B84D0">
            <w:pPr>
              <w:pStyle w:val="30"/>
              <w:rPr>
                <w:rFonts w:hint="eastAsia"/>
                <w:color w:val="000000" w:themeColor="text1"/>
                <w:lang w:val="en-US" w:eastAsia="zh-CN"/>
              </w:rPr>
            </w:pPr>
          </w:p>
          <w:p w14:paraId="683C705E">
            <w:pPr>
              <w:pStyle w:val="30"/>
              <w:rPr>
                <w:rFonts w:hint="eastAsia"/>
                <w:color w:val="000000" w:themeColor="text1"/>
                <w:lang w:val="en-US" w:eastAsia="zh-CN"/>
              </w:rPr>
            </w:pPr>
          </w:p>
          <w:p w14:paraId="12AE1E29">
            <w:pPr>
              <w:pStyle w:val="30"/>
              <w:rPr>
                <w:rFonts w:hint="eastAsia"/>
                <w:color w:val="000000" w:themeColor="text1"/>
                <w:lang w:val="en-US" w:eastAsia="zh-CN"/>
              </w:rPr>
            </w:pPr>
          </w:p>
          <w:p w14:paraId="2D2F4778">
            <w:pPr>
              <w:pStyle w:val="30"/>
              <w:rPr>
                <w:rFonts w:hint="eastAsia"/>
                <w:color w:val="000000" w:themeColor="text1"/>
                <w:lang w:val="en-US" w:eastAsia="zh-CN"/>
              </w:rPr>
            </w:pPr>
          </w:p>
          <w:p w14:paraId="18D3251C">
            <w:pPr>
              <w:pStyle w:val="30"/>
              <w:rPr>
                <w:rFonts w:hint="eastAsia"/>
                <w:color w:val="000000" w:themeColor="text1"/>
                <w:lang w:val="en-US" w:eastAsia="zh-CN"/>
              </w:rPr>
            </w:pPr>
          </w:p>
          <w:p w14:paraId="1F794C51">
            <w:pPr>
              <w:pStyle w:val="30"/>
              <w:rPr>
                <w:rFonts w:hint="eastAsia"/>
                <w:color w:val="000000" w:themeColor="text1"/>
                <w:lang w:val="en-US" w:eastAsia="zh-CN"/>
              </w:rPr>
            </w:pPr>
          </w:p>
          <w:p w14:paraId="0351B05D">
            <w:pPr>
              <w:pStyle w:val="30"/>
              <w:rPr>
                <w:rFonts w:hint="eastAsia"/>
                <w:color w:val="000000" w:themeColor="text1"/>
                <w:lang w:val="en-US" w:eastAsia="zh-CN"/>
              </w:rPr>
            </w:pPr>
          </w:p>
          <w:p w14:paraId="782895A1">
            <w:pPr>
              <w:pStyle w:val="30"/>
              <w:rPr>
                <w:rFonts w:hint="eastAsia"/>
                <w:color w:val="000000" w:themeColor="text1"/>
                <w:lang w:val="en-US" w:eastAsia="zh-CN"/>
              </w:rPr>
            </w:pPr>
          </w:p>
          <w:p w14:paraId="7AB3F127">
            <w:pPr>
              <w:pStyle w:val="30"/>
              <w:rPr>
                <w:rFonts w:hint="eastAsia"/>
                <w:color w:val="000000" w:themeColor="text1"/>
                <w:lang w:val="en-US" w:eastAsia="zh-CN"/>
              </w:rPr>
            </w:pPr>
          </w:p>
          <w:p w14:paraId="0668C48D">
            <w:pPr>
              <w:pStyle w:val="30"/>
              <w:rPr>
                <w:rFonts w:hint="eastAsia"/>
                <w:color w:val="000000" w:themeColor="text1"/>
                <w:lang w:val="en-US" w:eastAsia="zh-CN"/>
              </w:rPr>
            </w:pPr>
          </w:p>
        </w:tc>
      </w:tr>
    </w:tbl>
    <w:p w14:paraId="71A8E0C7">
      <w:pPr>
        <w:rPr>
          <w:rFonts w:hint="default" w:ascii="Times New Roman" w:hAnsi="Times New Roman" w:cs="Times New Roman"/>
          <w:snapToGrid w:val="0"/>
          <w:color w:val="000000" w:themeColor="text1"/>
          <w:sz w:val="30"/>
          <w:szCs w:val="30"/>
        </w:rPr>
        <w:sectPr>
          <w:pgSz w:w="11906" w:h="16838"/>
          <w:pgMar w:top="1701" w:right="1531" w:bottom="1701" w:left="1531" w:header="851" w:footer="851" w:gutter="0"/>
          <w:cols w:space="720" w:num="1"/>
          <w:docGrid w:linePitch="312" w:charSpace="0"/>
        </w:sectPr>
      </w:pPr>
    </w:p>
    <w:p w14:paraId="5760DA64">
      <w:pPr>
        <w:pStyle w:val="31"/>
        <w:jc w:val="center"/>
        <w:outlineLvl w:val="0"/>
        <w:rPr>
          <w:rFonts w:hint="default" w:ascii="Times New Roman" w:hAnsi="Times New Roman" w:cs="Times New Roman"/>
          <w:snapToGrid w:val="0"/>
          <w:color w:val="000000" w:themeColor="text1"/>
          <w:sz w:val="30"/>
          <w:szCs w:val="30"/>
        </w:rPr>
      </w:pPr>
      <w:r>
        <w:rPr>
          <w:rFonts w:hint="default" w:ascii="Times New Roman" w:hAnsi="Times New Roman" w:cs="Times New Roman"/>
          <w:snapToGrid w:val="0"/>
          <w:color w:val="000000" w:themeColor="text1"/>
          <w:sz w:val="30"/>
          <w:szCs w:val="30"/>
        </w:rPr>
        <w:t>五、</w:t>
      </w:r>
      <w:bookmarkStart w:id="4" w:name="_Hlk54167917"/>
      <w:r>
        <w:rPr>
          <w:rFonts w:hint="default" w:ascii="Times New Roman" w:hAnsi="Times New Roman" w:cs="Times New Roman"/>
          <w:snapToGrid w:val="0"/>
          <w:color w:val="000000" w:themeColor="text1"/>
          <w:sz w:val="30"/>
          <w:szCs w:val="30"/>
        </w:rPr>
        <w:t>环境保护措施监督检查清单</w:t>
      </w:r>
      <w:bookmarkEnd w:id="4"/>
    </w:p>
    <w:tbl>
      <w:tblPr>
        <w:tblStyle w:val="3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88"/>
        <w:gridCol w:w="1187"/>
        <w:gridCol w:w="1084"/>
        <w:gridCol w:w="3181"/>
        <w:gridCol w:w="2497"/>
      </w:tblGrid>
      <w:tr w14:paraId="25B450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top w:val="single" w:color="auto" w:sz="8" w:space="0"/>
              <w:tl2br w:val="single" w:color="auto" w:sz="4" w:space="0"/>
            </w:tcBorders>
          </w:tcPr>
          <w:p w14:paraId="5BAE6E99">
            <w:pPr>
              <w:adjustRightInd w:val="0"/>
              <w:snapToGrid w:val="0"/>
              <w:rPr>
                <w:rFonts w:hint="default" w:ascii="Times New Roman" w:hAnsi="Times New Roman" w:cs="Times New Roman"/>
                <w:color w:val="000000" w:themeColor="text1"/>
              </w:rPr>
            </w:pPr>
            <w:r>
              <w:rPr>
                <w:rFonts w:hint="default" w:ascii="Times New Roman" w:hAnsi="Times New Roman" w:cs="Times New Roman"/>
                <w:color w:val="000000" w:themeColor="text1"/>
              </w:rPr>
              <w:t>内容</w:t>
            </w:r>
          </w:p>
          <w:p w14:paraId="7BBCC56E">
            <w:pPr>
              <w:adjustRightInd w:val="0"/>
              <w:snapToGrid w:val="0"/>
              <w:rPr>
                <w:rFonts w:hint="default" w:ascii="Times New Roman" w:hAnsi="Times New Roman" w:cs="Times New Roman"/>
                <w:color w:val="000000" w:themeColor="text1"/>
              </w:rPr>
            </w:pPr>
          </w:p>
          <w:p w14:paraId="2E0C69F4">
            <w:pPr>
              <w:adjustRightInd w:val="0"/>
              <w:snapToGrid w:val="0"/>
              <w:rPr>
                <w:rFonts w:hint="default" w:ascii="Times New Roman" w:hAnsi="Times New Roman" w:cs="Times New Roman"/>
                <w:color w:val="000000" w:themeColor="text1"/>
              </w:rPr>
            </w:pPr>
            <w:r>
              <w:rPr>
                <w:rFonts w:hint="default" w:ascii="Times New Roman" w:hAnsi="Times New Roman" w:cs="Times New Roman"/>
                <w:color w:val="000000" w:themeColor="text1"/>
              </w:rPr>
              <w:t>要素</w:t>
            </w:r>
          </w:p>
        </w:tc>
        <w:tc>
          <w:tcPr>
            <w:tcW w:w="1187" w:type="dxa"/>
            <w:tcBorders>
              <w:top w:val="single" w:color="auto" w:sz="8" w:space="0"/>
            </w:tcBorders>
            <w:vAlign w:val="center"/>
          </w:tcPr>
          <w:p w14:paraId="47CD1403">
            <w:pPr>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排放口(编号、名称)/污染源</w:t>
            </w:r>
          </w:p>
        </w:tc>
        <w:tc>
          <w:tcPr>
            <w:tcW w:w="1084" w:type="dxa"/>
            <w:tcBorders>
              <w:top w:val="single" w:color="auto" w:sz="8" w:space="0"/>
            </w:tcBorders>
            <w:vAlign w:val="center"/>
          </w:tcPr>
          <w:p w14:paraId="6A580198">
            <w:pPr>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污染物项目</w:t>
            </w:r>
          </w:p>
        </w:tc>
        <w:tc>
          <w:tcPr>
            <w:tcW w:w="3181" w:type="dxa"/>
            <w:tcBorders>
              <w:top w:val="single" w:color="auto" w:sz="8" w:space="0"/>
            </w:tcBorders>
            <w:vAlign w:val="center"/>
          </w:tcPr>
          <w:p w14:paraId="37D48E1C">
            <w:pPr>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环境保护措施</w:t>
            </w:r>
          </w:p>
        </w:tc>
        <w:tc>
          <w:tcPr>
            <w:tcW w:w="2497" w:type="dxa"/>
            <w:tcBorders>
              <w:top w:val="single" w:color="auto" w:sz="8" w:space="0"/>
            </w:tcBorders>
            <w:vAlign w:val="center"/>
          </w:tcPr>
          <w:p w14:paraId="199E67EB">
            <w:pPr>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执行标准</w:t>
            </w:r>
          </w:p>
        </w:tc>
      </w:tr>
      <w:tr w14:paraId="206179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vMerge w:val="restart"/>
            <w:vAlign w:val="center"/>
          </w:tcPr>
          <w:p w14:paraId="52F38035">
            <w:pPr>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大气环境</w:t>
            </w:r>
          </w:p>
        </w:tc>
        <w:tc>
          <w:tcPr>
            <w:tcW w:w="1187" w:type="dxa"/>
            <w:vAlign w:val="center"/>
          </w:tcPr>
          <w:p w14:paraId="3F574236">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DA001</w:t>
            </w:r>
          </w:p>
        </w:tc>
        <w:tc>
          <w:tcPr>
            <w:tcW w:w="1084" w:type="dxa"/>
            <w:shd w:val="clear" w:color="auto" w:fill="auto"/>
            <w:vAlign w:val="center"/>
          </w:tcPr>
          <w:p w14:paraId="570152D2">
            <w:pPr>
              <w:jc w:val="center"/>
              <w:rPr>
                <w:rFonts w:hint="eastAsia" w:ascii="Times New Roman" w:hAnsi="Times New Roman" w:eastAsia="宋体" w:cs="Times New Roman"/>
                <w:color w:val="000000" w:themeColor="text1"/>
                <w:lang w:eastAsia="zh-CN"/>
              </w:rPr>
            </w:pPr>
            <w:r>
              <w:rPr>
                <w:rFonts w:hint="eastAsia" w:cs="Times New Roman"/>
                <w:color w:val="000000" w:themeColor="text1"/>
                <w:lang w:val="en-US" w:eastAsia="zh-CN"/>
              </w:rPr>
              <w:t>非甲烷总烃</w:t>
            </w:r>
          </w:p>
        </w:tc>
        <w:tc>
          <w:tcPr>
            <w:tcW w:w="3181" w:type="dxa"/>
            <w:vAlign w:val="center"/>
          </w:tcPr>
          <w:p w14:paraId="06B30972">
            <w:pPr>
              <w:pStyle w:val="104"/>
              <w:jc w:val="left"/>
              <w:rPr>
                <w:rFonts w:hint="default" w:ascii="Times New Roman" w:hAnsi="Times New Roman" w:eastAsia="宋体" w:cs="Times New Roman"/>
                <w:color w:val="000000" w:themeColor="text1"/>
                <w:lang w:val="en-US" w:eastAsia="zh-CN"/>
              </w:rPr>
            </w:pPr>
            <w:r>
              <w:rPr>
                <w:rFonts w:hint="default" w:ascii="Times New Roman" w:hAnsi="Times New Roman" w:cs="Times New Roman"/>
                <w:color w:val="000000" w:themeColor="text1"/>
                <w:szCs w:val="21"/>
                <w:lang w:val="en-US" w:eastAsia="zh-CN"/>
              </w:rPr>
              <w:t>浇筑废气</w:t>
            </w:r>
            <w:r>
              <w:rPr>
                <w:rFonts w:hint="eastAsia" w:ascii="Times New Roman" w:hAnsi="Times New Roman" w:cs="Times New Roman"/>
                <w:color w:val="000000" w:themeColor="text1"/>
                <w:szCs w:val="21"/>
                <w:lang w:val="en-US" w:eastAsia="zh-CN"/>
              </w:rPr>
              <w:t>和变压器油储罐呼吸废气</w:t>
            </w:r>
            <w:r>
              <w:rPr>
                <w:rFonts w:hint="default" w:ascii="Times New Roman" w:hAnsi="Times New Roman" w:cs="Times New Roman"/>
                <w:color w:val="000000" w:themeColor="text1"/>
                <w:szCs w:val="21"/>
                <w:lang w:val="en-US" w:eastAsia="zh-CN"/>
              </w:rPr>
              <w:t>经集气罩收集，固化废气经密封管道收集后经干式过滤棉+二级活性炭处理后经15m高排气筒DA001排放</w:t>
            </w:r>
          </w:p>
        </w:tc>
        <w:tc>
          <w:tcPr>
            <w:tcW w:w="2497" w:type="dxa"/>
            <w:vAlign w:val="center"/>
          </w:tcPr>
          <w:p w14:paraId="347C8FC7">
            <w:pPr>
              <w:pStyle w:val="104"/>
              <w:jc w:val="left"/>
              <w:rPr>
                <w:rFonts w:hint="default" w:ascii="Times New Roman" w:hAnsi="Times New Roman" w:cs="Times New Roman"/>
                <w:bCs/>
                <w:color w:val="000000" w:themeColor="text1"/>
                <w:kern w:val="0"/>
                <w:sz w:val="21"/>
                <w:szCs w:val="21"/>
              </w:rPr>
            </w:pPr>
            <w:r>
              <w:rPr>
                <w:rFonts w:hint="default" w:ascii="Times New Roman" w:hAnsi="Times New Roman" w:cs="Times New Roman"/>
                <w:color w:val="000000" w:themeColor="text1"/>
                <w:sz w:val="21"/>
                <w:szCs w:val="21"/>
              </w:rPr>
              <w:t>《固定源挥发性有机物综合排放标准　第6部分：其他行业》（DB34/4812.6-2024）</w:t>
            </w:r>
          </w:p>
        </w:tc>
      </w:tr>
      <w:tr w14:paraId="57C984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vMerge w:val="continue"/>
            <w:vAlign w:val="center"/>
          </w:tcPr>
          <w:p w14:paraId="52BCC4D1">
            <w:pPr>
              <w:adjustRightInd w:val="0"/>
              <w:snapToGrid w:val="0"/>
              <w:jc w:val="center"/>
              <w:rPr>
                <w:rFonts w:hint="default" w:ascii="Times New Roman" w:hAnsi="Times New Roman" w:cs="Times New Roman"/>
                <w:color w:val="000000" w:themeColor="text1"/>
              </w:rPr>
            </w:pPr>
          </w:p>
        </w:tc>
        <w:tc>
          <w:tcPr>
            <w:tcW w:w="1187" w:type="dxa"/>
            <w:shd w:val="clear" w:color="auto" w:fill="auto"/>
            <w:vAlign w:val="center"/>
          </w:tcPr>
          <w:p w14:paraId="6B26C3F8">
            <w:pPr>
              <w:jc w:val="center"/>
              <w:rPr>
                <w:rFonts w:hint="eastAsia" w:ascii="Times New Roman" w:hAnsi="Times New Roman" w:eastAsia="宋体" w:cs="Times New Roman"/>
                <w:color w:val="000000" w:themeColor="text1"/>
                <w:lang w:eastAsia="zh-CN"/>
              </w:rPr>
            </w:pPr>
            <w:r>
              <w:rPr>
                <w:rFonts w:hint="eastAsia" w:cs="Times New Roman"/>
                <w:bCs/>
                <w:color w:val="000000" w:themeColor="text1"/>
                <w:kern w:val="0"/>
                <w:lang w:val="en-US" w:eastAsia="zh-CN"/>
              </w:rPr>
              <w:t>焊接</w:t>
            </w:r>
          </w:p>
        </w:tc>
        <w:tc>
          <w:tcPr>
            <w:tcW w:w="1084" w:type="dxa"/>
            <w:shd w:val="clear" w:color="auto" w:fill="auto"/>
            <w:vAlign w:val="center"/>
          </w:tcPr>
          <w:p w14:paraId="481D5068">
            <w:pPr>
              <w:jc w:val="center"/>
              <w:rPr>
                <w:rFonts w:hint="eastAsia" w:ascii="Times New Roman" w:hAnsi="Times New Roman" w:eastAsia="宋体" w:cs="Times New Roman"/>
                <w:color w:val="000000" w:themeColor="text1"/>
                <w:lang w:eastAsia="zh-CN"/>
              </w:rPr>
            </w:pPr>
            <w:r>
              <w:rPr>
                <w:rFonts w:hint="eastAsia" w:cs="Times New Roman"/>
                <w:color w:val="000000" w:themeColor="text1"/>
                <w:lang w:val="en-US" w:eastAsia="zh-CN"/>
              </w:rPr>
              <w:t>颗粒物</w:t>
            </w:r>
          </w:p>
        </w:tc>
        <w:tc>
          <w:tcPr>
            <w:tcW w:w="3181" w:type="dxa"/>
            <w:shd w:val="clear" w:color="auto" w:fill="auto"/>
            <w:vAlign w:val="center"/>
          </w:tcPr>
          <w:p w14:paraId="2EDD0165">
            <w:pPr>
              <w:pStyle w:val="104"/>
              <w:jc w:val="left"/>
              <w:rPr>
                <w:rFonts w:hint="default" w:ascii="Times New Roman" w:hAnsi="Times New Roman" w:eastAsia="宋体" w:cs="Times New Roman"/>
                <w:bCs/>
                <w:color w:val="000000" w:themeColor="text1"/>
                <w:kern w:val="0"/>
                <w:lang w:val="en-US" w:eastAsia="zh-CN"/>
              </w:rPr>
            </w:pPr>
            <w:r>
              <w:rPr>
                <w:rFonts w:hint="eastAsia" w:cs="Times New Roman"/>
                <w:bCs/>
                <w:color w:val="000000" w:themeColor="text1"/>
                <w:kern w:val="0"/>
                <w:sz w:val="21"/>
                <w:szCs w:val="21"/>
                <w:lang w:val="en-US" w:eastAsia="zh-CN"/>
              </w:rPr>
              <w:t>线圈绕制过程产生的焊接烟尘经移动式焊烟净化器处理后无组织排放</w:t>
            </w:r>
          </w:p>
        </w:tc>
        <w:tc>
          <w:tcPr>
            <w:tcW w:w="2497" w:type="dxa"/>
            <w:shd w:val="clear" w:color="auto" w:fill="auto"/>
            <w:vAlign w:val="center"/>
          </w:tcPr>
          <w:p w14:paraId="2B1DB9F5">
            <w:pPr>
              <w:pStyle w:val="104"/>
              <w:jc w:val="left"/>
              <w:rPr>
                <w:rFonts w:hint="default" w:ascii="Times New Roman" w:hAnsi="Times New Roman" w:cs="Times New Roman"/>
                <w:bCs/>
                <w:color w:val="000000" w:themeColor="text1"/>
                <w:kern w:val="0"/>
              </w:rPr>
            </w:pPr>
            <w:r>
              <w:rPr>
                <w:rFonts w:hint="default" w:ascii="Times New Roman" w:hAnsi="Times New Roman" w:cs="Times New Roman"/>
                <w:bCs/>
                <w:color w:val="000000" w:themeColor="text1"/>
                <w:kern w:val="0"/>
              </w:rPr>
              <w:t>《大气污染物综合排放标准》（GB16297-1996）</w:t>
            </w:r>
          </w:p>
        </w:tc>
      </w:tr>
      <w:tr w14:paraId="70125C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88" w:type="dxa"/>
            <w:vAlign w:val="center"/>
          </w:tcPr>
          <w:p w14:paraId="726B2102">
            <w:pPr>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地表水环境</w:t>
            </w:r>
          </w:p>
        </w:tc>
        <w:tc>
          <w:tcPr>
            <w:tcW w:w="1187" w:type="dxa"/>
            <w:shd w:val="clear" w:color="auto" w:fill="auto"/>
            <w:vAlign w:val="center"/>
          </w:tcPr>
          <w:p w14:paraId="2FD9EC6D">
            <w:pPr>
              <w:pStyle w:val="121"/>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生活污水</w:t>
            </w:r>
          </w:p>
        </w:tc>
        <w:tc>
          <w:tcPr>
            <w:tcW w:w="1084" w:type="dxa"/>
            <w:shd w:val="clear" w:color="auto" w:fill="auto"/>
            <w:vAlign w:val="center"/>
          </w:tcPr>
          <w:p w14:paraId="78F8C2D1">
            <w:pPr>
              <w:adjustRightInd w:val="0"/>
              <w:jc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COD、BOD</w:t>
            </w:r>
            <w:r>
              <w:rPr>
                <w:rFonts w:hint="default" w:ascii="Times New Roman" w:hAnsi="Times New Roman" w:cs="Times New Roman"/>
                <w:color w:val="000000" w:themeColor="text1"/>
                <w:sz w:val="21"/>
                <w:szCs w:val="21"/>
                <w:vertAlign w:val="subscript"/>
              </w:rPr>
              <w:t>5</w:t>
            </w:r>
            <w:r>
              <w:rPr>
                <w:rFonts w:hint="default" w:ascii="Times New Roman" w:hAnsi="Times New Roman" w:cs="Times New Roman"/>
                <w:color w:val="000000" w:themeColor="text1"/>
                <w:sz w:val="21"/>
                <w:szCs w:val="21"/>
              </w:rPr>
              <w:t>、SS、氨氮</w:t>
            </w:r>
          </w:p>
        </w:tc>
        <w:tc>
          <w:tcPr>
            <w:tcW w:w="3181" w:type="dxa"/>
            <w:shd w:val="clear" w:color="auto" w:fill="auto"/>
            <w:vAlign w:val="center"/>
          </w:tcPr>
          <w:p w14:paraId="060445D0">
            <w:pPr>
              <w:adjustRightInd w:val="0"/>
              <w:jc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kern w:val="0"/>
                <w:sz w:val="21"/>
                <w:szCs w:val="21"/>
              </w:rPr>
              <w:t>生活污水经化粪池处理后经市政管网排入龙湖污水处理厂深度处理</w:t>
            </w:r>
          </w:p>
        </w:tc>
        <w:tc>
          <w:tcPr>
            <w:tcW w:w="2497" w:type="dxa"/>
            <w:shd w:val="clear" w:color="auto" w:fill="auto"/>
            <w:vAlign w:val="center"/>
          </w:tcPr>
          <w:p w14:paraId="654C6AD5">
            <w:pPr>
              <w:adjustRightInd w:val="0"/>
              <w:jc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《污水综合排放标准》（GB 8978-1996）三级标准</w:t>
            </w:r>
            <w:r>
              <w:rPr>
                <w:rFonts w:hint="eastAsia" w:ascii="Times New Roman" w:hAnsi="Times New Roman" w:cs="Times New Roman"/>
                <w:color w:val="000000" w:themeColor="text1"/>
                <w:sz w:val="21"/>
                <w:szCs w:val="21"/>
                <w:lang w:val="en-US" w:eastAsia="zh-CN"/>
              </w:rPr>
              <w:t>及污水处理厂接管标准</w:t>
            </w:r>
          </w:p>
        </w:tc>
      </w:tr>
      <w:tr w14:paraId="161CB9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vAlign w:val="center"/>
          </w:tcPr>
          <w:p w14:paraId="4D5E6B9D">
            <w:pPr>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声环境</w:t>
            </w:r>
          </w:p>
        </w:tc>
        <w:tc>
          <w:tcPr>
            <w:tcW w:w="1187" w:type="dxa"/>
            <w:vAlign w:val="center"/>
          </w:tcPr>
          <w:p w14:paraId="09611AAD">
            <w:pPr>
              <w:pStyle w:val="121"/>
              <w:rPr>
                <w:rFonts w:hint="default" w:ascii="Times New Roman" w:hAnsi="Times New Roman" w:cs="Times New Roman"/>
                <w:bCs/>
                <w:color w:val="000000" w:themeColor="text1"/>
                <w:sz w:val="21"/>
                <w:szCs w:val="21"/>
              </w:rPr>
            </w:pPr>
            <w:r>
              <w:rPr>
                <w:rFonts w:hint="default" w:ascii="Times New Roman" w:hAnsi="Times New Roman" w:cs="Times New Roman"/>
                <w:bCs/>
                <w:color w:val="000000" w:themeColor="text1"/>
                <w:sz w:val="21"/>
                <w:szCs w:val="21"/>
              </w:rPr>
              <w:t>生产设备</w:t>
            </w:r>
          </w:p>
        </w:tc>
        <w:tc>
          <w:tcPr>
            <w:tcW w:w="1084" w:type="dxa"/>
            <w:vAlign w:val="center"/>
          </w:tcPr>
          <w:p w14:paraId="35D79D7A">
            <w:pPr>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等效连续A声级</w:t>
            </w:r>
          </w:p>
        </w:tc>
        <w:tc>
          <w:tcPr>
            <w:tcW w:w="3181" w:type="dxa"/>
            <w:vAlign w:val="center"/>
          </w:tcPr>
          <w:p w14:paraId="78E1B21E">
            <w:pPr>
              <w:rPr>
                <w:rFonts w:hint="default" w:ascii="Times New Roman" w:hAnsi="Times New Roman" w:cs="Times New Roman"/>
                <w:color w:val="000000" w:themeColor="text1"/>
              </w:rPr>
            </w:pPr>
            <w:r>
              <w:rPr>
                <w:rFonts w:hint="default" w:ascii="Times New Roman" w:hAnsi="Times New Roman" w:cs="Times New Roman"/>
                <w:color w:val="000000" w:themeColor="text1"/>
              </w:rPr>
              <w:t>选用低噪声设备、消声装置、基础减震、房屋隔声、距离衰减</w:t>
            </w:r>
          </w:p>
        </w:tc>
        <w:tc>
          <w:tcPr>
            <w:tcW w:w="2497" w:type="dxa"/>
            <w:vAlign w:val="center"/>
          </w:tcPr>
          <w:p w14:paraId="56F86B61">
            <w:pPr>
              <w:adjustRightInd w:val="0"/>
              <w:snapToGrid w:val="0"/>
              <w:rPr>
                <w:rFonts w:hint="default" w:ascii="Times New Roman" w:hAnsi="Times New Roman" w:cs="Times New Roman"/>
                <w:color w:val="000000" w:themeColor="text1"/>
              </w:rPr>
            </w:pPr>
            <w:r>
              <w:rPr>
                <w:rFonts w:hint="default" w:ascii="Times New Roman" w:hAnsi="Times New Roman" w:cs="Times New Roman"/>
                <w:color w:val="000000" w:themeColor="text1"/>
              </w:rPr>
              <w:t>GB12348-2008《工业企业厂界环境噪声排放标准》中3类标准</w:t>
            </w:r>
          </w:p>
        </w:tc>
      </w:tr>
      <w:tr w14:paraId="034F99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vAlign w:val="center"/>
          </w:tcPr>
          <w:p w14:paraId="13D2AAAA">
            <w:pPr>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固体废物</w:t>
            </w:r>
          </w:p>
        </w:tc>
        <w:tc>
          <w:tcPr>
            <w:tcW w:w="7949" w:type="dxa"/>
            <w:gridSpan w:val="4"/>
            <w:vAlign w:val="center"/>
          </w:tcPr>
          <w:p w14:paraId="4DA73102">
            <w:pPr>
              <w:adjustRightInd w:val="0"/>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（1）在生产车间内北侧设置一般固废区，面积约为</w:t>
            </w:r>
            <w:r>
              <w:rPr>
                <w:rFonts w:hint="eastAsia" w:cs="Times New Roman"/>
                <w:color w:val="000000" w:themeColor="text1"/>
                <w:sz w:val="21"/>
                <w:szCs w:val="21"/>
                <w:lang w:val="en-US" w:eastAsia="zh-CN"/>
              </w:rPr>
              <w:t>2</w:t>
            </w:r>
            <w:r>
              <w:rPr>
                <w:rFonts w:hint="default" w:ascii="Times New Roman" w:hAnsi="Times New Roman" w:cs="Times New Roman"/>
                <w:color w:val="000000" w:themeColor="text1"/>
                <w:sz w:val="21"/>
                <w:szCs w:val="21"/>
              </w:rPr>
              <w:t>0m</w:t>
            </w:r>
            <w:r>
              <w:rPr>
                <w:rFonts w:hint="default" w:ascii="Times New Roman" w:hAnsi="Times New Roman" w:cs="Times New Roman"/>
                <w:color w:val="000000" w:themeColor="text1"/>
                <w:sz w:val="21"/>
                <w:szCs w:val="21"/>
                <w:vertAlign w:val="superscript"/>
              </w:rPr>
              <w:t>2</w:t>
            </w:r>
            <w:r>
              <w:rPr>
                <w:rFonts w:hint="default" w:ascii="Times New Roman" w:hAnsi="Times New Roman" w:cs="Times New Roman"/>
                <w:color w:val="000000" w:themeColor="text1"/>
                <w:sz w:val="21"/>
                <w:szCs w:val="21"/>
              </w:rPr>
              <w:t>，</w:t>
            </w:r>
            <w:r>
              <w:rPr>
                <w:rFonts w:hint="eastAsia" w:cs="Times New Roman"/>
                <w:color w:val="000000" w:themeColor="text1"/>
                <w:sz w:val="21"/>
                <w:szCs w:val="21"/>
                <w:lang w:val="en-US" w:eastAsia="zh-CN"/>
              </w:rPr>
              <w:t>项目产生的废铜（铝）线、废铜（铝）箔、废绝缘材料、废边角料、</w:t>
            </w:r>
            <w:r>
              <w:rPr>
                <w:rFonts w:hint="eastAsia" w:cs="Times New Roman"/>
                <w:color w:val="000000" w:themeColor="text1"/>
                <w:kern w:val="0"/>
                <w:szCs w:val="21"/>
                <w:lang w:val="en-US" w:eastAsia="zh-CN"/>
              </w:rPr>
              <w:t>废包装材料（不含化学品包装桶）</w:t>
            </w:r>
            <w:r>
              <w:rPr>
                <w:rFonts w:hint="default" w:ascii="Times New Roman" w:hAnsi="Times New Roman" w:cs="Times New Roman"/>
                <w:color w:val="000000" w:themeColor="text1"/>
                <w:sz w:val="21"/>
                <w:szCs w:val="21"/>
              </w:rPr>
              <w:t>等收集后暂存一般固废区定期外售；</w:t>
            </w:r>
          </w:p>
          <w:p w14:paraId="33F335CD">
            <w:pPr>
              <w:adjustRightInd w:val="0"/>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（2）在生产车间外西侧设置危废暂存间</w:t>
            </w:r>
            <w:r>
              <w:rPr>
                <w:rFonts w:hint="eastAsia" w:cs="Times New Roman"/>
                <w:color w:val="000000" w:themeColor="text1"/>
                <w:sz w:val="21"/>
                <w:szCs w:val="21"/>
                <w:lang w:val="en-US" w:eastAsia="zh-CN"/>
              </w:rPr>
              <w:t>，面积约为2</w:t>
            </w:r>
            <w:r>
              <w:rPr>
                <w:rFonts w:hint="default" w:ascii="Times New Roman" w:hAnsi="Times New Roman" w:cs="Times New Roman"/>
                <w:color w:val="000000" w:themeColor="text1"/>
                <w:sz w:val="21"/>
                <w:szCs w:val="21"/>
                <w:lang w:eastAsia="zh-CN"/>
              </w:rPr>
              <w:t>0m</w:t>
            </w:r>
            <w:r>
              <w:rPr>
                <w:rFonts w:hint="default" w:ascii="Times New Roman" w:hAnsi="Times New Roman" w:cs="Times New Roman"/>
                <w:color w:val="000000" w:themeColor="text1"/>
                <w:sz w:val="21"/>
                <w:szCs w:val="21"/>
                <w:vertAlign w:val="superscript"/>
              </w:rPr>
              <w:t>2</w:t>
            </w:r>
            <w:r>
              <w:rPr>
                <w:rFonts w:hint="default" w:ascii="Times New Roman" w:hAnsi="Times New Roman" w:cs="Times New Roman"/>
                <w:color w:val="000000" w:themeColor="text1"/>
                <w:sz w:val="21"/>
                <w:szCs w:val="21"/>
              </w:rPr>
              <w:t>，项目产生的</w:t>
            </w:r>
            <w:r>
              <w:rPr>
                <w:rFonts w:hint="eastAsia" w:cs="Times New Roman"/>
                <w:color w:val="000000" w:themeColor="text1"/>
                <w:sz w:val="21"/>
                <w:szCs w:val="21"/>
                <w:lang w:val="en-US" w:eastAsia="zh-CN"/>
              </w:rPr>
              <w:t>废滤芯、油渣、固化后的废环氧树脂料、</w:t>
            </w:r>
            <w:r>
              <w:rPr>
                <w:rFonts w:hint="default" w:ascii="Times New Roman" w:hAnsi="Times New Roman" w:cs="Times New Roman"/>
                <w:color w:val="000000" w:themeColor="text1"/>
                <w:sz w:val="21"/>
                <w:szCs w:val="21"/>
              </w:rPr>
              <w:t>废活性炭、</w:t>
            </w:r>
            <w:r>
              <w:rPr>
                <w:rFonts w:hint="eastAsia" w:cs="Times New Roman"/>
                <w:color w:val="000000" w:themeColor="text1"/>
                <w:sz w:val="21"/>
                <w:szCs w:val="21"/>
                <w:lang w:val="en-US" w:eastAsia="zh-CN"/>
              </w:rPr>
              <w:t>废过滤棉、</w:t>
            </w:r>
            <w:r>
              <w:rPr>
                <w:rFonts w:hint="default" w:ascii="Times New Roman" w:hAnsi="Times New Roman" w:cs="Times New Roman"/>
                <w:color w:val="000000" w:themeColor="text1"/>
                <w:sz w:val="21"/>
                <w:szCs w:val="21"/>
              </w:rPr>
              <w:t>废</w:t>
            </w:r>
            <w:r>
              <w:rPr>
                <w:rFonts w:hint="eastAsia" w:cs="Times New Roman"/>
                <w:color w:val="000000" w:themeColor="text1"/>
                <w:sz w:val="21"/>
                <w:szCs w:val="21"/>
                <w:lang w:val="en-US" w:eastAsia="zh-CN"/>
              </w:rPr>
              <w:t>环氧树脂桶</w:t>
            </w:r>
            <w:r>
              <w:rPr>
                <w:rFonts w:hint="default" w:ascii="Times New Roman" w:hAnsi="Times New Roman" w:cs="Times New Roman"/>
                <w:color w:val="000000" w:themeColor="text1"/>
                <w:sz w:val="21"/>
                <w:szCs w:val="21"/>
              </w:rPr>
              <w:t>等暂存危废间，委托有资质单位进行处置；</w:t>
            </w:r>
          </w:p>
          <w:p w14:paraId="1D109F5F">
            <w:pPr>
              <w:rPr>
                <w:rFonts w:hint="default" w:ascii="Times New Roman" w:hAnsi="Times New Roman" w:cs="Times New Roman"/>
                <w:color w:val="000000" w:themeColor="text1"/>
              </w:rPr>
            </w:pPr>
            <w:r>
              <w:rPr>
                <w:rFonts w:hint="default" w:ascii="Times New Roman" w:hAnsi="Times New Roman" w:cs="Times New Roman"/>
                <w:color w:val="000000" w:themeColor="text1"/>
                <w:sz w:val="21"/>
                <w:szCs w:val="21"/>
              </w:rPr>
              <w:t>（3）厂区生活垃圾收集后统一交由环卫部门清运</w:t>
            </w:r>
          </w:p>
        </w:tc>
      </w:tr>
      <w:tr w14:paraId="382D34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vAlign w:val="center"/>
          </w:tcPr>
          <w:p w14:paraId="0CCD1D8C">
            <w:pPr>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土壤及地下水污染防治措施</w:t>
            </w:r>
          </w:p>
        </w:tc>
        <w:tc>
          <w:tcPr>
            <w:tcW w:w="7949" w:type="dxa"/>
            <w:gridSpan w:val="4"/>
            <w:vAlign w:val="center"/>
          </w:tcPr>
          <w:p w14:paraId="79F4E718">
            <w:pPr>
              <w:adjustRightInd w:val="0"/>
              <w:snapToGrid w:val="0"/>
              <w:jc w:val="left"/>
              <w:rPr>
                <w:rFonts w:hint="default" w:ascii="Times New Roman" w:hAnsi="Times New Roman" w:cs="Times New Roman"/>
                <w:color w:val="000000" w:themeColor="text1"/>
              </w:rPr>
            </w:pPr>
            <w:r>
              <w:rPr>
                <w:rFonts w:hint="default" w:ascii="Times New Roman" w:hAnsi="Times New Roman" w:cs="Times New Roman"/>
                <w:color w:val="000000" w:themeColor="text1"/>
              </w:rPr>
              <w:t>本项目</w:t>
            </w:r>
            <w:r>
              <w:rPr>
                <w:rFonts w:hint="eastAsia" w:cs="Times New Roman"/>
                <w:color w:val="000000" w:themeColor="text1"/>
                <w:sz w:val="21"/>
                <w:szCs w:val="21"/>
                <w:lang w:val="en-US" w:eastAsia="zh-CN"/>
              </w:rPr>
              <w:t>变压器油储罐（含围堰）区、注油区、危废暂存间、化学品库、浇筑固化区</w:t>
            </w:r>
            <w:r>
              <w:rPr>
                <w:rFonts w:hint="default" w:ascii="Times New Roman" w:hAnsi="Times New Roman" w:cs="Times New Roman"/>
                <w:color w:val="000000" w:themeColor="text1"/>
                <w:sz w:val="21"/>
                <w:szCs w:val="21"/>
              </w:rPr>
              <w:t>等区域</w:t>
            </w:r>
            <w:r>
              <w:rPr>
                <w:rFonts w:hint="default" w:ascii="Times New Roman" w:hAnsi="Times New Roman" w:cs="Times New Roman"/>
                <w:color w:val="000000" w:themeColor="text1"/>
              </w:rPr>
              <w:t>为重点防渗，</w:t>
            </w:r>
            <w:r>
              <w:rPr>
                <w:rFonts w:hint="eastAsia" w:cs="Times New Roman"/>
                <w:color w:val="000000" w:themeColor="text1"/>
                <w:lang w:val="en-US" w:eastAsia="zh-CN"/>
              </w:rPr>
              <w:t>其他</w:t>
            </w:r>
            <w:r>
              <w:rPr>
                <w:rFonts w:hint="default" w:ascii="Times New Roman" w:hAnsi="Times New Roman" w:cs="Times New Roman"/>
                <w:color w:val="000000" w:themeColor="text1"/>
              </w:rPr>
              <w:t>生产区采取一般防渗</w:t>
            </w:r>
          </w:p>
        </w:tc>
      </w:tr>
      <w:tr w14:paraId="6037AF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vAlign w:val="center"/>
          </w:tcPr>
          <w:p w14:paraId="683E6CD6">
            <w:pPr>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生态保护措施</w:t>
            </w:r>
          </w:p>
        </w:tc>
        <w:tc>
          <w:tcPr>
            <w:tcW w:w="7949" w:type="dxa"/>
            <w:gridSpan w:val="4"/>
            <w:vAlign w:val="center"/>
          </w:tcPr>
          <w:p w14:paraId="1FE69566">
            <w:pPr>
              <w:adjustRightInd w:val="0"/>
              <w:snapToGrid w:val="0"/>
              <w:rPr>
                <w:rFonts w:hint="default" w:ascii="Times New Roman" w:hAnsi="Times New Roman" w:cs="Times New Roman"/>
                <w:color w:val="000000" w:themeColor="text1"/>
              </w:rPr>
            </w:pPr>
            <w:r>
              <w:rPr>
                <w:rFonts w:hint="default" w:ascii="Times New Roman" w:hAnsi="Times New Roman" w:cs="Times New Roman"/>
                <w:color w:val="000000" w:themeColor="text1"/>
              </w:rPr>
              <w:t>不涉及</w:t>
            </w:r>
          </w:p>
        </w:tc>
      </w:tr>
      <w:tr w14:paraId="0C5A24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vAlign w:val="center"/>
          </w:tcPr>
          <w:p w14:paraId="51291E4B">
            <w:pPr>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环境风险防范措施</w:t>
            </w:r>
          </w:p>
        </w:tc>
        <w:tc>
          <w:tcPr>
            <w:tcW w:w="7949" w:type="dxa"/>
            <w:gridSpan w:val="4"/>
            <w:vAlign w:val="center"/>
          </w:tcPr>
          <w:p w14:paraId="7E5DCFD7">
            <w:pPr>
              <w:pStyle w:val="139"/>
              <w:spacing w:line="240" w:lineRule="auto"/>
              <w:ind w:firstLine="0" w:firstLineChars="0"/>
              <w:rPr>
                <w:rFonts w:hint="default" w:ascii="Times New Roman" w:hAnsi="Times New Roman" w:cs="Times New Roman"/>
                <w:color w:val="000000" w:themeColor="text1"/>
                <w:sz w:val="21"/>
                <w:szCs w:val="21"/>
                <w:lang w:val="en-US"/>
              </w:rPr>
            </w:pPr>
            <w:r>
              <w:rPr>
                <w:rFonts w:hint="default" w:ascii="Times New Roman" w:hAnsi="Times New Roman" w:cs="Times New Roman"/>
                <w:color w:val="000000" w:themeColor="text1"/>
                <w:sz w:val="21"/>
                <w:szCs w:val="21"/>
                <w:lang w:val="en-US" w:eastAsia="zh-CN"/>
              </w:rPr>
              <w:t>加强培训，落实责任到人，配备消防栓、灭火器等应急物资，</w:t>
            </w:r>
            <w:r>
              <w:rPr>
                <w:rFonts w:hint="eastAsia" w:cs="Times New Roman"/>
                <w:color w:val="000000" w:themeColor="text1"/>
                <w:sz w:val="21"/>
                <w:szCs w:val="21"/>
                <w:lang w:val="en-US" w:eastAsia="zh-CN"/>
              </w:rPr>
              <w:t>变压器油储罐区设置围堰，围堰尺寸为2.5*3*0.6m，设置事故应急池60m</w:t>
            </w:r>
            <w:r>
              <w:rPr>
                <w:rFonts w:hint="eastAsia" w:cs="Times New Roman"/>
                <w:color w:val="000000" w:themeColor="text1"/>
                <w:sz w:val="21"/>
                <w:szCs w:val="21"/>
                <w:vertAlign w:val="superscript"/>
                <w:lang w:val="en-US" w:eastAsia="zh-CN"/>
              </w:rPr>
              <w:t>3</w:t>
            </w:r>
          </w:p>
        </w:tc>
      </w:tr>
      <w:tr w14:paraId="74163A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88" w:type="dxa"/>
            <w:tcBorders>
              <w:bottom w:val="single" w:color="auto" w:sz="8" w:space="0"/>
            </w:tcBorders>
            <w:vAlign w:val="center"/>
          </w:tcPr>
          <w:p w14:paraId="2914E952">
            <w:pPr>
              <w:adjustRightInd w:val="0"/>
              <w:snapToGrid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其他环境管理要求</w:t>
            </w:r>
          </w:p>
        </w:tc>
        <w:tc>
          <w:tcPr>
            <w:tcW w:w="7949" w:type="dxa"/>
            <w:gridSpan w:val="4"/>
            <w:tcBorders>
              <w:bottom w:val="single" w:color="auto" w:sz="8" w:space="0"/>
            </w:tcBorders>
            <w:vAlign w:val="center"/>
          </w:tcPr>
          <w:p w14:paraId="202D5FB2">
            <w:pPr>
              <w:keepNext/>
              <w:keepLines/>
              <w:tabs>
                <w:tab w:val="left" w:pos="0"/>
              </w:tabs>
              <w:spacing w:line="360" w:lineRule="exact"/>
              <w:ind w:left="40"/>
              <w:jc w:val="left"/>
              <w:outlineLvl w:val="4"/>
              <w:rPr>
                <w:rFonts w:ascii="Times New Roman" w:hAnsi="Times New Roman" w:cs="Times New Roman"/>
                <w:b/>
                <w:bCs/>
                <w:color w:val="000000"/>
                <w:sz w:val="21"/>
                <w:szCs w:val="21"/>
              </w:rPr>
            </w:pPr>
            <w:r>
              <w:rPr>
                <w:rFonts w:ascii="Times New Roman" w:hAnsi="Times New Roman" w:cs="Times New Roman"/>
                <w:b/>
                <w:bCs/>
                <w:color w:val="000000"/>
                <w:sz w:val="21"/>
                <w:szCs w:val="21"/>
              </w:rPr>
              <w:t>1、</w:t>
            </w:r>
            <w:r>
              <w:rPr>
                <w:rFonts w:hint="eastAsia" w:ascii="Times New Roman" w:hAnsi="Times New Roman" w:cs="Times New Roman"/>
                <w:b/>
                <w:bCs/>
                <w:color w:val="000000"/>
                <w:sz w:val="21"/>
                <w:szCs w:val="21"/>
              </w:rPr>
              <w:t>环境管理原则</w:t>
            </w:r>
          </w:p>
          <w:p w14:paraId="4783F3DA">
            <w:pPr>
              <w:spacing w:line="360" w:lineRule="exact"/>
              <w:ind w:firstLine="42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项目建成运行后，应将环境管理纳入日常管理中，根据环境保护的有关规定和企业自身特点，制定环境管理的具体内容。环境管理应遵循以下基本原则：</w:t>
            </w:r>
          </w:p>
          <w:p w14:paraId="030F55FA">
            <w:pPr>
              <w:spacing w:line="360" w:lineRule="exact"/>
              <w:ind w:firstLine="42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（1）严格执行各项国家和地方的环保</w:t>
            </w:r>
            <w:r>
              <w:rPr>
                <w:rFonts w:hint="eastAsia" w:ascii="Times New Roman" w:hAnsi="Times New Roman" w:eastAsia="宋体" w:cs="Times New Roman"/>
                <w:color w:val="000000"/>
                <w:sz w:val="21"/>
                <w:szCs w:val="21"/>
                <w:lang w:eastAsia="zh-CN"/>
              </w:rPr>
              <w:t>法律法规</w:t>
            </w:r>
            <w:r>
              <w:rPr>
                <w:rFonts w:hint="default" w:ascii="Times New Roman" w:hAnsi="Times New Roman" w:eastAsia="宋体" w:cs="Times New Roman"/>
                <w:color w:val="000000"/>
                <w:sz w:val="21"/>
                <w:szCs w:val="21"/>
              </w:rPr>
              <w:t>。</w:t>
            </w:r>
          </w:p>
          <w:p w14:paraId="038F19C5">
            <w:pPr>
              <w:spacing w:line="360" w:lineRule="exact"/>
              <w:ind w:firstLine="42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（2）正确处理发展生产和保护环境的关系，把经济效益和环境效益统一起来。</w:t>
            </w:r>
          </w:p>
          <w:p w14:paraId="6DE77B35">
            <w:pPr>
              <w:spacing w:line="360" w:lineRule="exact"/>
              <w:ind w:firstLine="42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（3）环境管理应贯穿于生产全过程，将环境指标纳入生产计划指标，同时进行考核和检查。</w:t>
            </w:r>
          </w:p>
          <w:p w14:paraId="2F33C53D">
            <w:pPr>
              <w:spacing w:line="360" w:lineRule="exact"/>
              <w:ind w:firstLine="42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（4）加强全厂职工环境保护意识，开展经常性的培训和教育活动。</w:t>
            </w:r>
          </w:p>
          <w:p w14:paraId="4C7E8287">
            <w:pPr>
              <w:keepNext/>
              <w:keepLines/>
              <w:tabs>
                <w:tab w:val="left" w:pos="0"/>
              </w:tabs>
              <w:spacing w:line="360" w:lineRule="exact"/>
              <w:ind w:left="40"/>
              <w:jc w:val="left"/>
              <w:outlineLvl w:val="4"/>
              <w:rPr>
                <w:rFonts w:ascii="Times New Roman" w:hAnsi="Times New Roman" w:cs="Times New Roman"/>
                <w:b/>
                <w:bCs/>
                <w:color w:val="000000"/>
                <w:sz w:val="21"/>
                <w:szCs w:val="21"/>
              </w:rPr>
            </w:pPr>
            <w:r>
              <w:rPr>
                <w:rFonts w:ascii="Times New Roman" w:hAnsi="Times New Roman" w:cs="Times New Roman"/>
                <w:b/>
                <w:bCs/>
                <w:color w:val="000000"/>
                <w:sz w:val="21"/>
                <w:szCs w:val="21"/>
              </w:rPr>
              <w:t>2、</w:t>
            </w:r>
            <w:r>
              <w:rPr>
                <w:rFonts w:hint="eastAsia" w:ascii="Times New Roman" w:hAnsi="Times New Roman" w:cs="Times New Roman"/>
                <w:b/>
                <w:bCs/>
                <w:color w:val="000000"/>
                <w:sz w:val="21"/>
                <w:szCs w:val="21"/>
              </w:rPr>
              <w:t>环境管理内容</w:t>
            </w:r>
          </w:p>
          <w:p w14:paraId="387AAD46">
            <w:pPr>
              <w:pStyle w:val="156"/>
              <w:spacing w:line="360" w:lineRule="exact"/>
              <w:ind w:firstLine="420"/>
              <w:rPr>
                <w:rFonts w:hint="eastAsia"/>
                <w:color w:val="000000"/>
                <w:sz w:val="21"/>
                <w:szCs w:val="21"/>
              </w:rPr>
            </w:pPr>
            <w:r>
              <w:rPr>
                <w:rFonts w:hint="eastAsia"/>
                <w:color w:val="000000"/>
                <w:sz w:val="21"/>
                <w:szCs w:val="21"/>
              </w:rPr>
              <w:t>（1）对污染物排放进行监测，建立完备的污染物排放技术档案。</w:t>
            </w:r>
          </w:p>
          <w:p w14:paraId="010FCA08">
            <w:pPr>
              <w:pStyle w:val="156"/>
              <w:spacing w:line="360" w:lineRule="exact"/>
              <w:ind w:firstLine="420"/>
              <w:rPr>
                <w:rFonts w:hint="eastAsia"/>
                <w:color w:val="000000"/>
                <w:sz w:val="21"/>
                <w:szCs w:val="21"/>
              </w:rPr>
            </w:pPr>
            <w:r>
              <w:rPr>
                <w:rFonts w:hint="eastAsia"/>
                <w:color w:val="000000"/>
                <w:sz w:val="21"/>
                <w:szCs w:val="21"/>
              </w:rPr>
              <w:t>（2）强化对环保设施运行的监督管理，确保环保设施正常运行和连续达标排放。</w:t>
            </w:r>
          </w:p>
          <w:p w14:paraId="27959896">
            <w:pPr>
              <w:pStyle w:val="156"/>
              <w:spacing w:line="360" w:lineRule="exact"/>
              <w:ind w:firstLine="420"/>
              <w:rPr>
                <w:rFonts w:hint="eastAsia"/>
                <w:color w:val="000000"/>
                <w:sz w:val="21"/>
                <w:szCs w:val="21"/>
              </w:rPr>
            </w:pPr>
            <w:r>
              <w:rPr>
                <w:rFonts w:hint="eastAsia"/>
                <w:color w:val="000000"/>
                <w:sz w:val="21"/>
                <w:szCs w:val="21"/>
              </w:rPr>
              <w:t>（3）建立企业完善的环保设施运行、维护、维修等技术档案，对环保设备设施定期检修。</w:t>
            </w:r>
          </w:p>
          <w:p w14:paraId="4AE75996">
            <w:pPr>
              <w:pStyle w:val="156"/>
              <w:spacing w:line="360" w:lineRule="exact"/>
              <w:ind w:firstLine="420"/>
              <w:rPr>
                <w:rFonts w:ascii="Times New Roman" w:hAnsi="Times New Roman" w:eastAsia="宋体" w:cs="Times New Roman"/>
                <w:color w:val="000000"/>
                <w:sz w:val="21"/>
                <w:szCs w:val="21"/>
              </w:rPr>
            </w:pPr>
            <w:r>
              <w:rPr>
                <w:rFonts w:hint="eastAsia"/>
                <w:color w:val="000000"/>
                <w:sz w:val="21"/>
                <w:szCs w:val="21"/>
              </w:rPr>
              <w:t>（4）加强环保人员的技术培训和考核，</w:t>
            </w:r>
            <w:r>
              <w:rPr>
                <w:rFonts w:hint="eastAsia"/>
                <w:color w:val="000000"/>
                <w:sz w:val="21"/>
                <w:szCs w:val="21"/>
                <w:lang w:eastAsia="zh-CN"/>
              </w:rPr>
              <w:t>增强</w:t>
            </w:r>
            <w:r>
              <w:rPr>
                <w:rFonts w:hint="eastAsia"/>
                <w:color w:val="000000"/>
                <w:sz w:val="21"/>
                <w:szCs w:val="21"/>
              </w:rPr>
              <w:t>其环保意识和专业技术水平</w:t>
            </w:r>
            <w:r>
              <w:rPr>
                <w:rFonts w:hint="eastAsia" w:ascii="Times New Roman" w:hAnsi="Times New Roman" w:eastAsia="宋体" w:cs="Times New Roman"/>
                <w:color w:val="000000"/>
                <w:sz w:val="21"/>
                <w:szCs w:val="21"/>
              </w:rPr>
              <w:t>。</w:t>
            </w:r>
          </w:p>
          <w:p w14:paraId="22508D68">
            <w:pPr>
              <w:keepNext w:val="0"/>
              <w:keepLines w:val="0"/>
              <w:pageBreakBefore w:val="0"/>
              <w:widowControl w:val="0"/>
              <w:kinsoku/>
              <w:wordWrap/>
              <w:overflowPunct/>
              <w:topLinePunct w:val="0"/>
              <w:autoSpaceDE/>
              <w:autoSpaceDN/>
              <w:bidi w:val="0"/>
              <w:adjustRightInd w:val="0"/>
              <w:snapToGrid/>
              <w:spacing w:line="360" w:lineRule="auto"/>
              <w:textAlignment w:val="auto"/>
              <w:rPr>
                <w:rFonts w:hint="default"/>
                <w:b/>
                <w:bCs/>
                <w:color w:val="000000"/>
                <w:sz w:val="21"/>
                <w:szCs w:val="21"/>
                <w:lang w:val="en-US" w:eastAsia="zh-CN"/>
              </w:rPr>
            </w:pPr>
            <w:r>
              <w:rPr>
                <w:rFonts w:ascii="Times New Roman" w:hAnsi="Times New Roman" w:eastAsia="宋体" w:cs="Times New Roman"/>
                <w:b/>
                <w:bCs/>
                <w:color w:val="000000"/>
                <w:sz w:val="21"/>
                <w:szCs w:val="21"/>
              </w:rPr>
              <w:t>3</w:t>
            </w:r>
            <w:r>
              <w:rPr>
                <w:rFonts w:hint="eastAsia"/>
                <w:b/>
                <w:bCs/>
                <w:color w:val="000000"/>
                <w:sz w:val="21"/>
                <w:szCs w:val="21"/>
                <w:lang w:val="en-US" w:eastAsia="zh-CN"/>
              </w:rPr>
              <w:t>、排污口规范化设置</w:t>
            </w:r>
          </w:p>
          <w:p w14:paraId="1EC47DF2">
            <w:pPr>
              <w:pStyle w:val="156"/>
              <w:spacing w:line="360" w:lineRule="exact"/>
              <w:ind w:left="0" w:leftChars="0" w:firstLine="0" w:firstLineChars="0"/>
              <w:rPr>
                <w:color w:val="000000" w:themeColor="text1"/>
                <w:sz w:val="21"/>
                <w:szCs w:val="21"/>
              </w:rPr>
            </w:pPr>
            <w:r>
              <w:rPr>
                <w:rFonts w:hint="eastAsia"/>
                <w:color w:val="000000" w:themeColor="text1"/>
                <w:sz w:val="21"/>
                <w:szCs w:val="21"/>
                <w:lang w:val="en-US" w:eastAsia="zh-CN"/>
              </w:rPr>
              <w:t xml:space="preserve">    </w:t>
            </w:r>
            <w:r>
              <w:rPr>
                <w:color w:val="000000" w:themeColor="text1"/>
                <w:sz w:val="21"/>
                <w:szCs w:val="21"/>
              </w:rPr>
              <w:t>根据国家标准《环境保护图形标志—排放口（源）》和国家环保总局《排污口规范化整治要求（试行）》的技术要求，企业所有排放口，包括水、气、声、固体废物，必须按照“便于计量监测、便于日常现场监督检查”的原则和规范化要求，设置与之相适应的环境保护图形标志牌。</w:t>
            </w:r>
          </w:p>
          <w:p w14:paraId="6C26F423">
            <w:pPr>
              <w:pStyle w:val="156"/>
              <w:spacing w:line="360" w:lineRule="exact"/>
              <w:ind w:firstLine="420"/>
              <w:rPr>
                <w:color w:val="000000" w:themeColor="text1"/>
                <w:sz w:val="21"/>
                <w:szCs w:val="21"/>
              </w:rPr>
            </w:pPr>
            <w:r>
              <w:rPr>
                <w:color w:val="000000" w:themeColor="text1"/>
                <w:sz w:val="21"/>
                <w:szCs w:val="21"/>
              </w:rPr>
              <w:t>污染物排放口（源）和固体废物贮存、处置场，必须实行规范化整治，按照国家标准《环境保护图形标志》（GB15562.1-1995）</w:t>
            </w:r>
            <w:r>
              <w:rPr>
                <w:rFonts w:hint="eastAsia"/>
                <w:color w:val="000000" w:themeColor="text1"/>
                <w:lang w:eastAsia="zh-CN"/>
              </w:rPr>
              <w:t>、</w:t>
            </w:r>
            <w:r>
              <w:rPr>
                <w:color w:val="000000" w:themeColor="text1"/>
                <w:sz w:val="21"/>
                <w:szCs w:val="21"/>
              </w:rPr>
              <w:t>（GB15562.2-1995）</w:t>
            </w:r>
            <w:r>
              <w:rPr>
                <w:rFonts w:hint="eastAsia"/>
                <w:color w:val="000000" w:themeColor="text1"/>
                <w:sz w:val="21"/>
                <w:szCs w:val="21"/>
                <w:lang w:val="en-US" w:eastAsia="zh-CN"/>
              </w:rPr>
              <w:t>以及《危险废物识别标志设置技术规范》（HJ1276-2022）等</w:t>
            </w:r>
            <w:r>
              <w:rPr>
                <w:color w:val="000000" w:themeColor="text1"/>
                <w:sz w:val="21"/>
                <w:szCs w:val="21"/>
              </w:rPr>
              <w:t>的规定，设置与之相适应的环境保护图形标志牌。一般污染物排污口（源），设置提示式标志牌，有毒、有害污染物的排污口设置警告式标志牌。</w:t>
            </w:r>
          </w:p>
          <w:p w14:paraId="2C397F1D">
            <w:pPr>
              <w:pStyle w:val="156"/>
              <w:spacing w:line="360" w:lineRule="exact"/>
              <w:ind w:firstLine="420"/>
              <w:rPr>
                <w:color w:val="000000" w:themeColor="text1"/>
                <w:sz w:val="21"/>
                <w:szCs w:val="21"/>
              </w:rPr>
            </w:pPr>
            <w:r>
              <w:rPr>
                <w:color w:val="000000" w:themeColor="text1"/>
                <w:sz w:val="21"/>
                <w:szCs w:val="21"/>
              </w:rPr>
              <w:t>标志牌应设置在排污口（采样点）附近且醒目处，高度为标志牌上缘离地面2m。排污口附近1m范围内有建筑物的，设平面式标志牌，无建筑物的设立式标志牌。</w:t>
            </w:r>
          </w:p>
          <w:p w14:paraId="5DBD5358">
            <w:pPr>
              <w:pStyle w:val="156"/>
              <w:spacing w:line="360" w:lineRule="exact"/>
              <w:ind w:firstLine="420"/>
              <w:rPr>
                <w:color w:val="000000" w:themeColor="text1"/>
                <w:sz w:val="21"/>
                <w:szCs w:val="21"/>
              </w:rPr>
            </w:pPr>
            <w:r>
              <w:rPr>
                <w:color w:val="000000" w:themeColor="text1"/>
                <w:sz w:val="21"/>
                <w:szCs w:val="21"/>
              </w:rPr>
              <w:t>规范化排污口的有关设置（如图形标志牌、计量装置、在线监控装置等）属环保设施，建设单位必须负责日常的维护保养，任何单位和个人不得擅自拆除，如果需要变更的必须报当地环保部门同意并办理变更手续。</w:t>
            </w:r>
          </w:p>
          <w:p w14:paraId="703458F8">
            <w:pPr>
              <w:pStyle w:val="156"/>
              <w:spacing w:line="360" w:lineRule="exact"/>
              <w:ind w:firstLine="420"/>
              <w:rPr>
                <w:rFonts w:hint="eastAsia"/>
                <w:color w:val="000000" w:themeColor="text1"/>
                <w:sz w:val="21"/>
                <w:szCs w:val="21"/>
              </w:rPr>
            </w:pPr>
            <w:r>
              <w:rPr>
                <w:color w:val="000000" w:themeColor="text1"/>
                <w:sz w:val="21"/>
                <w:szCs w:val="21"/>
              </w:rPr>
              <w:t>项目需要设置的标识标牌有：污水排放口、废气排放口、一般固废暂存场所、危险固废暂存场所；此外，各废水、废气治理设施应挂牌标识名称及操作规程</w:t>
            </w:r>
            <w:r>
              <w:rPr>
                <w:rFonts w:hint="eastAsia"/>
                <w:color w:val="000000" w:themeColor="text1"/>
                <w:sz w:val="21"/>
                <w:szCs w:val="21"/>
              </w:rPr>
              <w:t>。</w:t>
            </w:r>
          </w:p>
          <w:p w14:paraId="76022397">
            <w:pPr>
              <w:pStyle w:val="20"/>
              <w:spacing w:after="0" w:line="500" w:lineRule="exact"/>
              <w:ind w:left="0" w:leftChars="0" w:firstLine="0" w:firstLineChars="0"/>
              <w:jc w:val="center"/>
              <w:rPr>
                <w:rFonts w:hint="default" w:ascii="Times New Roman" w:hAnsi="Times New Roman" w:eastAsia="宋体" w:cs="Times New Roman"/>
                <w:b/>
                <w:bCs/>
                <w:i w:val="0"/>
                <w:iCs w:val="0"/>
                <w:color w:val="000000" w:themeColor="text1"/>
                <w:sz w:val="21"/>
                <w:szCs w:val="24"/>
                <w:lang w:val="en-US" w:eastAsia="zh-CN"/>
              </w:rPr>
            </w:pPr>
            <w:r>
              <w:rPr>
                <w:rFonts w:hint="default" w:ascii="Times New Roman" w:hAnsi="Times New Roman" w:eastAsia="宋体" w:cs="Times New Roman"/>
                <w:b/>
                <w:bCs/>
                <w:i w:val="0"/>
                <w:iCs w:val="0"/>
                <w:color w:val="000000" w:themeColor="text1"/>
                <w:sz w:val="21"/>
                <w:szCs w:val="24"/>
                <w:lang w:val="en-US" w:eastAsia="zh-CN"/>
              </w:rPr>
              <w:t>表5-1   排放口图形标志</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19"/>
              <w:gridCol w:w="2654"/>
              <w:gridCol w:w="2547"/>
            </w:tblGrid>
            <w:tr w14:paraId="28CCF3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631" w:type="pct"/>
                  <w:tcBorders>
                    <w:top w:val="single" w:color="auto" w:sz="4" w:space="0"/>
                    <w:left w:val="single" w:color="auto" w:sz="4" w:space="0"/>
                    <w:bottom w:val="single" w:color="auto" w:sz="4" w:space="0"/>
                    <w:right w:val="single" w:color="auto" w:sz="4" w:space="0"/>
                  </w:tcBorders>
                  <w:noWrap w:val="0"/>
                  <w:vAlign w:val="center"/>
                </w:tcPr>
                <w:p w14:paraId="69CFEA7D">
                  <w:pPr>
                    <w:pStyle w:val="48"/>
                    <w:spacing w:line="240" w:lineRule="auto"/>
                    <w:ind w:firstLine="0"/>
                    <w:jc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t>雨水排放口</w:t>
                  </w:r>
                </w:p>
              </w:tc>
              <w:tc>
                <w:tcPr>
                  <w:tcW w:w="1718" w:type="pct"/>
                  <w:tcBorders>
                    <w:top w:val="single" w:color="auto" w:sz="4" w:space="0"/>
                    <w:left w:val="single" w:color="auto" w:sz="4" w:space="0"/>
                    <w:bottom w:val="single" w:color="auto" w:sz="4" w:space="0"/>
                    <w:right w:val="single" w:color="auto" w:sz="4" w:space="0"/>
                  </w:tcBorders>
                  <w:noWrap w:val="0"/>
                  <w:vAlign w:val="center"/>
                </w:tcPr>
                <w:p w14:paraId="7A5294AF">
                  <w:pPr>
                    <w:pStyle w:val="48"/>
                    <w:spacing w:line="240" w:lineRule="auto"/>
                    <w:ind w:firstLine="0" w:firstLineChars="0"/>
                    <w:jc w:val="center"/>
                    <w:rPr>
                      <w:rFonts w:hint="default" w:ascii="Times New Roman" w:hAnsi="Times New Roman" w:eastAsia="宋体" w:cs="Times New Roman"/>
                      <w:color w:val="000000" w:themeColor="text1"/>
                      <w:kern w:val="0"/>
                      <w:sz w:val="21"/>
                      <w:szCs w:val="21"/>
                      <w:lang w:val="en-US" w:eastAsia="zh-CN" w:bidi="ar-SA"/>
                    </w:rPr>
                  </w:pPr>
                  <w:r>
                    <w:rPr>
                      <w:rFonts w:hint="default" w:ascii="Times New Roman" w:hAnsi="Times New Roman" w:cs="Times New Roman"/>
                      <w:color w:val="000000" w:themeColor="text1"/>
                      <w:sz w:val="21"/>
                      <w:szCs w:val="21"/>
                    </w:rPr>
                    <w:t>污水排放口</w:t>
                  </w:r>
                </w:p>
              </w:tc>
              <w:tc>
                <w:tcPr>
                  <w:tcW w:w="1649" w:type="pct"/>
                  <w:tcBorders>
                    <w:top w:val="single" w:color="auto" w:sz="4" w:space="0"/>
                    <w:left w:val="single" w:color="auto" w:sz="4" w:space="0"/>
                    <w:bottom w:val="single" w:color="auto" w:sz="4" w:space="0"/>
                    <w:right w:val="single" w:color="auto" w:sz="4" w:space="0"/>
                  </w:tcBorders>
                  <w:noWrap w:val="0"/>
                  <w:vAlign w:val="center"/>
                </w:tcPr>
                <w:p w14:paraId="273C5A6B">
                  <w:pPr>
                    <w:pStyle w:val="48"/>
                    <w:spacing w:line="240" w:lineRule="auto"/>
                    <w:ind w:firstLine="0" w:firstLineChars="0"/>
                    <w:jc w:val="center"/>
                    <w:rPr>
                      <w:rFonts w:hint="default" w:ascii="Times New Roman" w:hAnsi="Times New Roman" w:eastAsia="宋体" w:cs="Times New Roman"/>
                      <w:color w:val="000000" w:themeColor="text1"/>
                      <w:kern w:val="0"/>
                      <w:sz w:val="21"/>
                      <w:szCs w:val="21"/>
                      <w:lang w:val="en-US" w:eastAsia="zh-CN" w:bidi="ar-SA"/>
                    </w:rPr>
                  </w:pPr>
                  <w:r>
                    <w:rPr>
                      <w:rFonts w:hint="default" w:ascii="Times New Roman" w:hAnsi="Times New Roman" w:cs="Times New Roman"/>
                      <w:color w:val="000000" w:themeColor="text1"/>
                      <w:sz w:val="21"/>
                      <w:szCs w:val="21"/>
                    </w:rPr>
                    <w:t>废气排放口</w:t>
                  </w:r>
                </w:p>
              </w:tc>
            </w:tr>
            <w:tr w14:paraId="223FD8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7" w:hRule="atLeast"/>
                <w:jc w:val="center"/>
              </w:trPr>
              <w:tc>
                <w:tcPr>
                  <w:tcW w:w="1631" w:type="pct"/>
                  <w:tcBorders>
                    <w:top w:val="single" w:color="auto" w:sz="4" w:space="0"/>
                    <w:left w:val="single" w:color="auto" w:sz="4" w:space="0"/>
                    <w:bottom w:val="single" w:color="auto" w:sz="4" w:space="0"/>
                    <w:right w:val="single" w:color="auto" w:sz="4" w:space="0"/>
                  </w:tcBorders>
                  <w:noWrap w:val="0"/>
                  <w:vAlign w:val="center"/>
                </w:tcPr>
                <w:p w14:paraId="6DD7CFF9">
                  <w:pPr>
                    <w:pStyle w:val="48"/>
                    <w:spacing w:line="240" w:lineRule="auto"/>
                    <w:ind w:firstLine="0"/>
                    <w:jc w:val="center"/>
                    <w:rPr>
                      <w:rFonts w:hint="default" w:ascii="Times New Roman" w:hAnsi="Times New Roman" w:cs="Times New Roman"/>
                      <w:color w:val="000000" w:themeColor="text1"/>
                      <w:sz w:val="21"/>
                      <w:szCs w:val="21"/>
                    </w:rPr>
                  </w:pPr>
                  <w:r>
                    <w:rPr>
                      <w:rFonts w:hint="default" w:ascii="Times New Roman" w:hAnsi="Times New Roman" w:cs="Times New Roman"/>
                      <w:color w:val="000000" w:themeColor="text1"/>
                      <w:sz w:val="21"/>
                      <w:szCs w:val="21"/>
                    </w:rPr>
                    <w:pict>
                      <v:shape id="_x0000_i1051" o:spt="75" type="#_x0000_t75" style="height:88.65pt;width:124.9pt;" filled="f" o:preferrelative="t" stroked="f" coordsize="21600,21600">
                        <v:path/>
                        <v:fill on="f" focussize="0,0"/>
                        <v:stroke on="f"/>
                        <v:imagedata r:id="rId46" o:title=""/>
                        <o:lock v:ext="edit" aspectratio="t"/>
                        <w10:wrap type="none"/>
                        <w10:anchorlock/>
                      </v:shape>
                    </w:pict>
                  </w:r>
                </w:p>
              </w:tc>
              <w:tc>
                <w:tcPr>
                  <w:tcW w:w="1718" w:type="pct"/>
                  <w:tcBorders>
                    <w:top w:val="single" w:color="auto" w:sz="4" w:space="0"/>
                    <w:left w:val="single" w:color="auto" w:sz="4" w:space="0"/>
                    <w:bottom w:val="single" w:color="auto" w:sz="4" w:space="0"/>
                    <w:right w:val="single" w:color="auto" w:sz="4" w:space="0"/>
                  </w:tcBorders>
                  <w:noWrap w:val="0"/>
                  <w:vAlign w:val="center"/>
                </w:tcPr>
                <w:p w14:paraId="52C0C085">
                  <w:pPr>
                    <w:pStyle w:val="48"/>
                    <w:spacing w:line="240" w:lineRule="auto"/>
                    <w:ind w:firstLine="0" w:firstLineChars="0"/>
                    <w:jc w:val="center"/>
                    <w:rPr>
                      <w:rFonts w:hint="default" w:ascii="Times New Roman" w:hAnsi="Times New Roman" w:eastAsia="宋体" w:cs="Times New Roman"/>
                      <w:color w:val="000000" w:themeColor="text1"/>
                      <w:kern w:val="0"/>
                      <w:sz w:val="21"/>
                      <w:szCs w:val="21"/>
                      <w:lang w:val="en-US" w:eastAsia="zh-CN" w:bidi="ar-SA"/>
                    </w:rPr>
                  </w:pPr>
                  <w:r>
                    <w:rPr>
                      <w:rFonts w:hint="default" w:ascii="Times New Roman" w:hAnsi="Times New Roman" w:cs="Times New Roman"/>
                      <w:color w:val="000000" w:themeColor="text1"/>
                      <w:sz w:val="21"/>
                      <w:szCs w:val="21"/>
                    </w:rPr>
                    <w:pict>
                      <v:shape id="_x0000_i1052" o:spt="75" type="#_x0000_t75" style="height:88.75pt;width:124.95pt;" filled="f" o:preferrelative="f" stroked="f" coordsize="21600,21600">
                        <v:path/>
                        <v:fill on="f" focussize="0,0"/>
                        <v:stroke on="f"/>
                        <v:imagedata r:id="rId47" o:title=""/>
                        <o:lock v:ext="edit" aspectratio="f"/>
                        <w10:wrap type="none"/>
                        <w10:anchorlock/>
                      </v:shape>
                    </w:pict>
                  </w:r>
                </w:p>
              </w:tc>
              <w:tc>
                <w:tcPr>
                  <w:tcW w:w="1649" w:type="pct"/>
                  <w:tcBorders>
                    <w:top w:val="single" w:color="auto" w:sz="4" w:space="0"/>
                    <w:left w:val="single" w:color="auto" w:sz="4" w:space="0"/>
                    <w:bottom w:val="single" w:color="auto" w:sz="4" w:space="0"/>
                    <w:right w:val="single" w:color="auto" w:sz="4" w:space="0"/>
                  </w:tcBorders>
                  <w:noWrap w:val="0"/>
                  <w:vAlign w:val="center"/>
                </w:tcPr>
                <w:p w14:paraId="5215FF87">
                  <w:pPr>
                    <w:pStyle w:val="48"/>
                    <w:spacing w:line="240" w:lineRule="auto"/>
                    <w:ind w:firstLine="0" w:firstLineChars="0"/>
                    <w:jc w:val="center"/>
                    <w:rPr>
                      <w:rFonts w:hint="default" w:ascii="Times New Roman" w:hAnsi="Times New Roman" w:eastAsia="宋体" w:cs="Times New Roman"/>
                      <w:color w:val="000000" w:themeColor="text1"/>
                      <w:kern w:val="0"/>
                      <w:sz w:val="21"/>
                      <w:szCs w:val="21"/>
                      <w:lang w:val="en-US" w:eastAsia="zh-CN" w:bidi="ar-SA"/>
                    </w:rPr>
                  </w:pPr>
                  <w:r>
                    <w:rPr>
                      <w:rFonts w:hint="default" w:ascii="Times New Roman" w:hAnsi="Times New Roman" w:cs="Times New Roman"/>
                      <w:color w:val="000000" w:themeColor="text1"/>
                      <w:sz w:val="21"/>
                      <w:szCs w:val="21"/>
                    </w:rPr>
                    <w:pict>
                      <v:shape id="_x0000_i1053" o:spt="75" type="#_x0000_t75" style="height:88.75pt;width:125pt;" filled="f" o:preferrelative="f" stroked="f" coordsize="21600,21600">
                        <v:path/>
                        <v:fill on="f" focussize="0,0"/>
                        <v:stroke on="f"/>
                        <v:imagedata r:id="rId48" o:title=""/>
                        <o:lock v:ext="edit" aspectratio="f"/>
                        <w10:wrap type="none"/>
                        <w10:anchorlock/>
                      </v:shape>
                    </w:pict>
                  </w:r>
                </w:p>
              </w:tc>
            </w:tr>
            <w:tr w14:paraId="1658C7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631" w:type="pct"/>
                  <w:tcBorders>
                    <w:top w:val="single" w:color="auto" w:sz="4" w:space="0"/>
                    <w:left w:val="single" w:color="auto" w:sz="4" w:space="0"/>
                    <w:bottom w:val="single" w:color="auto" w:sz="4" w:space="0"/>
                    <w:right w:val="single" w:color="auto" w:sz="4" w:space="0"/>
                  </w:tcBorders>
                  <w:noWrap w:val="0"/>
                  <w:vAlign w:val="center"/>
                </w:tcPr>
                <w:p w14:paraId="109C00FB">
                  <w:pPr>
                    <w:pStyle w:val="48"/>
                    <w:spacing w:line="240" w:lineRule="auto"/>
                    <w:ind w:firstLine="0" w:firstLineChars="0"/>
                    <w:jc w:val="center"/>
                    <w:rPr>
                      <w:rFonts w:hint="default" w:ascii="Times New Roman" w:hAnsi="Times New Roman" w:eastAsia="宋体" w:cs="Times New Roman"/>
                      <w:color w:val="000000" w:themeColor="text1"/>
                      <w:kern w:val="0"/>
                      <w:sz w:val="21"/>
                      <w:szCs w:val="21"/>
                      <w:lang w:val="en-US" w:eastAsia="zh-CN" w:bidi="ar-SA"/>
                    </w:rPr>
                  </w:pPr>
                  <w:r>
                    <w:rPr>
                      <w:rFonts w:hint="default" w:ascii="Times New Roman" w:hAnsi="Times New Roman" w:cs="Times New Roman"/>
                      <w:color w:val="000000" w:themeColor="text1"/>
                      <w:sz w:val="21"/>
                      <w:szCs w:val="21"/>
                    </w:rPr>
                    <w:t>噪声排放源</w:t>
                  </w:r>
                </w:p>
              </w:tc>
              <w:tc>
                <w:tcPr>
                  <w:tcW w:w="1718" w:type="pct"/>
                  <w:tcBorders>
                    <w:top w:val="single" w:color="auto" w:sz="4" w:space="0"/>
                    <w:left w:val="single" w:color="auto" w:sz="4" w:space="0"/>
                    <w:bottom w:val="single" w:color="auto" w:sz="4" w:space="0"/>
                    <w:right w:val="single" w:color="auto" w:sz="4" w:space="0"/>
                  </w:tcBorders>
                  <w:noWrap w:val="0"/>
                  <w:vAlign w:val="center"/>
                </w:tcPr>
                <w:p w14:paraId="314ED57A">
                  <w:pPr>
                    <w:pStyle w:val="48"/>
                    <w:spacing w:line="240" w:lineRule="auto"/>
                    <w:ind w:firstLine="0" w:firstLineChars="0"/>
                    <w:jc w:val="center"/>
                    <w:rPr>
                      <w:rFonts w:hint="default" w:ascii="Times New Roman" w:hAnsi="Times New Roman" w:eastAsia="宋体" w:cs="Times New Roman"/>
                      <w:color w:val="000000" w:themeColor="text1"/>
                      <w:kern w:val="0"/>
                      <w:sz w:val="21"/>
                      <w:szCs w:val="21"/>
                      <w:lang w:val="en-US" w:eastAsia="zh-CN" w:bidi="ar-SA"/>
                    </w:rPr>
                  </w:pPr>
                  <w:r>
                    <w:rPr>
                      <w:rFonts w:hint="default" w:ascii="Times New Roman" w:hAnsi="Times New Roman" w:cs="Times New Roman"/>
                      <w:color w:val="000000" w:themeColor="text1"/>
                      <w:sz w:val="21"/>
                      <w:szCs w:val="21"/>
                    </w:rPr>
                    <w:t>危险废物</w:t>
                  </w:r>
                </w:p>
              </w:tc>
              <w:tc>
                <w:tcPr>
                  <w:tcW w:w="1649" w:type="pct"/>
                  <w:tcBorders>
                    <w:top w:val="single" w:color="auto" w:sz="4" w:space="0"/>
                    <w:left w:val="single" w:color="auto" w:sz="4" w:space="0"/>
                    <w:bottom w:val="single" w:color="auto" w:sz="4" w:space="0"/>
                    <w:right w:val="single" w:color="auto" w:sz="4" w:space="0"/>
                  </w:tcBorders>
                  <w:noWrap w:val="0"/>
                  <w:vAlign w:val="center"/>
                </w:tcPr>
                <w:p w14:paraId="3912A579">
                  <w:pPr>
                    <w:pStyle w:val="48"/>
                    <w:jc w:val="center"/>
                    <w:rPr>
                      <w:rFonts w:hint="default" w:ascii="Calibri" w:hAnsi="Calibri" w:eastAsia="宋体" w:cs="Calibri"/>
                      <w:color w:val="000000" w:themeColor="text1"/>
                      <w:kern w:val="2"/>
                      <w:sz w:val="21"/>
                      <w:szCs w:val="21"/>
                      <w:lang w:val="en-US" w:eastAsia="zh-CN" w:bidi="ar-SA"/>
                    </w:rPr>
                  </w:pPr>
                  <w:r>
                    <w:rPr>
                      <w:color w:val="000000" w:themeColor="text1"/>
                      <w:sz w:val="21"/>
                      <w:szCs w:val="21"/>
                    </w:rPr>
                    <w:t>一般工业固体废物</w:t>
                  </w:r>
                </w:p>
              </w:tc>
            </w:tr>
            <w:tr w14:paraId="7847A6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4" w:hRule="atLeast"/>
                <w:jc w:val="center"/>
              </w:trPr>
              <w:tc>
                <w:tcPr>
                  <w:tcW w:w="1631" w:type="pct"/>
                  <w:tcBorders>
                    <w:top w:val="single" w:color="auto" w:sz="4" w:space="0"/>
                    <w:left w:val="single" w:color="auto" w:sz="4" w:space="0"/>
                    <w:bottom w:val="single" w:color="auto" w:sz="4" w:space="0"/>
                    <w:right w:val="single" w:color="auto" w:sz="4" w:space="0"/>
                  </w:tcBorders>
                  <w:noWrap w:val="0"/>
                  <w:vAlign w:val="center"/>
                </w:tcPr>
                <w:p w14:paraId="31FA0508">
                  <w:pPr>
                    <w:pStyle w:val="48"/>
                    <w:spacing w:line="240" w:lineRule="auto"/>
                    <w:ind w:firstLine="0" w:firstLineChars="0"/>
                    <w:jc w:val="center"/>
                    <w:rPr>
                      <w:rFonts w:hint="default" w:ascii="Times New Roman" w:hAnsi="Times New Roman" w:eastAsia="宋体" w:cs="Times New Roman"/>
                      <w:color w:val="000000" w:themeColor="text1"/>
                      <w:kern w:val="0"/>
                      <w:sz w:val="21"/>
                      <w:szCs w:val="21"/>
                      <w:lang w:val="en-US" w:eastAsia="zh-CN" w:bidi="ar-SA"/>
                    </w:rPr>
                  </w:pPr>
                  <w:r>
                    <w:rPr>
                      <w:rFonts w:hint="default" w:ascii="Times New Roman" w:hAnsi="Times New Roman" w:cs="Times New Roman"/>
                      <w:color w:val="000000" w:themeColor="text1"/>
                      <w:sz w:val="21"/>
                      <w:szCs w:val="21"/>
                    </w:rPr>
                    <w:pict>
                      <v:shape id="_x0000_i1054" o:spt="75" type="#_x0000_t75" style="height:85.35pt;width:117.55pt;" filled="f" o:preferrelative="f" stroked="f" coordsize="21600,21600">
                        <v:path/>
                        <v:fill on="f" focussize="0,0"/>
                        <v:stroke on="f"/>
                        <v:imagedata r:id="rId49" o:title=""/>
                        <o:lock v:ext="edit" aspectratio="f"/>
                        <w10:wrap type="none"/>
                        <w10:anchorlock/>
                      </v:shape>
                    </w:pict>
                  </w:r>
                </w:p>
              </w:tc>
              <w:tc>
                <w:tcPr>
                  <w:tcW w:w="1718" w:type="pct"/>
                  <w:tcBorders>
                    <w:top w:val="single" w:color="auto" w:sz="4" w:space="0"/>
                    <w:left w:val="single" w:color="auto" w:sz="4" w:space="0"/>
                    <w:bottom w:val="single" w:color="auto" w:sz="4" w:space="0"/>
                    <w:right w:val="single" w:color="auto" w:sz="4" w:space="0"/>
                  </w:tcBorders>
                  <w:noWrap w:val="0"/>
                  <w:vAlign w:val="center"/>
                </w:tcPr>
                <w:p w14:paraId="650F6054">
                  <w:pPr>
                    <w:pStyle w:val="48"/>
                    <w:spacing w:line="240" w:lineRule="auto"/>
                    <w:ind w:firstLine="0" w:firstLineChars="0"/>
                    <w:jc w:val="center"/>
                    <w:rPr>
                      <w:rFonts w:hint="default" w:ascii="Times New Roman" w:hAnsi="Times New Roman" w:eastAsia="宋体" w:cs="Times New Roman"/>
                      <w:color w:val="000000" w:themeColor="text1"/>
                      <w:kern w:val="0"/>
                      <w:sz w:val="21"/>
                      <w:szCs w:val="21"/>
                      <w:lang w:val="en-US" w:eastAsia="zh-CN" w:bidi="ar-SA"/>
                    </w:rPr>
                  </w:pPr>
                  <w:r>
                    <w:rPr>
                      <w:rFonts w:hint="eastAsia"/>
                      <w:color w:val="000000" w:themeColor="text1"/>
                      <w:szCs w:val="21"/>
                    </w:rPr>
                    <w:pict>
                      <v:shape id="_x0000_i1055" o:spt="75" alt="图片1" type="#_x0000_t75" style="height:78.35pt;width:123.5pt;" filled="f" o:preferrelative="t" stroked="f" coordsize="21600,21600">
                        <v:path/>
                        <v:fill on="f" focussize="0,0"/>
                        <v:stroke on="f"/>
                        <v:imagedata r:id="rId50" o:title=""/>
                        <o:lock v:ext="edit" aspectratio="t"/>
                        <w10:wrap type="none"/>
                        <w10:anchorlock/>
                      </v:shape>
                    </w:pict>
                  </w:r>
                </w:p>
              </w:tc>
              <w:tc>
                <w:tcPr>
                  <w:tcW w:w="1649" w:type="pct"/>
                  <w:tcBorders>
                    <w:top w:val="single" w:color="auto" w:sz="4" w:space="0"/>
                    <w:left w:val="single" w:color="auto" w:sz="4" w:space="0"/>
                    <w:bottom w:val="single" w:color="auto" w:sz="4" w:space="0"/>
                    <w:right w:val="single" w:color="auto" w:sz="4" w:space="0"/>
                  </w:tcBorders>
                  <w:noWrap w:val="0"/>
                  <w:vAlign w:val="center"/>
                </w:tcPr>
                <w:p w14:paraId="771D0245">
                  <w:pPr>
                    <w:pStyle w:val="48"/>
                    <w:jc w:val="center"/>
                    <w:rPr>
                      <w:rFonts w:hint="default" w:ascii="Calibri" w:hAnsi="Calibri" w:eastAsia="宋体" w:cs="Calibri"/>
                      <w:color w:val="000000" w:themeColor="text1"/>
                      <w:kern w:val="2"/>
                      <w:sz w:val="21"/>
                      <w:szCs w:val="21"/>
                      <w:lang w:val="en-US" w:eastAsia="zh-CN" w:bidi="ar-SA"/>
                    </w:rPr>
                  </w:pPr>
                  <w:r>
                    <w:rPr>
                      <w:color w:val="000000" w:themeColor="text1"/>
                    </w:rPr>
                    <w:pict>
                      <v:shape id="_x0000_i1056" o:spt="75" type="#_x0000_t75" style="height:88.7pt;width:125pt;" filled="f" o:preferrelative="f" stroked="f" coordsize="21600,21600">
                        <v:path/>
                        <v:fill on="f" focussize="0,0"/>
                        <v:stroke on="f"/>
                        <v:imagedata r:id="rId51" o:title=""/>
                        <o:lock v:ext="edit" aspectratio="f"/>
                        <w10:wrap type="none"/>
                        <w10:anchorlock/>
                      </v:shape>
                    </w:pict>
                  </w:r>
                </w:p>
              </w:tc>
            </w:tr>
            <w:tr w14:paraId="059C11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631" w:type="pct"/>
                  <w:tcBorders>
                    <w:top w:val="single" w:color="auto" w:sz="4" w:space="0"/>
                    <w:left w:val="single" w:color="auto" w:sz="4" w:space="0"/>
                    <w:bottom w:val="single" w:color="auto" w:sz="4" w:space="0"/>
                    <w:right w:val="single" w:color="auto" w:sz="4" w:space="0"/>
                  </w:tcBorders>
                  <w:noWrap w:val="0"/>
                  <w:vAlign w:val="center"/>
                </w:tcPr>
                <w:p w14:paraId="276E191A">
                  <w:pPr>
                    <w:pStyle w:val="48"/>
                    <w:spacing w:line="240" w:lineRule="auto"/>
                    <w:ind w:firstLine="0" w:firstLineChars="0"/>
                    <w:jc w:val="center"/>
                    <w:rPr>
                      <w:rFonts w:hint="default" w:ascii="Times New Roman" w:hAnsi="Times New Roman" w:eastAsia="宋体" w:cs="Times New Roman"/>
                      <w:color w:val="000000" w:themeColor="text1"/>
                      <w:sz w:val="21"/>
                      <w:szCs w:val="21"/>
                      <w:lang w:val="en-US" w:eastAsia="zh-CN"/>
                    </w:rPr>
                  </w:pPr>
                  <w:r>
                    <w:rPr>
                      <w:rFonts w:hint="eastAsia" w:ascii="Times New Roman" w:hAnsi="Times New Roman" w:cs="Times New Roman"/>
                      <w:color w:val="000000" w:themeColor="text1"/>
                      <w:sz w:val="21"/>
                      <w:szCs w:val="21"/>
                      <w:lang w:val="en-US" w:eastAsia="zh-CN"/>
                    </w:rPr>
                    <w:t>危废分区标志</w:t>
                  </w:r>
                </w:p>
              </w:tc>
              <w:tc>
                <w:tcPr>
                  <w:tcW w:w="1718" w:type="pct"/>
                  <w:tcBorders>
                    <w:top w:val="single" w:color="auto" w:sz="4" w:space="0"/>
                    <w:left w:val="single" w:color="auto" w:sz="4" w:space="0"/>
                    <w:bottom w:val="single" w:color="auto" w:sz="4" w:space="0"/>
                    <w:right w:val="single" w:color="auto" w:sz="4" w:space="0"/>
                  </w:tcBorders>
                  <w:noWrap w:val="0"/>
                  <w:vAlign w:val="center"/>
                </w:tcPr>
                <w:p w14:paraId="7A6306B1">
                  <w:pPr>
                    <w:pStyle w:val="48"/>
                    <w:spacing w:line="240" w:lineRule="auto"/>
                    <w:ind w:firstLine="0" w:firstLineChars="0"/>
                    <w:jc w:val="center"/>
                    <w:rPr>
                      <w:rFonts w:hint="eastAsia" w:eastAsia="宋体"/>
                      <w:color w:val="000000" w:themeColor="text1"/>
                      <w:szCs w:val="21"/>
                      <w:lang w:val="en-US" w:eastAsia="zh-CN"/>
                    </w:rPr>
                  </w:pPr>
                  <w:r>
                    <w:rPr>
                      <w:rFonts w:hint="eastAsia"/>
                      <w:color w:val="000000" w:themeColor="text1"/>
                      <w:szCs w:val="21"/>
                      <w:lang w:val="en-US" w:eastAsia="zh-CN"/>
                    </w:rPr>
                    <w:t>/</w:t>
                  </w:r>
                </w:p>
              </w:tc>
              <w:tc>
                <w:tcPr>
                  <w:tcW w:w="1649" w:type="pct"/>
                  <w:tcBorders>
                    <w:top w:val="single" w:color="auto" w:sz="4" w:space="0"/>
                    <w:left w:val="single" w:color="auto" w:sz="4" w:space="0"/>
                    <w:bottom w:val="single" w:color="auto" w:sz="4" w:space="0"/>
                    <w:right w:val="single" w:color="auto" w:sz="4" w:space="0"/>
                  </w:tcBorders>
                  <w:noWrap w:val="0"/>
                  <w:vAlign w:val="center"/>
                </w:tcPr>
                <w:p w14:paraId="0977E658">
                  <w:pPr>
                    <w:pStyle w:val="48"/>
                    <w:jc w:val="center"/>
                    <w:rPr>
                      <w:rFonts w:hint="eastAsia" w:eastAsia="宋体"/>
                      <w:color w:val="000000" w:themeColor="text1"/>
                      <w:lang w:val="en-US" w:eastAsia="zh-CN"/>
                    </w:rPr>
                  </w:pPr>
                  <w:r>
                    <w:rPr>
                      <w:rFonts w:hint="eastAsia"/>
                      <w:color w:val="000000" w:themeColor="text1"/>
                      <w:lang w:val="en-US" w:eastAsia="zh-CN"/>
                    </w:rPr>
                    <w:t>/</w:t>
                  </w:r>
                </w:p>
              </w:tc>
            </w:tr>
            <w:tr w14:paraId="4664D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41" w:hRule="atLeast"/>
                <w:jc w:val="center"/>
              </w:trPr>
              <w:tc>
                <w:tcPr>
                  <w:tcW w:w="1631" w:type="pct"/>
                  <w:tcBorders>
                    <w:top w:val="single" w:color="auto" w:sz="4" w:space="0"/>
                    <w:left w:val="single" w:color="auto" w:sz="4" w:space="0"/>
                    <w:bottom w:val="single" w:color="auto" w:sz="4" w:space="0"/>
                    <w:right w:val="single" w:color="auto" w:sz="4" w:space="0"/>
                  </w:tcBorders>
                  <w:noWrap w:val="0"/>
                  <w:vAlign w:val="center"/>
                </w:tcPr>
                <w:p w14:paraId="671A581F">
                  <w:pPr>
                    <w:pStyle w:val="48"/>
                    <w:spacing w:line="240" w:lineRule="auto"/>
                    <w:ind w:firstLine="0" w:firstLineChars="0"/>
                    <w:jc w:val="center"/>
                    <w:rPr>
                      <w:rFonts w:hint="eastAsia" w:ascii="Times New Roman" w:hAnsi="Times New Roman" w:eastAsia="宋体" w:cs="Times New Roman"/>
                      <w:color w:val="000000" w:themeColor="text1"/>
                      <w:sz w:val="21"/>
                      <w:szCs w:val="21"/>
                      <w:lang w:eastAsia="zh-CN"/>
                    </w:rPr>
                  </w:pPr>
                  <w:r>
                    <w:rPr>
                      <w:rFonts w:hint="eastAsia" w:ascii="Times New Roman" w:hAnsi="Times New Roman" w:eastAsia="宋体" w:cs="Times New Roman"/>
                      <w:color w:val="000000" w:themeColor="text1"/>
                      <w:sz w:val="21"/>
                      <w:szCs w:val="21"/>
                      <w:lang w:eastAsia="zh-CN"/>
                    </w:rPr>
                    <w:pict>
                      <v:shape id="_x0000_i1057" o:spt="75" alt="bcd3691c67bd6a9378d0725078093b41" type="#_x0000_t75" style="height:89.75pt;width:91.55pt;" filled="f" o:preferrelative="t" stroked="f" coordsize="21600,21600">
                        <v:path/>
                        <v:fill on="f" focussize="0,0"/>
                        <v:stroke on="f"/>
                        <v:imagedata r:id="rId52" cropleft="6554f" croptop="3177f" cropright="6582f" cropbottom="10989f" o:title="bcd3691c67bd6a9378d0725078093b41"/>
                        <o:lock v:ext="edit" aspectratio="t"/>
                        <w10:wrap type="none"/>
                        <w10:anchorlock/>
                      </v:shape>
                    </w:pict>
                  </w:r>
                </w:p>
              </w:tc>
              <w:tc>
                <w:tcPr>
                  <w:tcW w:w="1718" w:type="pct"/>
                  <w:tcBorders>
                    <w:top w:val="single" w:color="auto" w:sz="4" w:space="0"/>
                    <w:left w:val="single" w:color="auto" w:sz="4" w:space="0"/>
                    <w:bottom w:val="single" w:color="auto" w:sz="4" w:space="0"/>
                    <w:right w:val="single" w:color="auto" w:sz="4" w:space="0"/>
                  </w:tcBorders>
                  <w:noWrap w:val="0"/>
                  <w:vAlign w:val="center"/>
                </w:tcPr>
                <w:p w14:paraId="42D57DA4">
                  <w:pPr>
                    <w:pStyle w:val="48"/>
                    <w:spacing w:line="240" w:lineRule="auto"/>
                    <w:ind w:firstLine="0" w:firstLineChars="0"/>
                    <w:jc w:val="center"/>
                    <w:rPr>
                      <w:rFonts w:hint="eastAsia" w:eastAsia="宋体"/>
                      <w:color w:val="000000" w:themeColor="text1"/>
                      <w:szCs w:val="21"/>
                      <w:lang w:val="en-US" w:eastAsia="zh-CN"/>
                    </w:rPr>
                  </w:pPr>
                  <w:r>
                    <w:rPr>
                      <w:rFonts w:hint="eastAsia"/>
                      <w:color w:val="000000" w:themeColor="text1"/>
                      <w:szCs w:val="21"/>
                      <w:lang w:val="en-US" w:eastAsia="zh-CN"/>
                    </w:rPr>
                    <w:t>/</w:t>
                  </w:r>
                </w:p>
              </w:tc>
              <w:tc>
                <w:tcPr>
                  <w:tcW w:w="1649" w:type="pct"/>
                  <w:tcBorders>
                    <w:top w:val="single" w:color="auto" w:sz="4" w:space="0"/>
                    <w:left w:val="single" w:color="auto" w:sz="4" w:space="0"/>
                    <w:bottom w:val="single" w:color="auto" w:sz="4" w:space="0"/>
                    <w:right w:val="single" w:color="auto" w:sz="4" w:space="0"/>
                  </w:tcBorders>
                  <w:noWrap w:val="0"/>
                  <w:vAlign w:val="center"/>
                </w:tcPr>
                <w:p w14:paraId="3E48CACA">
                  <w:pPr>
                    <w:pStyle w:val="48"/>
                    <w:jc w:val="center"/>
                    <w:rPr>
                      <w:rFonts w:hint="eastAsia" w:eastAsia="宋体"/>
                      <w:color w:val="000000" w:themeColor="text1"/>
                      <w:lang w:val="en-US" w:eastAsia="zh-CN"/>
                    </w:rPr>
                  </w:pPr>
                  <w:r>
                    <w:rPr>
                      <w:rFonts w:hint="eastAsia"/>
                      <w:color w:val="000000" w:themeColor="text1"/>
                      <w:lang w:val="en-US" w:eastAsia="zh-CN"/>
                    </w:rPr>
                    <w:t>/</w:t>
                  </w:r>
                </w:p>
              </w:tc>
            </w:tr>
          </w:tbl>
          <w:p w14:paraId="1DEB2794">
            <w:pPr>
              <w:rPr>
                <w:rFonts w:hint="default" w:ascii="Times New Roman" w:hAnsi="Times New Roman" w:cs="Times New Roman"/>
                <w:color w:val="000000" w:themeColor="text1"/>
                <w:sz w:val="24"/>
                <w:szCs w:val="24"/>
              </w:rPr>
            </w:pPr>
          </w:p>
          <w:p w14:paraId="45232A43">
            <w:pPr>
              <w:pStyle w:val="6"/>
              <w:rPr>
                <w:rFonts w:hint="default" w:ascii="Times New Roman" w:hAnsi="Times New Roman" w:cs="Times New Roman"/>
                <w:color w:val="000000" w:themeColor="text1"/>
                <w:sz w:val="24"/>
                <w:szCs w:val="24"/>
              </w:rPr>
            </w:pPr>
          </w:p>
          <w:p w14:paraId="0309249E">
            <w:pPr>
              <w:rPr>
                <w:rFonts w:hint="default" w:ascii="Times New Roman" w:hAnsi="Times New Roman" w:cs="Times New Roman"/>
                <w:color w:val="000000" w:themeColor="text1"/>
                <w:sz w:val="24"/>
                <w:szCs w:val="24"/>
              </w:rPr>
            </w:pPr>
          </w:p>
          <w:p w14:paraId="7666652C">
            <w:pPr>
              <w:pStyle w:val="30"/>
              <w:rPr>
                <w:rFonts w:hint="default" w:ascii="Times New Roman" w:hAnsi="Times New Roman" w:cs="Times New Roman"/>
                <w:color w:val="000000" w:themeColor="text1"/>
                <w:sz w:val="24"/>
                <w:szCs w:val="24"/>
              </w:rPr>
            </w:pPr>
          </w:p>
          <w:p w14:paraId="0C0789F9">
            <w:pPr>
              <w:pStyle w:val="30"/>
              <w:rPr>
                <w:rFonts w:hint="default" w:ascii="Times New Roman" w:hAnsi="Times New Roman" w:cs="Times New Roman"/>
                <w:color w:val="000000" w:themeColor="text1"/>
                <w:sz w:val="24"/>
                <w:szCs w:val="24"/>
              </w:rPr>
            </w:pPr>
          </w:p>
          <w:p w14:paraId="49581FA5">
            <w:pPr>
              <w:pStyle w:val="16"/>
              <w:spacing w:line="240" w:lineRule="auto"/>
              <w:ind w:left="0" w:leftChars="0" w:right="0" w:rightChars="0"/>
              <w:rPr>
                <w:rFonts w:hint="default" w:ascii="Times New Roman" w:hAnsi="Times New Roman" w:cs="Times New Roman"/>
                <w:color w:val="000000" w:themeColor="text1"/>
              </w:rPr>
            </w:pPr>
          </w:p>
        </w:tc>
      </w:tr>
    </w:tbl>
    <w:p w14:paraId="654882A0">
      <w:pPr>
        <w:pStyle w:val="31"/>
        <w:jc w:val="center"/>
        <w:outlineLvl w:val="0"/>
        <w:rPr>
          <w:rFonts w:hint="default" w:ascii="Times New Roman" w:hAnsi="Times New Roman" w:cs="Times New Roman"/>
          <w:snapToGrid w:val="0"/>
          <w:color w:val="000000" w:themeColor="text1"/>
          <w:sz w:val="30"/>
          <w:szCs w:val="30"/>
        </w:rPr>
      </w:pPr>
      <w:r>
        <w:rPr>
          <w:rFonts w:hint="default" w:ascii="Times New Roman" w:hAnsi="Times New Roman" w:cs="Times New Roman"/>
          <w:snapToGrid w:val="0"/>
          <w:color w:val="000000" w:themeColor="text1"/>
        </w:rPr>
        <w:br w:type="page"/>
      </w:r>
      <w:r>
        <w:rPr>
          <w:rFonts w:hint="default" w:ascii="Times New Roman" w:hAnsi="Times New Roman" w:cs="Times New Roman"/>
          <w:snapToGrid w:val="0"/>
          <w:color w:val="000000" w:themeColor="text1"/>
          <w:sz w:val="30"/>
          <w:szCs w:val="30"/>
        </w:rPr>
        <w:t>六、结论</w:t>
      </w:r>
    </w:p>
    <w:tbl>
      <w:tblPr>
        <w:tblStyle w:val="3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38A690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1991" w:hRule="atLeast"/>
          <w:jc w:val="center"/>
        </w:trPr>
        <w:tc>
          <w:tcPr>
            <w:tcW w:w="8865" w:type="dxa"/>
            <w:tcBorders>
              <w:top w:val="single" w:color="auto" w:sz="8" w:space="0"/>
              <w:bottom w:val="single" w:color="auto" w:sz="8" w:space="0"/>
            </w:tcBorders>
          </w:tcPr>
          <w:p w14:paraId="453044D6">
            <w:pPr>
              <w:pStyle w:val="139"/>
              <w:ind w:firstLine="480"/>
              <w:rPr>
                <w:rFonts w:hint="default" w:ascii="Times New Roman" w:hAnsi="Times New Roman" w:cs="Times New Roman"/>
                <w:color w:val="000000" w:themeColor="text1"/>
              </w:rPr>
            </w:pPr>
            <w:r>
              <w:rPr>
                <w:rFonts w:hint="default" w:ascii="Times New Roman" w:hAnsi="Times New Roman" w:cs="Times New Roman"/>
                <w:color w:val="000000" w:themeColor="text1"/>
              </w:rPr>
              <w:t>综上所述，项目符合国家及地方产业政策，符合</w:t>
            </w:r>
            <w:r>
              <w:rPr>
                <w:rFonts w:hint="eastAsia" w:cs="Times New Roman"/>
                <w:color w:val="000000" w:themeColor="text1"/>
                <w:lang w:val="en-US" w:eastAsia="zh-CN"/>
              </w:rPr>
              <w:t>分区管控</w:t>
            </w:r>
            <w:r>
              <w:rPr>
                <w:rFonts w:hint="default" w:ascii="Times New Roman" w:hAnsi="Times New Roman" w:cs="Times New Roman"/>
                <w:color w:val="000000" w:themeColor="text1"/>
              </w:rPr>
              <w:t>生态环境准入清单的要求，符合相关法律法规及环境政策，选址合理。在落实评价提出的各项污染防治措施后，污染物实现稳定达标排放，对环境的影响较小。因此，从环境影响的角度而言，本项目的实施是可行的。</w:t>
            </w:r>
          </w:p>
        </w:tc>
      </w:tr>
    </w:tbl>
    <w:p w14:paraId="74F696A3">
      <w:pPr>
        <w:rPr>
          <w:rFonts w:hint="default" w:ascii="Times New Roman" w:hAnsi="Times New Roman" w:cs="Times New Roman"/>
          <w:color w:val="000000" w:themeColor="text1"/>
        </w:rPr>
        <w:sectPr>
          <w:pgSz w:w="11906" w:h="16838"/>
          <w:pgMar w:top="1701" w:right="1531" w:bottom="1701" w:left="1531" w:header="851" w:footer="851" w:gutter="0"/>
          <w:cols w:space="720" w:num="1"/>
          <w:docGrid w:linePitch="312" w:charSpace="0"/>
        </w:sectPr>
      </w:pPr>
    </w:p>
    <w:p w14:paraId="21ED36AF">
      <w:pPr>
        <w:pStyle w:val="31"/>
        <w:adjustRightInd w:val="0"/>
        <w:snapToGrid w:val="0"/>
        <w:spacing w:before="0" w:beforeAutospacing="0" w:after="0" w:afterAutospacing="0" w:line="360" w:lineRule="auto"/>
        <w:ind w:firstLine="640" w:firstLineChars="200"/>
        <w:outlineLvl w:val="0"/>
        <w:rPr>
          <w:rFonts w:hint="default" w:ascii="Times New Roman" w:hAnsi="Times New Roman" w:cs="Times New Roman"/>
          <w:snapToGrid w:val="0"/>
          <w:color w:val="000000" w:themeColor="text1"/>
          <w:sz w:val="32"/>
          <w:szCs w:val="32"/>
        </w:rPr>
      </w:pPr>
      <w:r>
        <w:rPr>
          <w:rFonts w:hint="default" w:ascii="Times New Roman" w:hAnsi="Times New Roman" w:cs="Times New Roman"/>
          <w:snapToGrid w:val="0"/>
          <w:color w:val="000000" w:themeColor="text1"/>
          <w:sz w:val="32"/>
          <w:szCs w:val="32"/>
        </w:rPr>
        <w:t>附表</w:t>
      </w:r>
    </w:p>
    <w:p w14:paraId="7209EC30">
      <w:pPr>
        <w:pStyle w:val="31"/>
        <w:adjustRightInd w:val="0"/>
        <w:snapToGrid w:val="0"/>
        <w:spacing w:before="0" w:beforeAutospacing="0" w:after="0" w:afterAutospacing="0"/>
        <w:jc w:val="center"/>
        <w:rPr>
          <w:rFonts w:hint="default" w:ascii="Times New Roman" w:hAnsi="Times New Roman" w:cs="Times New Roman"/>
          <w:snapToGrid w:val="0"/>
          <w:color w:val="000000" w:themeColor="text1"/>
        </w:rPr>
      </w:pPr>
      <w:r>
        <w:rPr>
          <w:rFonts w:hint="default" w:ascii="Times New Roman" w:hAnsi="Times New Roman" w:cs="Times New Roman"/>
          <w:snapToGrid w:val="0"/>
          <w:color w:val="000000" w:themeColor="text1"/>
        </w:rPr>
        <w:t>建设项目污染物排放量汇总表</w:t>
      </w:r>
    </w:p>
    <w:tbl>
      <w:tblPr>
        <w:tblStyle w:val="34"/>
        <w:tblW w:w="13856" w:type="dxa"/>
        <w:tblInd w:w="2"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25"/>
        <w:gridCol w:w="742"/>
        <w:gridCol w:w="743"/>
        <w:gridCol w:w="1648"/>
        <w:gridCol w:w="1282"/>
        <w:gridCol w:w="1567"/>
        <w:gridCol w:w="1710"/>
        <w:gridCol w:w="1425"/>
        <w:gridCol w:w="1994"/>
        <w:gridCol w:w="1720"/>
      </w:tblGrid>
      <w:tr w14:paraId="184DB7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25" w:type="dxa"/>
            <w:tcBorders>
              <w:top w:val="single" w:color="auto" w:sz="8" w:space="0"/>
              <w:tl2br w:val="single" w:color="auto" w:sz="4" w:space="0"/>
            </w:tcBorders>
            <w:tcMar>
              <w:left w:w="28" w:type="dxa"/>
              <w:right w:w="28" w:type="dxa"/>
            </w:tcMar>
            <w:vAlign w:val="center"/>
          </w:tcPr>
          <w:p w14:paraId="1A854DDF">
            <w:pPr>
              <w:pStyle w:val="81"/>
              <w:spacing w:beforeLines="0" w:afterLines="0" w:line="240" w:lineRule="auto"/>
              <w:jc w:val="right"/>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项目</w:t>
            </w:r>
          </w:p>
          <w:p w14:paraId="6E44D786">
            <w:pPr>
              <w:pStyle w:val="81"/>
              <w:spacing w:beforeLines="0" w:afterLines="0" w:line="240" w:lineRule="auto"/>
              <w:jc w:val="left"/>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分类</w:t>
            </w:r>
          </w:p>
        </w:tc>
        <w:tc>
          <w:tcPr>
            <w:tcW w:w="1485" w:type="dxa"/>
            <w:gridSpan w:val="2"/>
            <w:tcBorders>
              <w:top w:val="single" w:color="auto" w:sz="8" w:space="0"/>
            </w:tcBorders>
            <w:tcMar>
              <w:left w:w="28" w:type="dxa"/>
              <w:right w:w="28" w:type="dxa"/>
            </w:tcMar>
            <w:vAlign w:val="center"/>
          </w:tcPr>
          <w:p w14:paraId="25CFA10C">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污染物名称</w:t>
            </w:r>
          </w:p>
        </w:tc>
        <w:tc>
          <w:tcPr>
            <w:tcW w:w="1648" w:type="dxa"/>
            <w:tcBorders>
              <w:top w:val="single" w:color="auto" w:sz="8" w:space="0"/>
            </w:tcBorders>
            <w:tcMar>
              <w:left w:w="28" w:type="dxa"/>
              <w:right w:w="28" w:type="dxa"/>
            </w:tcMar>
            <w:vAlign w:val="center"/>
          </w:tcPr>
          <w:p w14:paraId="18D655BC">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现有工程</w:t>
            </w:r>
          </w:p>
          <w:p w14:paraId="054D310F">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排放量（固体废物产生量）</w:t>
            </w:r>
            <w:r>
              <w:rPr>
                <w:rFonts w:hint="default" w:ascii="Times New Roman" w:hAnsi="Times New Roman" w:cs="Times New Roman"/>
                <w:snapToGrid w:val="0"/>
                <w:color w:val="000000" w:themeColor="text1"/>
                <w:kern w:val="21"/>
                <w:lang w:val="en-US" w:eastAsia="zh-CN"/>
              </w:rPr>
              <w:fldChar w:fldCharType="begin"/>
            </w:r>
            <w:r>
              <w:rPr>
                <w:rFonts w:hint="default" w:ascii="Times New Roman" w:hAnsi="Times New Roman" w:cs="Times New Roman"/>
                <w:snapToGrid w:val="0"/>
                <w:color w:val="000000" w:themeColor="text1"/>
                <w:kern w:val="21"/>
                <w:lang w:val="en-US" w:eastAsia="zh-CN"/>
              </w:rPr>
              <w:instrText xml:space="preserve"> = 1 \* GB3 \* MERGEFORMAT </w:instrText>
            </w:r>
            <w:r>
              <w:rPr>
                <w:rFonts w:hint="default" w:ascii="Times New Roman" w:hAnsi="Times New Roman" w:cs="Times New Roman"/>
                <w:snapToGrid w:val="0"/>
                <w:color w:val="000000" w:themeColor="text1"/>
                <w:kern w:val="21"/>
                <w:lang w:val="en-US" w:eastAsia="zh-CN"/>
              </w:rPr>
              <w:fldChar w:fldCharType="separate"/>
            </w:r>
            <w:r>
              <w:rPr>
                <w:rFonts w:hint="default" w:ascii="Times New Roman" w:hAnsi="Times New Roman" w:cs="Times New Roman"/>
                <w:color w:val="000000" w:themeColor="text1"/>
                <w:kern w:val="2"/>
                <w:lang w:val="en-US" w:eastAsia="zh-CN"/>
              </w:rPr>
              <w:t>①</w:t>
            </w:r>
            <w:r>
              <w:rPr>
                <w:rFonts w:hint="default" w:ascii="Times New Roman" w:hAnsi="Times New Roman" w:cs="Times New Roman"/>
                <w:snapToGrid w:val="0"/>
                <w:color w:val="000000" w:themeColor="text1"/>
                <w:kern w:val="21"/>
                <w:lang w:val="en-US" w:eastAsia="zh-CN"/>
              </w:rPr>
              <w:fldChar w:fldCharType="end"/>
            </w:r>
          </w:p>
        </w:tc>
        <w:tc>
          <w:tcPr>
            <w:tcW w:w="1282" w:type="dxa"/>
            <w:tcBorders>
              <w:top w:val="single" w:color="auto" w:sz="8" w:space="0"/>
            </w:tcBorders>
            <w:tcMar>
              <w:left w:w="28" w:type="dxa"/>
              <w:right w:w="28" w:type="dxa"/>
            </w:tcMar>
            <w:vAlign w:val="center"/>
          </w:tcPr>
          <w:p w14:paraId="7E60C6D3">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现有工程</w:t>
            </w:r>
          </w:p>
          <w:p w14:paraId="264EA8FA">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许可排放量</w:t>
            </w:r>
          </w:p>
          <w:p w14:paraId="3B270520">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fldChar w:fldCharType="begin"/>
            </w:r>
            <w:r>
              <w:rPr>
                <w:rFonts w:hint="default" w:ascii="Times New Roman" w:hAnsi="Times New Roman" w:cs="Times New Roman"/>
                <w:snapToGrid w:val="0"/>
                <w:color w:val="000000" w:themeColor="text1"/>
                <w:kern w:val="21"/>
                <w:lang w:val="en-US" w:eastAsia="zh-CN"/>
              </w:rPr>
              <w:instrText xml:space="preserve"> = 2 \* GB3 \* MERGEFORMAT </w:instrText>
            </w:r>
            <w:r>
              <w:rPr>
                <w:rFonts w:hint="default" w:ascii="Times New Roman" w:hAnsi="Times New Roman" w:cs="Times New Roman"/>
                <w:snapToGrid w:val="0"/>
                <w:color w:val="000000" w:themeColor="text1"/>
                <w:kern w:val="21"/>
                <w:lang w:val="en-US" w:eastAsia="zh-CN"/>
              </w:rPr>
              <w:fldChar w:fldCharType="separate"/>
            </w:r>
            <w:r>
              <w:rPr>
                <w:rFonts w:hint="default" w:ascii="Times New Roman" w:hAnsi="Times New Roman" w:cs="Times New Roman"/>
                <w:snapToGrid w:val="0"/>
                <w:color w:val="000000" w:themeColor="text1"/>
                <w:kern w:val="21"/>
                <w:lang w:val="en-US" w:eastAsia="zh-CN"/>
              </w:rPr>
              <w:t>②</w:t>
            </w:r>
            <w:r>
              <w:rPr>
                <w:rFonts w:hint="default" w:ascii="Times New Roman" w:hAnsi="Times New Roman" w:cs="Times New Roman"/>
                <w:snapToGrid w:val="0"/>
                <w:color w:val="000000" w:themeColor="text1"/>
                <w:kern w:val="21"/>
                <w:lang w:val="en-US" w:eastAsia="zh-CN"/>
              </w:rPr>
              <w:fldChar w:fldCharType="end"/>
            </w:r>
          </w:p>
        </w:tc>
        <w:tc>
          <w:tcPr>
            <w:tcW w:w="1567" w:type="dxa"/>
            <w:tcBorders>
              <w:top w:val="single" w:color="auto" w:sz="8" w:space="0"/>
            </w:tcBorders>
            <w:tcMar>
              <w:left w:w="28" w:type="dxa"/>
              <w:right w:w="28" w:type="dxa"/>
            </w:tcMar>
            <w:vAlign w:val="center"/>
          </w:tcPr>
          <w:p w14:paraId="05FC9228">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在建工程</w:t>
            </w:r>
          </w:p>
          <w:p w14:paraId="14EC5970">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排放量（固体废物产生量）</w:t>
            </w:r>
            <w:r>
              <w:rPr>
                <w:rFonts w:hint="default" w:ascii="Times New Roman" w:hAnsi="Times New Roman" w:cs="Times New Roman"/>
                <w:snapToGrid w:val="0"/>
                <w:color w:val="000000" w:themeColor="text1"/>
                <w:kern w:val="21"/>
                <w:lang w:val="en-US" w:eastAsia="zh-CN"/>
              </w:rPr>
              <w:fldChar w:fldCharType="begin"/>
            </w:r>
            <w:r>
              <w:rPr>
                <w:rFonts w:hint="default" w:ascii="Times New Roman" w:hAnsi="Times New Roman" w:cs="Times New Roman"/>
                <w:snapToGrid w:val="0"/>
                <w:color w:val="000000" w:themeColor="text1"/>
                <w:kern w:val="21"/>
                <w:lang w:val="en-US" w:eastAsia="zh-CN"/>
              </w:rPr>
              <w:instrText xml:space="preserve"> = 3 \* GB3 \* MERGEFORMAT </w:instrText>
            </w:r>
            <w:r>
              <w:rPr>
                <w:rFonts w:hint="default" w:ascii="Times New Roman" w:hAnsi="Times New Roman" w:cs="Times New Roman"/>
                <w:snapToGrid w:val="0"/>
                <w:color w:val="000000" w:themeColor="text1"/>
                <w:kern w:val="21"/>
                <w:lang w:val="en-US" w:eastAsia="zh-CN"/>
              </w:rPr>
              <w:fldChar w:fldCharType="separate"/>
            </w:r>
            <w:r>
              <w:rPr>
                <w:rFonts w:hint="default" w:ascii="Times New Roman" w:hAnsi="Times New Roman" w:cs="Times New Roman"/>
                <w:color w:val="000000" w:themeColor="text1"/>
                <w:kern w:val="2"/>
                <w:lang w:val="en-US" w:eastAsia="zh-CN"/>
              </w:rPr>
              <w:t>③</w:t>
            </w:r>
            <w:r>
              <w:rPr>
                <w:rFonts w:hint="default" w:ascii="Times New Roman" w:hAnsi="Times New Roman" w:cs="Times New Roman"/>
                <w:snapToGrid w:val="0"/>
                <w:color w:val="000000" w:themeColor="text1"/>
                <w:kern w:val="21"/>
                <w:lang w:val="en-US" w:eastAsia="zh-CN"/>
              </w:rPr>
              <w:fldChar w:fldCharType="end"/>
            </w:r>
          </w:p>
        </w:tc>
        <w:tc>
          <w:tcPr>
            <w:tcW w:w="1710" w:type="dxa"/>
            <w:tcBorders>
              <w:top w:val="single" w:color="auto" w:sz="8" w:space="0"/>
            </w:tcBorders>
            <w:tcMar>
              <w:left w:w="28" w:type="dxa"/>
              <w:right w:w="28" w:type="dxa"/>
            </w:tcMar>
            <w:vAlign w:val="center"/>
          </w:tcPr>
          <w:p w14:paraId="6E3B9242">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本项目</w:t>
            </w:r>
          </w:p>
          <w:p w14:paraId="047BD740">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排放量（固体废物产生量）</w:t>
            </w:r>
            <w:r>
              <w:rPr>
                <w:rFonts w:hint="default" w:ascii="Times New Roman" w:hAnsi="Times New Roman" w:cs="Times New Roman"/>
                <w:snapToGrid w:val="0"/>
                <w:color w:val="000000" w:themeColor="text1"/>
                <w:kern w:val="21"/>
                <w:lang w:val="en-US" w:eastAsia="zh-CN"/>
              </w:rPr>
              <w:fldChar w:fldCharType="begin"/>
            </w:r>
            <w:r>
              <w:rPr>
                <w:rFonts w:hint="default" w:ascii="Times New Roman" w:hAnsi="Times New Roman" w:cs="Times New Roman"/>
                <w:snapToGrid w:val="0"/>
                <w:color w:val="000000" w:themeColor="text1"/>
                <w:kern w:val="21"/>
                <w:lang w:val="en-US" w:eastAsia="zh-CN"/>
              </w:rPr>
              <w:instrText xml:space="preserve"> = 4 \* GB3 \* MERGEFORMAT </w:instrText>
            </w:r>
            <w:r>
              <w:rPr>
                <w:rFonts w:hint="default" w:ascii="Times New Roman" w:hAnsi="Times New Roman" w:cs="Times New Roman"/>
                <w:snapToGrid w:val="0"/>
                <w:color w:val="000000" w:themeColor="text1"/>
                <w:kern w:val="21"/>
                <w:lang w:val="en-US" w:eastAsia="zh-CN"/>
              </w:rPr>
              <w:fldChar w:fldCharType="separate"/>
            </w:r>
            <w:r>
              <w:rPr>
                <w:rFonts w:hint="default" w:ascii="Times New Roman" w:hAnsi="Times New Roman" w:cs="Times New Roman"/>
                <w:color w:val="000000" w:themeColor="text1"/>
                <w:kern w:val="2"/>
                <w:lang w:val="en-US" w:eastAsia="zh-CN"/>
              </w:rPr>
              <w:t>④</w:t>
            </w:r>
            <w:r>
              <w:rPr>
                <w:rFonts w:hint="default" w:ascii="Times New Roman" w:hAnsi="Times New Roman" w:cs="Times New Roman"/>
                <w:snapToGrid w:val="0"/>
                <w:color w:val="000000" w:themeColor="text1"/>
                <w:kern w:val="21"/>
                <w:lang w:val="en-US" w:eastAsia="zh-CN"/>
              </w:rPr>
              <w:fldChar w:fldCharType="end"/>
            </w:r>
          </w:p>
        </w:tc>
        <w:tc>
          <w:tcPr>
            <w:tcW w:w="1425" w:type="dxa"/>
            <w:tcBorders>
              <w:top w:val="single" w:color="auto" w:sz="8" w:space="0"/>
            </w:tcBorders>
            <w:tcMar>
              <w:left w:w="28" w:type="dxa"/>
              <w:right w:w="28" w:type="dxa"/>
            </w:tcMar>
            <w:vAlign w:val="center"/>
          </w:tcPr>
          <w:p w14:paraId="18DFDD4F">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以新带老削减量</w:t>
            </w:r>
          </w:p>
          <w:p w14:paraId="2DCF6992">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（新建项目不填）</w:t>
            </w:r>
            <w:r>
              <w:rPr>
                <w:rFonts w:hint="default" w:ascii="Times New Roman" w:hAnsi="Times New Roman" w:cs="Times New Roman"/>
                <w:snapToGrid w:val="0"/>
                <w:color w:val="000000" w:themeColor="text1"/>
                <w:kern w:val="21"/>
                <w:lang w:val="en-US" w:eastAsia="zh-CN"/>
              </w:rPr>
              <w:fldChar w:fldCharType="begin"/>
            </w:r>
            <w:r>
              <w:rPr>
                <w:rFonts w:hint="default" w:ascii="Times New Roman" w:hAnsi="Times New Roman" w:cs="Times New Roman"/>
                <w:snapToGrid w:val="0"/>
                <w:color w:val="000000" w:themeColor="text1"/>
                <w:kern w:val="21"/>
                <w:lang w:val="en-US" w:eastAsia="zh-CN"/>
              </w:rPr>
              <w:instrText xml:space="preserve"> = 5 \* GB3 \* MERGEFORMAT </w:instrText>
            </w:r>
            <w:r>
              <w:rPr>
                <w:rFonts w:hint="default" w:ascii="Times New Roman" w:hAnsi="Times New Roman" w:cs="Times New Roman"/>
                <w:snapToGrid w:val="0"/>
                <w:color w:val="000000" w:themeColor="text1"/>
                <w:kern w:val="21"/>
                <w:lang w:val="en-US" w:eastAsia="zh-CN"/>
              </w:rPr>
              <w:fldChar w:fldCharType="separate"/>
            </w:r>
            <w:r>
              <w:rPr>
                <w:rFonts w:hint="default" w:ascii="Times New Roman" w:hAnsi="Times New Roman" w:cs="Times New Roman"/>
                <w:color w:val="000000" w:themeColor="text1"/>
                <w:kern w:val="2"/>
                <w:lang w:val="en-US" w:eastAsia="zh-CN"/>
              </w:rPr>
              <w:t>⑤</w:t>
            </w:r>
            <w:r>
              <w:rPr>
                <w:rFonts w:hint="default" w:ascii="Times New Roman" w:hAnsi="Times New Roman" w:cs="Times New Roman"/>
                <w:snapToGrid w:val="0"/>
                <w:color w:val="000000" w:themeColor="text1"/>
                <w:kern w:val="21"/>
                <w:lang w:val="en-US" w:eastAsia="zh-CN"/>
              </w:rPr>
              <w:fldChar w:fldCharType="end"/>
            </w:r>
          </w:p>
        </w:tc>
        <w:tc>
          <w:tcPr>
            <w:tcW w:w="1994" w:type="dxa"/>
            <w:tcBorders>
              <w:top w:val="single" w:color="auto" w:sz="8" w:space="0"/>
            </w:tcBorders>
            <w:tcMar>
              <w:left w:w="28" w:type="dxa"/>
              <w:right w:w="28" w:type="dxa"/>
            </w:tcMar>
            <w:vAlign w:val="center"/>
          </w:tcPr>
          <w:p w14:paraId="58751658">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本项目建成后</w:t>
            </w:r>
          </w:p>
          <w:p w14:paraId="0DBA06F6">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全厂排放量（固体废物产生量）</w:t>
            </w:r>
            <w:r>
              <w:rPr>
                <w:rFonts w:hint="default" w:ascii="Times New Roman" w:hAnsi="Times New Roman" w:cs="Times New Roman"/>
                <w:snapToGrid w:val="0"/>
                <w:color w:val="000000" w:themeColor="text1"/>
                <w:kern w:val="21"/>
                <w:lang w:val="en-US" w:eastAsia="zh-CN"/>
              </w:rPr>
              <w:fldChar w:fldCharType="begin"/>
            </w:r>
            <w:r>
              <w:rPr>
                <w:rFonts w:hint="default" w:ascii="Times New Roman" w:hAnsi="Times New Roman" w:cs="Times New Roman"/>
                <w:snapToGrid w:val="0"/>
                <w:color w:val="000000" w:themeColor="text1"/>
                <w:kern w:val="21"/>
                <w:lang w:val="en-US" w:eastAsia="zh-CN"/>
              </w:rPr>
              <w:instrText xml:space="preserve"> = 6 \* GB3 \* MERGEFORMAT </w:instrText>
            </w:r>
            <w:r>
              <w:rPr>
                <w:rFonts w:hint="default" w:ascii="Times New Roman" w:hAnsi="Times New Roman" w:cs="Times New Roman"/>
                <w:snapToGrid w:val="0"/>
                <w:color w:val="000000" w:themeColor="text1"/>
                <w:kern w:val="21"/>
                <w:lang w:val="en-US" w:eastAsia="zh-CN"/>
              </w:rPr>
              <w:fldChar w:fldCharType="separate"/>
            </w:r>
            <w:r>
              <w:rPr>
                <w:rFonts w:hint="default" w:ascii="Times New Roman" w:hAnsi="Times New Roman" w:cs="Times New Roman"/>
                <w:color w:val="000000" w:themeColor="text1"/>
                <w:kern w:val="2"/>
                <w:lang w:val="en-US" w:eastAsia="zh-CN"/>
              </w:rPr>
              <w:t>⑥</w:t>
            </w:r>
            <w:r>
              <w:rPr>
                <w:rFonts w:hint="default" w:ascii="Times New Roman" w:hAnsi="Times New Roman" w:cs="Times New Roman"/>
                <w:snapToGrid w:val="0"/>
                <w:color w:val="000000" w:themeColor="text1"/>
                <w:kern w:val="21"/>
                <w:lang w:val="en-US" w:eastAsia="zh-CN"/>
              </w:rPr>
              <w:fldChar w:fldCharType="end"/>
            </w:r>
          </w:p>
        </w:tc>
        <w:tc>
          <w:tcPr>
            <w:tcW w:w="1720" w:type="dxa"/>
            <w:tcBorders>
              <w:top w:val="single" w:color="auto" w:sz="8" w:space="0"/>
            </w:tcBorders>
            <w:tcMar>
              <w:left w:w="28" w:type="dxa"/>
              <w:right w:w="28" w:type="dxa"/>
            </w:tcMar>
            <w:vAlign w:val="center"/>
          </w:tcPr>
          <w:p w14:paraId="54E61012">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变化量</w:t>
            </w:r>
          </w:p>
          <w:p w14:paraId="083B3BB4">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fldChar w:fldCharType="begin"/>
            </w:r>
            <w:r>
              <w:rPr>
                <w:rFonts w:hint="default" w:ascii="Times New Roman" w:hAnsi="Times New Roman" w:cs="Times New Roman"/>
                <w:snapToGrid w:val="0"/>
                <w:color w:val="000000" w:themeColor="text1"/>
                <w:kern w:val="21"/>
                <w:lang w:val="en-US" w:eastAsia="zh-CN"/>
              </w:rPr>
              <w:instrText xml:space="preserve"> = 7 \* GB3 \* MERGEFORMAT </w:instrText>
            </w:r>
            <w:r>
              <w:rPr>
                <w:rFonts w:hint="default" w:ascii="Times New Roman" w:hAnsi="Times New Roman" w:cs="Times New Roman"/>
                <w:snapToGrid w:val="0"/>
                <w:color w:val="000000" w:themeColor="text1"/>
                <w:kern w:val="21"/>
                <w:lang w:val="en-US" w:eastAsia="zh-CN"/>
              </w:rPr>
              <w:fldChar w:fldCharType="separate"/>
            </w:r>
            <w:r>
              <w:rPr>
                <w:rFonts w:hint="default" w:ascii="Times New Roman" w:hAnsi="Times New Roman" w:cs="Times New Roman"/>
                <w:color w:val="000000" w:themeColor="text1"/>
                <w:kern w:val="2"/>
                <w:lang w:val="en-US" w:eastAsia="zh-CN"/>
              </w:rPr>
              <w:t>⑦</w:t>
            </w:r>
            <w:r>
              <w:rPr>
                <w:rFonts w:hint="default" w:ascii="Times New Roman" w:hAnsi="Times New Roman" w:cs="Times New Roman"/>
                <w:snapToGrid w:val="0"/>
                <w:color w:val="000000" w:themeColor="text1"/>
                <w:kern w:val="21"/>
                <w:lang w:val="en-US" w:eastAsia="zh-CN"/>
              </w:rPr>
              <w:fldChar w:fldCharType="end"/>
            </w:r>
          </w:p>
        </w:tc>
      </w:tr>
      <w:tr w14:paraId="0508E3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25" w:type="dxa"/>
            <w:vMerge w:val="restart"/>
            <w:vAlign w:val="center"/>
          </w:tcPr>
          <w:p w14:paraId="11AF50DC">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废气</w:t>
            </w:r>
          </w:p>
        </w:tc>
        <w:tc>
          <w:tcPr>
            <w:tcW w:w="742" w:type="dxa"/>
            <w:vMerge w:val="restart"/>
            <w:shd w:val="clear" w:color="auto" w:fill="auto"/>
            <w:vAlign w:val="center"/>
          </w:tcPr>
          <w:p w14:paraId="2CF91E38">
            <w:pPr>
              <w:pStyle w:val="81"/>
              <w:spacing w:beforeLines="0" w:afterLines="0" w:line="240" w:lineRule="auto"/>
              <w:rPr>
                <w:rFonts w:hint="default" w:ascii="Times New Roman" w:hAnsi="Times New Roman" w:eastAsia="宋体" w:cs="Times New Roman"/>
                <w:snapToGrid w:val="0"/>
                <w:color w:val="000000" w:themeColor="text1"/>
                <w:kern w:val="21"/>
                <w:sz w:val="21"/>
                <w:szCs w:val="21"/>
                <w:lang w:val="en-US" w:eastAsia="zh-CN" w:bidi="ar-SA"/>
              </w:rPr>
            </w:pPr>
            <w:r>
              <w:rPr>
                <w:rFonts w:hint="default" w:ascii="Times New Roman" w:hAnsi="Times New Roman" w:cs="Times New Roman"/>
                <w:snapToGrid w:val="0"/>
                <w:color w:val="000000" w:themeColor="text1"/>
                <w:kern w:val="21"/>
                <w:lang w:val="en-US" w:eastAsia="zh-CN"/>
              </w:rPr>
              <w:t>非甲烷总烃</w:t>
            </w:r>
          </w:p>
        </w:tc>
        <w:tc>
          <w:tcPr>
            <w:tcW w:w="743" w:type="dxa"/>
            <w:shd w:val="clear" w:color="auto" w:fill="auto"/>
            <w:vAlign w:val="center"/>
          </w:tcPr>
          <w:p w14:paraId="7E74B287">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eastAsia" w:ascii="Times New Roman" w:cs="Times New Roman"/>
                <w:snapToGrid w:val="0"/>
                <w:color w:val="000000" w:themeColor="text1"/>
                <w:kern w:val="21"/>
                <w:lang w:val="en-US" w:eastAsia="zh-CN"/>
              </w:rPr>
              <w:t>有组织</w:t>
            </w:r>
          </w:p>
        </w:tc>
        <w:tc>
          <w:tcPr>
            <w:tcW w:w="1648" w:type="dxa"/>
            <w:shd w:val="clear" w:color="auto" w:fill="auto"/>
            <w:vAlign w:val="center"/>
          </w:tcPr>
          <w:p w14:paraId="274CB32C">
            <w:pPr>
              <w:pStyle w:val="81"/>
              <w:spacing w:beforeLines="0" w:afterLines="0" w:line="240" w:lineRule="auto"/>
              <w:rPr>
                <w:rFonts w:hint="default" w:ascii="Times New Roman" w:hAnsi="Times New Roman" w:eastAsia="宋体" w:cs="Times New Roman"/>
                <w:snapToGrid w:val="0"/>
                <w:color w:val="000000" w:themeColor="text1"/>
                <w:kern w:val="21"/>
                <w:sz w:val="21"/>
                <w:szCs w:val="21"/>
                <w:lang w:val="en-US" w:eastAsia="zh-CN" w:bidi="ar-SA"/>
              </w:rPr>
            </w:pPr>
            <w:r>
              <w:rPr>
                <w:rFonts w:hint="default" w:ascii="Times New Roman" w:hAnsi="Times New Roman" w:cs="Times New Roman"/>
                <w:snapToGrid w:val="0"/>
                <w:color w:val="000000" w:themeColor="text1"/>
                <w:kern w:val="21"/>
                <w:lang w:val="en-US" w:eastAsia="zh-CN"/>
              </w:rPr>
              <w:t>/</w:t>
            </w:r>
          </w:p>
        </w:tc>
        <w:tc>
          <w:tcPr>
            <w:tcW w:w="1282" w:type="dxa"/>
            <w:shd w:val="clear" w:color="auto" w:fill="auto"/>
            <w:vAlign w:val="center"/>
          </w:tcPr>
          <w:p w14:paraId="292039F2">
            <w:pPr>
              <w:pStyle w:val="81"/>
              <w:spacing w:beforeLines="0" w:afterLines="0" w:line="240" w:lineRule="auto"/>
              <w:rPr>
                <w:rFonts w:hint="default" w:ascii="Times New Roman" w:hAnsi="Times New Roman" w:eastAsia="宋体" w:cs="Times New Roman"/>
                <w:snapToGrid w:val="0"/>
                <w:color w:val="000000" w:themeColor="text1"/>
                <w:kern w:val="21"/>
                <w:sz w:val="21"/>
                <w:szCs w:val="21"/>
                <w:lang w:val="en-US" w:eastAsia="zh-CN" w:bidi="ar-SA"/>
              </w:rPr>
            </w:pPr>
            <w:r>
              <w:rPr>
                <w:rFonts w:hint="default" w:ascii="Times New Roman" w:hAnsi="Times New Roman" w:cs="Times New Roman"/>
                <w:snapToGrid w:val="0"/>
                <w:color w:val="000000" w:themeColor="text1"/>
                <w:kern w:val="21"/>
                <w:lang w:val="en-US" w:eastAsia="zh-CN"/>
              </w:rPr>
              <w:t>/</w:t>
            </w:r>
          </w:p>
        </w:tc>
        <w:tc>
          <w:tcPr>
            <w:tcW w:w="1567" w:type="dxa"/>
            <w:shd w:val="clear" w:color="auto" w:fill="auto"/>
            <w:vAlign w:val="center"/>
          </w:tcPr>
          <w:p w14:paraId="32C1D825">
            <w:pPr>
              <w:pStyle w:val="81"/>
              <w:spacing w:beforeLines="0" w:afterLines="0" w:line="240" w:lineRule="auto"/>
              <w:rPr>
                <w:rFonts w:hint="default" w:ascii="Times New Roman" w:hAnsi="Times New Roman" w:eastAsia="宋体" w:cs="Times New Roman"/>
                <w:snapToGrid w:val="0"/>
                <w:color w:val="000000" w:themeColor="text1"/>
                <w:kern w:val="21"/>
                <w:sz w:val="21"/>
                <w:szCs w:val="21"/>
                <w:lang w:val="en-US" w:eastAsia="zh-CN" w:bidi="ar-SA"/>
              </w:rPr>
            </w:pPr>
            <w:r>
              <w:rPr>
                <w:rFonts w:hint="default" w:ascii="Times New Roman" w:hAnsi="Times New Roman" w:cs="Times New Roman"/>
                <w:snapToGrid w:val="0"/>
                <w:color w:val="000000" w:themeColor="text1"/>
                <w:kern w:val="21"/>
                <w:lang w:val="en-US" w:eastAsia="zh-CN"/>
              </w:rPr>
              <w:t>/</w:t>
            </w:r>
          </w:p>
        </w:tc>
        <w:tc>
          <w:tcPr>
            <w:tcW w:w="1710" w:type="dxa"/>
            <w:shd w:val="clear" w:color="auto" w:fill="auto"/>
            <w:vAlign w:val="center"/>
          </w:tcPr>
          <w:p w14:paraId="356B0F67">
            <w:pPr>
              <w:widowControl w:val="0"/>
              <w:spacing w:after="0"/>
              <w:ind w:left="0" w:leftChars="0"/>
              <w:jc w:val="center"/>
              <w:rPr>
                <w:rFonts w:hint="default" w:ascii="Times New Roman" w:hAnsi="Times New Roman" w:eastAsia="宋体" w:cs="Times New Roman"/>
                <w:color w:val="000000" w:themeColor="text1"/>
                <w:kern w:val="2"/>
                <w:sz w:val="21"/>
                <w:szCs w:val="21"/>
                <w:lang w:val="en-US" w:eastAsia="zh-CN" w:bidi="ar-SA"/>
              </w:rPr>
            </w:pPr>
            <w:r>
              <w:rPr>
                <w:rFonts w:hint="eastAsia" w:ascii="Times New Roman" w:hAnsi="Times New Roman" w:eastAsia="宋体" w:cs="Times New Roman"/>
                <w:color w:val="000000" w:themeColor="text1"/>
                <w:sz w:val="21"/>
                <w:szCs w:val="21"/>
                <w:lang w:val="en-US" w:eastAsia="zh-CN"/>
              </w:rPr>
              <w:t>0.</w:t>
            </w:r>
            <w:r>
              <w:rPr>
                <w:rFonts w:hint="eastAsia" w:cs="Times New Roman"/>
                <w:color w:val="000000" w:themeColor="text1"/>
                <w:sz w:val="21"/>
                <w:szCs w:val="21"/>
                <w:lang w:val="en-US" w:eastAsia="zh-CN"/>
              </w:rPr>
              <w:t>117t/a</w:t>
            </w:r>
          </w:p>
        </w:tc>
        <w:tc>
          <w:tcPr>
            <w:tcW w:w="1425" w:type="dxa"/>
            <w:shd w:val="clear" w:color="auto" w:fill="auto"/>
            <w:vAlign w:val="center"/>
          </w:tcPr>
          <w:p w14:paraId="46B908E3">
            <w:pPr>
              <w:pStyle w:val="81"/>
              <w:spacing w:beforeLines="0" w:afterLines="0" w:line="240" w:lineRule="auto"/>
              <w:rPr>
                <w:rFonts w:hint="default" w:ascii="Times New Roman" w:hAnsi="Times New Roman" w:eastAsia="宋体" w:cs="Times New Roman"/>
                <w:snapToGrid w:val="0"/>
                <w:color w:val="000000" w:themeColor="text1"/>
                <w:kern w:val="21"/>
                <w:sz w:val="21"/>
                <w:szCs w:val="21"/>
                <w:lang w:val="en-US" w:eastAsia="zh-CN" w:bidi="ar-SA"/>
              </w:rPr>
            </w:pPr>
            <w:r>
              <w:rPr>
                <w:rFonts w:hint="default" w:ascii="Times New Roman" w:hAnsi="Times New Roman" w:cs="Times New Roman"/>
                <w:snapToGrid w:val="0"/>
                <w:color w:val="000000" w:themeColor="text1"/>
                <w:kern w:val="21"/>
                <w:lang w:val="en-US" w:eastAsia="zh-CN"/>
              </w:rPr>
              <w:t>/</w:t>
            </w:r>
          </w:p>
        </w:tc>
        <w:tc>
          <w:tcPr>
            <w:tcW w:w="1994" w:type="dxa"/>
            <w:shd w:val="clear" w:color="auto" w:fill="auto"/>
            <w:vAlign w:val="center"/>
          </w:tcPr>
          <w:p w14:paraId="4857556A">
            <w:pPr>
              <w:widowControl w:val="0"/>
              <w:spacing w:after="0"/>
              <w:ind w:left="0" w:leftChars="0"/>
              <w:jc w:val="center"/>
              <w:rPr>
                <w:rFonts w:hint="default" w:ascii="Times New Roman" w:hAnsi="Times New Roman" w:eastAsia="宋体" w:cs="Times New Roman"/>
                <w:color w:val="000000" w:themeColor="text1"/>
                <w:kern w:val="2"/>
                <w:sz w:val="21"/>
                <w:szCs w:val="21"/>
                <w:lang w:val="en-US" w:eastAsia="zh-CN" w:bidi="ar-SA"/>
              </w:rPr>
            </w:pPr>
            <w:r>
              <w:rPr>
                <w:rFonts w:hint="eastAsia" w:ascii="Times New Roman" w:hAnsi="Times New Roman" w:eastAsia="宋体" w:cs="Times New Roman"/>
                <w:color w:val="000000" w:themeColor="text1"/>
                <w:sz w:val="21"/>
                <w:szCs w:val="21"/>
                <w:lang w:val="en-US" w:eastAsia="zh-CN"/>
              </w:rPr>
              <w:t>0.</w:t>
            </w:r>
            <w:r>
              <w:rPr>
                <w:rFonts w:hint="eastAsia" w:cs="Times New Roman"/>
                <w:color w:val="000000" w:themeColor="text1"/>
                <w:sz w:val="21"/>
                <w:szCs w:val="21"/>
                <w:lang w:val="en-US" w:eastAsia="zh-CN"/>
              </w:rPr>
              <w:t>117t/a</w:t>
            </w:r>
          </w:p>
        </w:tc>
        <w:tc>
          <w:tcPr>
            <w:tcW w:w="1720" w:type="dxa"/>
            <w:shd w:val="clear" w:color="auto" w:fill="auto"/>
            <w:vAlign w:val="center"/>
          </w:tcPr>
          <w:p w14:paraId="1F5E285B">
            <w:pPr>
              <w:widowControl w:val="0"/>
              <w:spacing w:after="0"/>
              <w:ind w:left="0" w:leftChars="0"/>
              <w:jc w:val="center"/>
              <w:rPr>
                <w:rFonts w:hint="default" w:ascii="Times New Roman" w:hAnsi="Times New Roman" w:eastAsia="宋体" w:cs="Times New Roman"/>
                <w:color w:val="000000" w:themeColor="text1"/>
                <w:kern w:val="2"/>
                <w:sz w:val="21"/>
                <w:szCs w:val="21"/>
                <w:lang w:val="en-US" w:eastAsia="zh-CN" w:bidi="ar-SA"/>
              </w:rPr>
            </w:pPr>
            <w:r>
              <w:rPr>
                <w:rFonts w:hint="eastAsia" w:ascii="Times New Roman" w:hAnsi="Times New Roman" w:eastAsia="宋体" w:cs="Times New Roman"/>
                <w:color w:val="000000" w:themeColor="text1"/>
                <w:sz w:val="21"/>
                <w:szCs w:val="21"/>
                <w:lang w:val="en-US" w:eastAsia="zh-CN"/>
              </w:rPr>
              <w:t>+0.</w:t>
            </w:r>
            <w:r>
              <w:rPr>
                <w:rFonts w:hint="eastAsia" w:cs="Times New Roman"/>
                <w:color w:val="000000" w:themeColor="text1"/>
                <w:sz w:val="21"/>
                <w:szCs w:val="21"/>
                <w:lang w:val="en-US" w:eastAsia="zh-CN"/>
              </w:rPr>
              <w:t>117t/a</w:t>
            </w:r>
          </w:p>
        </w:tc>
      </w:tr>
      <w:tr w14:paraId="0794EF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25" w:type="dxa"/>
            <w:vMerge w:val="continue"/>
            <w:vAlign w:val="center"/>
          </w:tcPr>
          <w:p w14:paraId="62877EC2">
            <w:pPr>
              <w:pStyle w:val="81"/>
              <w:spacing w:beforeLines="0" w:afterLines="0" w:line="240" w:lineRule="auto"/>
              <w:rPr>
                <w:rFonts w:hint="default" w:ascii="Times New Roman" w:hAnsi="Times New Roman" w:cs="Times New Roman"/>
                <w:snapToGrid w:val="0"/>
                <w:color w:val="000000" w:themeColor="text1"/>
                <w:kern w:val="21"/>
                <w:lang w:val="en-US" w:eastAsia="zh-CN"/>
              </w:rPr>
            </w:pPr>
          </w:p>
        </w:tc>
        <w:tc>
          <w:tcPr>
            <w:tcW w:w="742" w:type="dxa"/>
            <w:vMerge w:val="continue"/>
            <w:shd w:val="clear" w:color="auto" w:fill="auto"/>
            <w:vAlign w:val="center"/>
          </w:tcPr>
          <w:p w14:paraId="564DAB7B">
            <w:pPr>
              <w:pStyle w:val="81"/>
              <w:spacing w:beforeLines="0" w:afterLines="0" w:line="240" w:lineRule="auto"/>
              <w:rPr>
                <w:rFonts w:hint="default" w:ascii="Times New Roman" w:hAnsi="Times New Roman" w:cs="Times New Roman"/>
                <w:snapToGrid w:val="0"/>
                <w:color w:val="000000" w:themeColor="text1"/>
                <w:kern w:val="21"/>
                <w:lang w:val="en-US" w:eastAsia="zh-CN"/>
              </w:rPr>
            </w:pPr>
          </w:p>
        </w:tc>
        <w:tc>
          <w:tcPr>
            <w:tcW w:w="743" w:type="dxa"/>
            <w:shd w:val="clear" w:color="auto" w:fill="auto"/>
            <w:vAlign w:val="center"/>
          </w:tcPr>
          <w:p w14:paraId="50142FB8">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eastAsia" w:ascii="Times New Roman" w:cs="Times New Roman"/>
                <w:snapToGrid w:val="0"/>
                <w:color w:val="000000" w:themeColor="text1"/>
                <w:kern w:val="21"/>
                <w:lang w:val="en-US" w:eastAsia="zh-CN"/>
              </w:rPr>
              <w:t>无组织</w:t>
            </w:r>
          </w:p>
        </w:tc>
        <w:tc>
          <w:tcPr>
            <w:tcW w:w="1648" w:type="dxa"/>
            <w:shd w:val="clear" w:color="auto" w:fill="auto"/>
            <w:vAlign w:val="center"/>
          </w:tcPr>
          <w:p w14:paraId="336D6D75">
            <w:pPr>
              <w:pStyle w:val="81"/>
              <w:spacing w:beforeLines="0" w:afterLines="0" w:line="240" w:lineRule="auto"/>
              <w:rPr>
                <w:rFonts w:hint="default" w:ascii="Times New Roman" w:hAnsi="Times New Roman" w:eastAsia="宋体" w:cs="Times New Roman"/>
                <w:snapToGrid w:val="0"/>
                <w:color w:val="000000" w:themeColor="text1"/>
                <w:kern w:val="21"/>
                <w:sz w:val="21"/>
                <w:szCs w:val="21"/>
                <w:lang w:val="en-US" w:eastAsia="zh-CN" w:bidi="ar-SA"/>
              </w:rPr>
            </w:pPr>
            <w:r>
              <w:rPr>
                <w:rFonts w:hint="eastAsia" w:ascii="Times New Roman" w:cs="Times New Roman"/>
                <w:snapToGrid w:val="0"/>
                <w:color w:val="000000" w:themeColor="text1"/>
                <w:kern w:val="21"/>
                <w:lang w:val="en-US" w:eastAsia="zh-CN"/>
              </w:rPr>
              <w:t>/</w:t>
            </w:r>
          </w:p>
        </w:tc>
        <w:tc>
          <w:tcPr>
            <w:tcW w:w="1282" w:type="dxa"/>
            <w:shd w:val="clear" w:color="auto" w:fill="auto"/>
            <w:vAlign w:val="center"/>
          </w:tcPr>
          <w:p w14:paraId="21E7296B">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eastAsia" w:ascii="Times New Roman" w:cs="Times New Roman"/>
                <w:snapToGrid w:val="0"/>
                <w:color w:val="000000" w:themeColor="text1"/>
                <w:kern w:val="21"/>
                <w:lang w:val="en-US" w:eastAsia="zh-CN"/>
              </w:rPr>
              <w:t>/</w:t>
            </w:r>
          </w:p>
        </w:tc>
        <w:tc>
          <w:tcPr>
            <w:tcW w:w="1567" w:type="dxa"/>
            <w:shd w:val="clear" w:color="auto" w:fill="auto"/>
            <w:vAlign w:val="center"/>
          </w:tcPr>
          <w:p w14:paraId="7E7DF01E">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eastAsia" w:ascii="Times New Roman" w:cs="Times New Roman"/>
                <w:snapToGrid w:val="0"/>
                <w:color w:val="000000" w:themeColor="text1"/>
                <w:kern w:val="21"/>
                <w:lang w:val="en-US" w:eastAsia="zh-CN"/>
              </w:rPr>
              <w:t>/</w:t>
            </w:r>
          </w:p>
        </w:tc>
        <w:tc>
          <w:tcPr>
            <w:tcW w:w="1710" w:type="dxa"/>
            <w:shd w:val="clear" w:color="auto" w:fill="auto"/>
            <w:vAlign w:val="center"/>
          </w:tcPr>
          <w:p w14:paraId="7FD5DC55">
            <w:pPr>
              <w:widowControl w:val="0"/>
              <w:spacing w:after="0"/>
              <w:ind w:left="0" w:leftChars="0"/>
              <w:jc w:val="center"/>
              <w:rPr>
                <w:rFonts w:hint="default" w:ascii="Times New Roman" w:hAnsi="Times New Roman" w:cs="Times New Roman"/>
                <w:color w:val="000000" w:themeColor="text1"/>
              </w:rPr>
            </w:pPr>
            <w:r>
              <w:rPr>
                <w:rFonts w:hint="eastAsia" w:cs="Times New Roman"/>
                <w:color w:val="000000" w:themeColor="text1"/>
                <w:sz w:val="21"/>
                <w:szCs w:val="21"/>
                <w:lang w:val="en-US" w:eastAsia="zh-CN"/>
              </w:rPr>
              <w:t>0.038t/a</w:t>
            </w:r>
          </w:p>
        </w:tc>
        <w:tc>
          <w:tcPr>
            <w:tcW w:w="1425" w:type="dxa"/>
            <w:shd w:val="clear" w:color="auto" w:fill="auto"/>
            <w:vAlign w:val="center"/>
          </w:tcPr>
          <w:p w14:paraId="4B38C2B1">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eastAsia" w:ascii="Times New Roman" w:cs="Times New Roman"/>
                <w:snapToGrid w:val="0"/>
                <w:color w:val="000000" w:themeColor="text1"/>
                <w:kern w:val="21"/>
                <w:lang w:val="en-US" w:eastAsia="zh-CN"/>
              </w:rPr>
              <w:t>/</w:t>
            </w:r>
          </w:p>
        </w:tc>
        <w:tc>
          <w:tcPr>
            <w:tcW w:w="1994" w:type="dxa"/>
            <w:shd w:val="clear" w:color="auto" w:fill="auto"/>
            <w:vAlign w:val="center"/>
          </w:tcPr>
          <w:p w14:paraId="305222AA">
            <w:pPr>
              <w:widowControl w:val="0"/>
              <w:spacing w:after="0"/>
              <w:ind w:left="0" w:leftChars="0"/>
              <w:jc w:val="center"/>
              <w:rPr>
                <w:rFonts w:hint="default" w:ascii="Times New Roman" w:hAnsi="Times New Roman" w:cs="Times New Roman"/>
                <w:color w:val="000000" w:themeColor="text1"/>
              </w:rPr>
            </w:pPr>
            <w:r>
              <w:rPr>
                <w:rFonts w:hint="eastAsia" w:cs="Times New Roman"/>
                <w:color w:val="000000" w:themeColor="text1"/>
                <w:sz w:val="21"/>
                <w:szCs w:val="21"/>
                <w:lang w:val="en-US" w:eastAsia="zh-CN"/>
              </w:rPr>
              <w:t>0.038t/a</w:t>
            </w:r>
          </w:p>
        </w:tc>
        <w:tc>
          <w:tcPr>
            <w:tcW w:w="1720" w:type="dxa"/>
            <w:shd w:val="clear" w:color="auto" w:fill="auto"/>
            <w:vAlign w:val="center"/>
          </w:tcPr>
          <w:p w14:paraId="7652D805">
            <w:pPr>
              <w:widowControl w:val="0"/>
              <w:spacing w:after="0"/>
              <w:ind w:left="0" w:leftChars="0"/>
              <w:jc w:val="center"/>
              <w:rPr>
                <w:rFonts w:hint="default" w:ascii="Times New Roman" w:hAnsi="Times New Roman" w:cs="Times New Roman"/>
                <w:color w:val="000000" w:themeColor="text1"/>
              </w:rPr>
            </w:pPr>
            <w:r>
              <w:rPr>
                <w:rFonts w:hint="eastAsia" w:cs="Times New Roman"/>
                <w:color w:val="000000" w:themeColor="text1"/>
                <w:sz w:val="21"/>
                <w:szCs w:val="21"/>
                <w:lang w:val="en-US" w:eastAsia="zh-CN"/>
              </w:rPr>
              <w:t>+0.038t/a</w:t>
            </w:r>
          </w:p>
        </w:tc>
      </w:tr>
      <w:tr w14:paraId="6DDF87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25" w:type="dxa"/>
            <w:vMerge w:val="continue"/>
            <w:vAlign w:val="center"/>
          </w:tcPr>
          <w:p w14:paraId="27DC8F22">
            <w:pPr>
              <w:pStyle w:val="81"/>
              <w:spacing w:beforeLines="0" w:afterLines="0" w:line="240" w:lineRule="auto"/>
              <w:rPr>
                <w:rFonts w:hint="default" w:ascii="Times New Roman" w:hAnsi="Times New Roman" w:cs="Times New Roman"/>
                <w:snapToGrid w:val="0"/>
                <w:color w:val="000000" w:themeColor="text1"/>
                <w:kern w:val="21"/>
                <w:lang w:val="en-US" w:eastAsia="zh-CN"/>
              </w:rPr>
            </w:pPr>
          </w:p>
        </w:tc>
        <w:tc>
          <w:tcPr>
            <w:tcW w:w="742" w:type="dxa"/>
            <w:shd w:val="clear" w:color="auto" w:fill="auto"/>
            <w:vAlign w:val="center"/>
          </w:tcPr>
          <w:p w14:paraId="36B5ABCE">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eastAsia" w:ascii="Times New Roman" w:cs="Times New Roman"/>
                <w:snapToGrid w:val="0"/>
                <w:color w:val="000000" w:themeColor="text1"/>
                <w:kern w:val="21"/>
                <w:lang w:val="en-US" w:eastAsia="zh-CN"/>
              </w:rPr>
              <w:t>颗粒物</w:t>
            </w:r>
          </w:p>
        </w:tc>
        <w:tc>
          <w:tcPr>
            <w:tcW w:w="743" w:type="dxa"/>
            <w:shd w:val="clear" w:color="auto" w:fill="auto"/>
            <w:vAlign w:val="center"/>
          </w:tcPr>
          <w:p w14:paraId="0CC625D6">
            <w:pPr>
              <w:pStyle w:val="81"/>
              <w:spacing w:beforeLines="0" w:afterLines="0" w:line="240" w:lineRule="auto"/>
              <w:rPr>
                <w:rFonts w:hint="default" w:ascii="Times New Roman" w:hAnsi="Times New Roman" w:eastAsia="宋体" w:cs="Times New Roman"/>
                <w:snapToGrid w:val="0"/>
                <w:color w:val="000000" w:themeColor="text1"/>
                <w:kern w:val="21"/>
                <w:sz w:val="21"/>
                <w:szCs w:val="21"/>
                <w:lang w:val="en-US" w:eastAsia="zh-CN" w:bidi="ar-SA"/>
              </w:rPr>
            </w:pPr>
            <w:r>
              <w:rPr>
                <w:rFonts w:hint="eastAsia" w:ascii="Times New Roman" w:cs="Times New Roman"/>
                <w:snapToGrid w:val="0"/>
                <w:color w:val="000000" w:themeColor="text1"/>
                <w:kern w:val="21"/>
                <w:lang w:val="en-US" w:eastAsia="zh-CN"/>
              </w:rPr>
              <w:t>无组织</w:t>
            </w:r>
          </w:p>
        </w:tc>
        <w:tc>
          <w:tcPr>
            <w:tcW w:w="1648" w:type="dxa"/>
            <w:shd w:val="clear" w:color="auto" w:fill="auto"/>
            <w:vAlign w:val="center"/>
          </w:tcPr>
          <w:p w14:paraId="00DCE2DD">
            <w:pPr>
              <w:pStyle w:val="81"/>
              <w:spacing w:beforeLines="0" w:afterLines="0" w:line="240" w:lineRule="auto"/>
              <w:rPr>
                <w:rFonts w:hint="default" w:ascii="Times New Roman" w:hAnsi="Times New Roman" w:eastAsia="宋体" w:cs="Times New Roman"/>
                <w:snapToGrid w:val="0"/>
                <w:color w:val="000000" w:themeColor="text1"/>
                <w:kern w:val="21"/>
                <w:sz w:val="21"/>
                <w:szCs w:val="21"/>
                <w:lang w:val="en-US" w:eastAsia="zh-CN" w:bidi="ar-SA"/>
              </w:rPr>
            </w:pPr>
            <w:r>
              <w:rPr>
                <w:rFonts w:hint="eastAsia" w:ascii="Times New Roman" w:cs="Times New Roman"/>
                <w:snapToGrid w:val="0"/>
                <w:color w:val="000000" w:themeColor="text1"/>
                <w:kern w:val="21"/>
                <w:lang w:val="en-US" w:eastAsia="zh-CN"/>
              </w:rPr>
              <w:t>/</w:t>
            </w:r>
          </w:p>
        </w:tc>
        <w:tc>
          <w:tcPr>
            <w:tcW w:w="1282" w:type="dxa"/>
            <w:shd w:val="clear" w:color="auto" w:fill="auto"/>
            <w:vAlign w:val="center"/>
          </w:tcPr>
          <w:p w14:paraId="3263D289">
            <w:pPr>
              <w:pStyle w:val="81"/>
              <w:spacing w:beforeLines="0" w:afterLines="0" w:line="240" w:lineRule="auto"/>
              <w:rPr>
                <w:rFonts w:hint="default" w:ascii="Times New Roman" w:hAnsi="Times New Roman" w:eastAsia="宋体" w:cs="Times New Roman"/>
                <w:snapToGrid w:val="0"/>
                <w:color w:val="000000" w:themeColor="text1"/>
                <w:kern w:val="21"/>
                <w:sz w:val="21"/>
                <w:szCs w:val="21"/>
                <w:lang w:val="en-US" w:eastAsia="zh-CN" w:bidi="ar-SA"/>
              </w:rPr>
            </w:pPr>
            <w:r>
              <w:rPr>
                <w:rFonts w:hint="eastAsia" w:ascii="Times New Roman" w:cs="Times New Roman"/>
                <w:snapToGrid w:val="0"/>
                <w:color w:val="000000" w:themeColor="text1"/>
                <w:kern w:val="21"/>
                <w:lang w:val="en-US" w:eastAsia="zh-CN"/>
              </w:rPr>
              <w:t>/</w:t>
            </w:r>
          </w:p>
        </w:tc>
        <w:tc>
          <w:tcPr>
            <w:tcW w:w="1567" w:type="dxa"/>
            <w:shd w:val="clear" w:color="auto" w:fill="auto"/>
            <w:vAlign w:val="center"/>
          </w:tcPr>
          <w:p w14:paraId="3068C670">
            <w:pPr>
              <w:pStyle w:val="81"/>
              <w:spacing w:beforeLines="0" w:afterLines="0" w:line="240" w:lineRule="auto"/>
              <w:rPr>
                <w:rFonts w:hint="default" w:ascii="Times New Roman" w:hAnsi="Times New Roman" w:eastAsia="宋体" w:cs="Times New Roman"/>
                <w:snapToGrid w:val="0"/>
                <w:color w:val="000000" w:themeColor="text1"/>
                <w:kern w:val="21"/>
                <w:sz w:val="21"/>
                <w:szCs w:val="21"/>
                <w:lang w:val="en-US" w:eastAsia="zh-CN" w:bidi="ar-SA"/>
              </w:rPr>
            </w:pPr>
            <w:r>
              <w:rPr>
                <w:rFonts w:hint="eastAsia" w:ascii="Times New Roman" w:cs="Times New Roman"/>
                <w:snapToGrid w:val="0"/>
                <w:color w:val="000000" w:themeColor="text1"/>
                <w:kern w:val="21"/>
                <w:lang w:val="en-US" w:eastAsia="zh-CN"/>
              </w:rPr>
              <w:t>/</w:t>
            </w:r>
          </w:p>
        </w:tc>
        <w:tc>
          <w:tcPr>
            <w:tcW w:w="1710" w:type="dxa"/>
            <w:shd w:val="clear" w:color="auto" w:fill="auto"/>
            <w:vAlign w:val="center"/>
          </w:tcPr>
          <w:p w14:paraId="13EAF7BA">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lang w:val="en-US" w:eastAsia="zh-CN" w:bidi="ar-SA"/>
              </w:rPr>
            </w:pPr>
            <w:r>
              <w:rPr>
                <w:rFonts w:hint="eastAsia" w:ascii="Times New Roman" w:hAnsi="Times New Roman" w:eastAsia="宋体" w:cs="Times New Roman"/>
                <w:color w:val="000000" w:themeColor="text1"/>
                <w:sz w:val="21"/>
                <w:szCs w:val="21"/>
                <w:lang w:val="en-US" w:eastAsia="zh-CN"/>
              </w:rPr>
              <w:t>0</w:t>
            </w:r>
            <w:r>
              <w:rPr>
                <w:rFonts w:hint="eastAsia" w:cs="Times New Roman"/>
                <w:color w:val="000000" w:themeColor="text1"/>
                <w:sz w:val="21"/>
                <w:szCs w:val="21"/>
                <w:lang w:val="en-US" w:eastAsia="zh-CN"/>
              </w:rPr>
              <w:t>.00012t/a</w:t>
            </w:r>
          </w:p>
        </w:tc>
        <w:tc>
          <w:tcPr>
            <w:tcW w:w="1425" w:type="dxa"/>
            <w:shd w:val="clear" w:color="auto" w:fill="auto"/>
            <w:vAlign w:val="center"/>
          </w:tcPr>
          <w:p w14:paraId="5403FDE2">
            <w:pPr>
              <w:pStyle w:val="81"/>
              <w:spacing w:beforeLines="0" w:afterLines="0" w:line="240" w:lineRule="auto"/>
              <w:rPr>
                <w:rFonts w:hint="default" w:ascii="Times New Roman" w:hAnsi="Times New Roman" w:eastAsia="宋体" w:cs="Times New Roman"/>
                <w:snapToGrid w:val="0"/>
                <w:color w:val="000000" w:themeColor="text1"/>
                <w:kern w:val="21"/>
                <w:sz w:val="21"/>
                <w:szCs w:val="21"/>
                <w:lang w:val="en-US" w:eastAsia="zh-CN" w:bidi="ar-SA"/>
              </w:rPr>
            </w:pPr>
            <w:r>
              <w:rPr>
                <w:rFonts w:hint="eastAsia" w:ascii="Times New Roman" w:cs="Times New Roman"/>
                <w:snapToGrid w:val="0"/>
                <w:color w:val="000000" w:themeColor="text1"/>
                <w:kern w:val="21"/>
                <w:lang w:val="en-US" w:eastAsia="zh-CN"/>
              </w:rPr>
              <w:t>/</w:t>
            </w:r>
          </w:p>
        </w:tc>
        <w:tc>
          <w:tcPr>
            <w:tcW w:w="1994" w:type="dxa"/>
            <w:shd w:val="clear" w:color="auto" w:fill="auto"/>
            <w:vAlign w:val="center"/>
          </w:tcPr>
          <w:p w14:paraId="49B11D32">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lang w:val="en-US" w:eastAsia="zh-CN" w:bidi="ar-SA"/>
              </w:rPr>
            </w:pPr>
            <w:r>
              <w:rPr>
                <w:rFonts w:hint="eastAsia" w:ascii="Times New Roman" w:hAnsi="Times New Roman" w:eastAsia="宋体" w:cs="Times New Roman"/>
                <w:color w:val="000000" w:themeColor="text1"/>
                <w:sz w:val="21"/>
                <w:szCs w:val="21"/>
                <w:lang w:val="en-US" w:eastAsia="zh-CN"/>
              </w:rPr>
              <w:t>0</w:t>
            </w:r>
            <w:r>
              <w:rPr>
                <w:rFonts w:hint="eastAsia" w:cs="Times New Roman"/>
                <w:color w:val="000000" w:themeColor="text1"/>
                <w:sz w:val="21"/>
                <w:szCs w:val="21"/>
                <w:lang w:val="en-US" w:eastAsia="zh-CN"/>
              </w:rPr>
              <w:t>.00012t/a</w:t>
            </w:r>
          </w:p>
        </w:tc>
        <w:tc>
          <w:tcPr>
            <w:tcW w:w="1720" w:type="dxa"/>
            <w:shd w:val="clear" w:color="auto" w:fill="auto"/>
            <w:vAlign w:val="center"/>
          </w:tcPr>
          <w:p w14:paraId="24EE542D">
            <w:pPr>
              <w:keepNext w:val="0"/>
              <w:keepLines w:val="0"/>
              <w:pageBreakBefore w:val="0"/>
              <w:widowControl w:val="0"/>
              <w:tabs>
                <w:tab w:val="left" w:pos="9160"/>
              </w:tabs>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lang w:val="en-US" w:eastAsia="zh-CN" w:bidi="ar-SA"/>
              </w:rPr>
            </w:pPr>
            <w:r>
              <w:rPr>
                <w:rFonts w:hint="eastAsia" w:ascii="Times New Roman" w:hAnsi="Times New Roman" w:eastAsia="宋体" w:cs="Times New Roman"/>
                <w:color w:val="000000" w:themeColor="text1"/>
                <w:sz w:val="21"/>
                <w:szCs w:val="21"/>
                <w:lang w:val="en-US" w:eastAsia="zh-CN"/>
              </w:rPr>
              <w:t>+0</w:t>
            </w:r>
            <w:r>
              <w:rPr>
                <w:rFonts w:hint="eastAsia" w:cs="Times New Roman"/>
                <w:color w:val="000000" w:themeColor="text1"/>
                <w:sz w:val="21"/>
                <w:szCs w:val="21"/>
                <w:lang w:val="en-US" w:eastAsia="zh-CN"/>
              </w:rPr>
              <w:t>.00012t/a</w:t>
            </w:r>
          </w:p>
        </w:tc>
      </w:tr>
      <w:tr w14:paraId="7F7DCC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25" w:type="dxa"/>
            <w:vMerge w:val="restart"/>
            <w:vAlign w:val="center"/>
          </w:tcPr>
          <w:p w14:paraId="34E93576">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废水</w:t>
            </w:r>
          </w:p>
        </w:tc>
        <w:tc>
          <w:tcPr>
            <w:tcW w:w="1485" w:type="dxa"/>
            <w:gridSpan w:val="2"/>
            <w:vAlign w:val="center"/>
          </w:tcPr>
          <w:p w14:paraId="5DBD1AD7">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eastAsia" w:ascii="Times New Roman" w:cs="Times New Roman"/>
                <w:snapToGrid w:val="0"/>
                <w:color w:val="000000" w:themeColor="text1"/>
                <w:kern w:val="21"/>
                <w:lang w:val="en-US" w:eastAsia="zh-CN"/>
              </w:rPr>
              <w:t>废水总量</w:t>
            </w:r>
          </w:p>
        </w:tc>
        <w:tc>
          <w:tcPr>
            <w:tcW w:w="1648" w:type="dxa"/>
            <w:shd w:val="clear" w:color="auto" w:fill="auto"/>
            <w:vAlign w:val="center"/>
          </w:tcPr>
          <w:p w14:paraId="3BFD6996">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w:t>
            </w:r>
          </w:p>
        </w:tc>
        <w:tc>
          <w:tcPr>
            <w:tcW w:w="1282" w:type="dxa"/>
            <w:shd w:val="clear" w:color="auto" w:fill="auto"/>
            <w:vAlign w:val="center"/>
          </w:tcPr>
          <w:p w14:paraId="613CB968">
            <w:pPr>
              <w:pStyle w:val="81"/>
              <w:spacing w:beforeLines="0" w:afterLines="0" w:line="240" w:lineRule="auto"/>
              <w:rPr>
                <w:rFonts w:hint="default" w:ascii="Times New Roman" w:hAnsi="Times New Roman" w:eastAsia="宋体" w:cs="Times New Roman"/>
                <w:snapToGrid w:val="0"/>
                <w:color w:val="000000" w:themeColor="text1"/>
                <w:kern w:val="21"/>
                <w:sz w:val="21"/>
                <w:szCs w:val="21"/>
                <w:lang w:val="en-US" w:eastAsia="zh-CN" w:bidi="ar-SA"/>
              </w:rPr>
            </w:pPr>
            <w:r>
              <w:rPr>
                <w:rFonts w:hint="eastAsia" w:ascii="Times New Roman" w:cs="Times New Roman"/>
                <w:snapToGrid w:val="0"/>
                <w:color w:val="000000" w:themeColor="text1"/>
                <w:kern w:val="21"/>
                <w:lang w:val="en-US" w:eastAsia="zh-CN"/>
              </w:rPr>
              <w:t>/</w:t>
            </w:r>
          </w:p>
        </w:tc>
        <w:tc>
          <w:tcPr>
            <w:tcW w:w="1567" w:type="dxa"/>
            <w:vAlign w:val="center"/>
          </w:tcPr>
          <w:p w14:paraId="7B418A55">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eastAsia" w:ascii="Times New Roman" w:cs="Times New Roman"/>
                <w:snapToGrid w:val="0"/>
                <w:color w:val="000000" w:themeColor="text1"/>
                <w:kern w:val="21"/>
                <w:lang w:val="en-US" w:eastAsia="zh-CN"/>
              </w:rPr>
              <w:t>/</w:t>
            </w:r>
          </w:p>
        </w:tc>
        <w:tc>
          <w:tcPr>
            <w:tcW w:w="1710" w:type="dxa"/>
            <w:vAlign w:val="center"/>
          </w:tcPr>
          <w:p w14:paraId="0BF2E940">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eastAsia" w:ascii="Times New Roman" w:cs="Times New Roman"/>
                <w:snapToGrid w:val="0"/>
                <w:color w:val="000000" w:themeColor="text1"/>
                <w:kern w:val="21"/>
                <w:lang w:val="en-US" w:eastAsia="zh-CN"/>
              </w:rPr>
              <w:t>352t/a</w:t>
            </w:r>
          </w:p>
        </w:tc>
        <w:tc>
          <w:tcPr>
            <w:tcW w:w="1425" w:type="dxa"/>
            <w:shd w:val="clear" w:color="auto" w:fill="auto"/>
            <w:vAlign w:val="center"/>
          </w:tcPr>
          <w:p w14:paraId="453AC5D1">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eastAsia" w:ascii="Times New Roman" w:cs="Times New Roman"/>
                <w:snapToGrid w:val="0"/>
                <w:color w:val="000000" w:themeColor="text1"/>
                <w:kern w:val="21"/>
                <w:lang w:val="en-US" w:eastAsia="zh-CN"/>
              </w:rPr>
              <w:t>/</w:t>
            </w:r>
          </w:p>
        </w:tc>
        <w:tc>
          <w:tcPr>
            <w:tcW w:w="1994" w:type="dxa"/>
            <w:shd w:val="clear" w:color="auto" w:fill="auto"/>
            <w:vAlign w:val="center"/>
          </w:tcPr>
          <w:p w14:paraId="03747937">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eastAsia" w:ascii="Times New Roman" w:cs="Times New Roman"/>
                <w:snapToGrid w:val="0"/>
                <w:color w:val="000000" w:themeColor="text1"/>
                <w:kern w:val="21"/>
                <w:lang w:val="en-US" w:eastAsia="zh-CN"/>
              </w:rPr>
              <w:t>352t/a</w:t>
            </w:r>
          </w:p>
        </w:tc>
        <w:tc>
          <w:tcPr>
            <w:tcW w:w="1720" w:type="dxa"/>
            <w:shd w:val="clear" w:color="auto" w:fill="auto"/>
            <w:vAlign w:val="center"/>
          </w:tcPr>
          <w:p w14:paraId="3B0F1198">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eastAsia" w:ascii="Times New Roman" w:cs="Times New Roman"/>
                <w:snapToGrid w:val="0"/>
                <w:color w:val="000000" w:themeColor="text1"/>
                <w:kern w:val="21"/>
                <w:lang w:val="en-US" w:eastAsia="zh-CN"/>
              </w:rPr>
              <w:t>+352t/a</w:t>
            </w:r>
          </w:p>
        </w:tc>
      </w:tr>
      <w:tr w14:paraId="7DC125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25" w:type="dxa"/>
            <w:vMerge w:val="continue"/>
            <w:vAlign w:val="center"/>
          </w:tcPr>
          <w:p w14:paraId="305D66D2">
            <w:pPr>
              <w:pStyle w:val="81"/>
              <w:spacing w:beforeLines="0" w:afterLines="0" w:line="240" w:lineRule="auto"/>
              <w:rPr>
                <w:rFonts w:hint="default" w:ascii="Times New Roman" w:hAnsi="Times New Roman" w:cs="Times New Roman"/>
                <w:snapToGrid w:val="0"/>
                <w:color w:val="000000" w:themeColor="text1"/>
                <w:kern w:val="21"/>
                <w:lang w:val="en-US" w:eastAsia="zh-CN"/>
              </w:rPr>
            </w:pPr>
          </w:p>
        </w:tc>
        <w:tc>
          <w:tcPr>
            <w:tcW w:w="1485" w:type="dxa"/>
            <w:gridSpan w:val="2"/>
            <w:shd w:val="clear" w:color="auto" w:fill="auto"/>
            <w:vAlign w:val="center"/>
          </w:tcPr>
          <w:p w14:paraId="005521FC">
            <w:pPr>
              <w:pStyle w:val="81"/>
              <w:spacing w:beforeLines="0" w:afterLines="0" w:line="240" w:lineRule="auto"/>
              <w:rPr>
                <w:rFonts w:hint="default" w:ascii="Times New Roman" w:hAnsi="Times New Roman" w:eastAsia="宋体" w:cs="Times New Roman"/>
                <w:snapToGrid w:val="0"/>
                <w:color w:val="000000" w:themeColor="text1"/>
                <w:kern w:val="21"/>
                <w:sz w:val="21"/>
                <w:szCs w:val="21"/>
                <w:lang w:val="en-US" w:eastAsia="zh-CN" w:bidi="ar-SA"/>
              </w:rPr>
            </w:pPr>
            <w:r>
              <w:rPr>
                <w:rFonts w:hint="default" w:ascii="Times New Roman" w:hAnsi="Times New Roman" w:cs="Times New Roman"/>
                <w:snapToGrid w:val="0"/>
                <w:color w:val="000000" w:themeColor="text1"/>
                <w:kern w:val="21"/>
                <w:lang w:val="en-US" w:eastAsia="zh-CN"/>
              </w:rPr>
              <w:t>COD</w:t>
            </w:r>
          </w:p>
        </w:tc>
        <w:tc>
          <w:tcPr>
            <w:tcW w:w="1648" w:type="dxa"/>
            <w:shd w:val="clear" w:color="auto" w:fill="auto"/>
            <w:vAlign w:val="center"/>
          </w:tcPr>
          <w:p w14:paraId="1233E1AA">
            <w:pPr>
              <w:pStyle w:val="81"/>
              <w:spacing w:beforeLines="0" w:afterLines="0" w:line="240" w:lineRule="auto"/>
              <w:rPr>
                <w:rFonts w:hint="default" w:ascii="Times New Roman" w:hAnsi="Times New Roman" w:eastAsia="宋体" w:cs="Times New Roman"/>
                <w:snapToGrid w:val="0"/>
                <w:color w:val="000000" w:themeColor="text1"/>
                <w:kern w:val="21"/>
                <w:sz w:val="21"/>
                <w:szCs w:val="21"/>
                <w:lang w:val="en-US" w:eastAsia="zh-CN" w:bidi="ar-SA"/>
              </w:rPr>
            </w:pPr>
            <w:r>
              <w:rPr>
                <w:rFonts w:hint="eastAsia" w:ascii="Times New Roman" w:cs="Times New Roman"/>
                <w:snapToGrid w:val="0"/>
                <w:color w:val="000000" w:themeColor="text1"/>
                <w:kern w:val="21"/>
                <w:lang w:val="en-US" w:eastAsia="zh-CN"/>
              </w:rPr>
              <w:t>/</w:t>
            </w:r>
          </w:p>
        </w:tc>
        <w:tc>
          <w:tcPr>
            <w:tcW w:w="1282" w:type="dxa"/>
            <w:shd w:val="clear" w:color="auto" w:fill="auto"/>
            <w:vAlign w:val="center"/>
          </w:tcPr>
          <w:p w14:paraId="0224B01D">
            <w:pPr>
              <w:pStyle w:val="81"/>
              <w:spacing w:beforeLines="0" w:afterLines="0" w:line="240" w:lineRule="auto"/>
              <w:rPr>
                <w:rFonts w:hint="default" w:ascii="Times New Roman" w:hAnsi="Times New Roman" w:eastAsia="宋体" w:cs="Times New Roman"/>
                <w:snapToGrid w:val="0"/>
                <w:color w:val="000000" w:themeColor="text1"/>
                <w:kern w:val="21"/>
                <w:sz w:val="21"/>
                <w:szCs w:val="21"/>
                <w:lang w:val="en-US" w:eastAsia="zh-CN" w:bidi="ar-SA"/>
              </w:rPr>
            </w:pPr>
            <w:r>
              <w:rPr>
                <w:rFonts w:hint="default" w:ascii="Times New Roman" w:hAnsi="Times New Roman" w:cs="Times New Roman"/>
                <w:snapToGrid w:val="0"/>
                <w:color w:val="000000" w:themeColor="text1"/>
                <w:kern w:val="21"/>
                <w:lang w:val="en-US" w:eastAsia="zh-CN"/>
              </w:rPr>
              <w:t>/</w:t>
            </w:r>
          </w:p>
        </w:tc>
        <w:tc>
          <w:tcPr>
            <w:tcW w:w="1567" w:type="dxa"/>
            <w:shd w:val="clear" w:color="auto" w:fill="auto"/>
            <w:vAlign w:val="center"/>
          </w:tcPr>
          <w:p w14:paraId="63E1801E">
            <w:pPr>
              <w:pStyle w:val="81"/>
              <w:spacing w:beforeLines="0" w:afterLines="0" w:line="240" w:lineRule="auto"/>
              <w:rPr>
                <w:rFonts w:hint="default" w:ascii="Times New Roman" w:hAnsi="Times New Roman" w:eastAsia="宋体" w:cs="Times New Roman"/>
                <w:snapToGrid w:val="0"/>
                <w:color w:val="000000" w:themeColor="text1"/>
                <w:kern w:val="21"/>
                <w:sz w:val="21"/>
                <w:szCs w:val="21"/>
                <w:lang w:val="en-US" w:eastAsia="zh-CN" w:bidi="ar-SA"/>
              </w:rPr>
            </w:pPr>
            <w:r>
              <w:rPr>
                <w:rFonts w:hint="default" w:ascii="Times New Roman" w:hAnsi="Times New Roman" w:cs="Times New Roman"/>
                <w:snapToGrid w:val="0"/>
                <w:color w:val="000000" w:themeColor="text1"/>
                <w:kern w:val="21"/>
                <w:lang w:val="en-US" w:eastAsia="zh-CN"/>
              </w:rPr>
              <w:t>/</w:t>
            </w:r>
          </w:p>
        </w:tc>
        <w:tc>
          <w:tcPr>
            <w:tcW w:w="1710" w:type="dxa"/>
            <w:shd w:val="clear" w:color="auto" w:fill="auto"/>
            <w:vAlign w:val="center"/>
          </w:tcPr>
          <w:p w14:paraId="4E440565">
            <w:pPr>
              <w:spacing w:line="240" w:lineRule="auto"/>
              <w:jc w:val="center"/>
              <w:rPr>
                <w:rFonts w:hint="default" w:ascii="Times New Roman" w:hAnsi="Times New Roman" w:eastAsia="宋体" w:cs="Times New Roman"/>
                <w:snapToGrid w:val="0"/>
                <w:color w:val="000000" w:themeColor="text1"/>
                <w:kern w:val="21"/>
                <w:sz w:val="21"/>
                <w:szCs w:val="21"/>
                <w:lang w:val="en-US" w:eastAsia="zh-CN" w:bidi="ar-SA"/>
              </w:rPr>
            </w:pPr>
            <w:r>
              <w:rPr>
                <w:rFonts w:hint="eastAsia" w:ascii="Times New Roman" w:hAnsi="Times New Roman" w:eastAsia="宋体" w:cs="Times New Roman"/>
                <w:color w:val="000000" w:themeColor="text1"/>
                <w:sz w:val="21"/>
                <w:szCs w:val="21"/>
                <w:lang w:val="en-US" w:eastAsia="zh-CN"/>
              </w:rPr>
              <w:t>0.0</w:t>
            </w:r>
            <w:r>
              <w:rPr>
                <w:rFonts w:hint="eastAsia" w:cs="Times New Roman"/>
                <w:color w:val="000000" w:themeColor="text1"/>
                <w:sz w:val="21"/>
                <w:szCs w:val="21"/>
                <w:lang w:val="en-US" w:eastAsia="zh-CN"/>
              </w:rPr>
              <w:t>18t/a</w:t>
            </w:r>
          </w:p>
        </w:tc>
        <w:tc>
          <w:tcPr>
            <w:tcW w:w="1425" w:type="dxa"/>
            <w:shd w:val="clear" w:color="auto" w:fill="auto"/>
            <w:vAlign w:val="center"/>
          </w:tcPr>
          <w:p w14:paraId="3B6AEAB4">
            <w:pPr>
              <w:pStyle w:val="81"/>
              <w:spacing w:beforeLines="0" w:afterLines="0" w:line="240" w:lineRule="auto"/>
              <w:rPr>
                <w:rFonts w:hint="default" w:ascii="Times New Roman" w:hAnsi="Times New Roman" w:eastAsia="宋体" w:cs="Times New Roman"/>
                <w:snapToGrid w:val="0"/>
                <w:color w:val="000000" w:themeColor="text1"/>
                <w:kern w:val="21"/>
                <w:sz w:val="21"/>
                <w:szCs w:val="21"/>
                <w:lang w:val="en-US" w:eastAsia="zh-CN" w:bidi="ar-SA"/>
              </w:rPr>
            </w:pPr>
            <w:r>
              <w:rPr>
                <w:rFonts w:hint="default" w:ascii="Times New Roman" w:hAnsi="Times New Roman" w:cs="Times New Roman"/>
                <w:snapToGrid w:val="0"/>
                <w:color w:val="000000" w:themeColor="text1"/>
                <w:kern w:val="21"/>
                <w:lang w:val="en-US" w:eastAsia="zh-CN"/>
              </w:rPr>
              <w:t>/</w:t>
            </w:r>
          </w:p>
        </w:tc>
        <w:tc>
          <w:tcPr>
            <w:tcW w:w="1994" w:type="dxa"/>
            <w:shd w:val="clear" w:color="auto" w:fill="auto"/>
            <w:vAlign w:val="center"/>
          </w:tcPr>
          <w:p w14:paraId="0A1BCAD1">
            <w:pPr>
              <w:spacing w:line="240" w:lineRule="auto"/>
              <w:jc w:val="center"/>
              <w:rPr>
                <w:rFonts w:hint="default" w:ascii="Times New Roman" w:hAnsi="Times New Roman" w:eastAsia="宋体" w:cs="Times New Roman"/>
                <w:snapToGrid w:val="0"/>
                <w:color w:val="000000" w:themeColor="text1"/>
                <w:kern w:val="21"/>
                <w:sz w:val="21"/>
                <w:szCs w:val="21"/>
                <w:lang w:val="en-US" w:eastAsia="zh-CN" w:bidi="ar-SA"/>
              </w:rPr>
            </w:pPr>
            <w:r>
              <w:rPr>
                <w:rFonts w:hint="eastAsia" w:ascii="Times New Roman" w:hAnsi="Times New Roman" w:eastAsia="宋体" w:cs="Times New Roman"/>
                <w:color w:val="000000" w:themeColor="text1"/>
                <w:sz w:val="21"/>
                <w:szCs w:val="21"/>
                <w:lang w:val="en-US" w:eastAsia="zh-CN"/>
              </w:rPr>
              <w:t>0.0</w:t>
            </w:r>
            <w:r>
              <w:rPr>
                <w:rFonts w:hint="eastAsia" w:cs="Times New Roman"/>
                <w:color w:val="000000" w:themeColor="text1"/>
                <w:sz w:val="21"/>
                <w:szCs w:val="21"/>
                <w:lang w:val="en-US" w:eastAsia="zh-CN"/>
              </w:rPr>
              <w:t>18t/a</w:t>
            </w:r>
          </w:p>
        </w:tc>
        <w:tc>
          <w:tcPr>
            <w:tcW w:w="1720" w:type="dxa"/>
            <w:shd w:val="clear" w:color="auto" w:fill="auto"/>
            <w:vAlign w:val="center"/>
          </w:tcPr>
          <w:p w14:paraId="4AF1C77C">
            <w:pPr>
              <w:spacing w:line="240" w:lineRule="auto"/>
              <w:jc w:val="center"/>
              <w:rPr>
                <w:rFonts w:hint="default" w:ascii="Times New Roman" w:hAnsi="Times New Roman" w:eastAsia="宋体" w:cs="Times New Roman"/>
                <w:snapToGrid w:val="0"/>
                <w:color w:val="000000" w:themeColor="text1"/>
                <w:kern w:val="21"/>
                <w:sz w:val="21"/>
                <w:szCs w:val="21"/>
                <w:lang w:val="en-US" w:eastAsia="zh-CN" w:bidi="ar-SA"/>
              </w:rPr>
            </w:pPr>
            <w:r>
              <w:rPr>
                <w:rFonts w:hint="eastAsia" w:ascii="Times New Roman" w:hAnsi="Times New Roman" w:eastAsia="宋体" w:cs="Times New Roman"/>
                <w:color w:val="000000" w:themeColor="text1"/>
                <w:sz w:val="21"/>
                <w:szCs w:val="21"/>
                <w:lang w:val="en-US" w:eastAsia="zh-CN"/>
              </w:rPr>
              <w:t>+0.0</w:t>
            </w:r>
            <w:r>
              <w:rPr>
                <w:rFonts w:hint="eastAsia" w:cs="Times New Roman"/>
                <w:color w:val="000000" w:themeColor="text1"/>
                <w:sz w:val="21"/>
                <w:szCs w:val="21"/>
                <w:lang w:val="en-US" w:eastAsia="zh-CN"/>
              </w:rPr>
              <w:t>18t/a</w:t>
            </w:r>
          </w:p>
        </w:tc>
      </w:tr>
      <w:tr w14:paraId="07BB6B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25" w:type="dxa"/>
            <w:vMerge w:val="continue"/>
            <w:vAlign w:val="center"/>
          </w:tcPr>
          <w:p w14:paraId="5B7AF253">
            <w:pPr>
              <w:pStyle w:val="81"/>
              <w:spacing w:beforeLines="0" w:afterLines="0" w:line="240" w:lineRule="auto"/>
              <w:rPr>
                <w:rFonts w:hint="default" w:ascii="Times New Roman" w:hAnsi="Times New Roman" w:cs="Times New Roman"/>
                <w:snapToGrid w:val="0"/>
                <w:color w:val="000000" w:themeColor="text1"/>
                <w:kern w:val="21"/>
                <w:lang w:val="en-US" w:eastAsia="zh-CN"/>
              </w:rPr>
            </w:pPr>
          </w:p>
        </w:tc>
        <w:tc>
          <w:tcPr>
            <w:tcW w:w="1485" w:type="dxa"/>
            <w:gridSpan w:val="2"/>
            <w:vAlign w:val="center"/>
          </w:tcPr>
          <w:p w14:paraId="78805527">
            <w:pPr>
              <w:widowControl/>
              <w:adjustRightInd w:val="0"/>
              <w:jc w:val="center"/>
              <w:textAlignment w:val="baseline"/>
              <w:rPr>
                <w:rFonts w:hint="default" w:ascii="Times New Roman" w:hAnsi="Times New Roman" w:cs="Times New Roman"/>
                <w:snapToGrid w:val="0"/>
                <w:color w:val="000000" w:themeColor="text1"/>
                <w:kern w:val="21"/>
                <w:lang w:val="en-US" w:eastAsia="zh-CN"/>
              </w:rPr>
            </w:pPr>
            <w:r>
              <w:rPr>
                <w:rFonts w:hint="default" w:ascii="Times New Roman" w:hAnsi="Times New Roman" w:eastAsia="宋体" w:cs="Times New Roman"/>
                <w:color w:val="000000" w:themeColor="text1"/>
                <w:sz w:val="21"/>
                <w:szCs w:val="21"/>
              </w:rPr>
              <w:t>BOD</w:t>
            </w:r>
            <w:r>
              <w:rPr>
                <w:rFonts w:hint="default" w:ascii="Times New Roman" w:hAnsi="Times New Roman" w:eastAsia="宋体" w:cs="Times New Roman"/>
                <w:color w:val="000000" w:themeColor="text1"/>
                <w:sz w:val="21"/>
                <w:szCs w:val="21"/>
                <w:vertAlign w:val="subscript"/>
              </w:rPr>
              <w:t>5</w:t>
            </w:r>
          </w:p>
        </w:tc>
        <w:tc>
          <w:tcPr>
            <w:tcW w:w="1648" w:type="dxa"/>
            <w:shd w:val="clear" w:color="auto" w:fill="auto"/>
            <w:vAlign w:val="center"/>
          </w:tcPr>
          <w:p w14:paraId="79570C67">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eastAsia" w:ascii="Times New Roman" w:cs="Times New Roman"/>
                <w:snapToGrid w:val="0"/>
                <w:color w:val="000000" w:themeColor="text1"/>
                <w:kern w:val="21"/>
                <w:lang w:val="en-US" w:eastAsia="zh-CN"/>
              </w:rPr>
              <w:t>/</w:t>
            </w:r>
          </w:p>
        </w:tc>
        <w:tc>
          <w:tcPr>
            <w:tcW w:w="1282" w:type="dxa"/>
            <w:shd w:val="clear" w:color="auto" w:fill="auto"/>
            <w:vAlign w:val="center"/>
          </w:tcPr>
          <w:p w14:paraId="71FF069A">
            <w:pPr>
              <w:pStyle w:val="81"/>
              <w:spacing w:beforeLines="0" w:afterLines="0" w:line="240" w:lineRule="auto"/>
              <w:rPr>
                <w:rFonts w:hint="default" w:ascii="Times New Roman" w:hAnsi="Times New Roman" w:eastAsia="宋体" w:cs="Times New Roman"/>
                <w:snapToGrid w:val="0"/>
                <w:color w:val="000000" w:themeColor="text1"/>
                <w:kern w:val="21"/>
                <w:sz w:val="21"/>
                <w:szCs w:val="21"/>
                <w:lang w:val="en-US" w:eastAsia="zh-CN" w:bidi="ar-SA"/>
              </w:rPr>
            </w:pPr>
            <w:r>
              <w:rPr>
                <w:rFonts w:hint="eastAsia" w:ascii="Times New Roman" w:cs="Times New Roman"/>
                <w:snapToGrid w:val="0"/>
                <w:color w:val="000000" w:themeColor="text1"/>
                <w:kern w:val="21"/>
                <w:lang w:val="en-US" w:eastAsia="zh-CN"/>
              </w:rPr>
              <w:t>/</w:t>
            </w:r>
          </w:p>
        </w:tc>
        <w:tc>
          <w:tcPr>
            <w:tcW w:w="1567" w:type="dxa"/>
            <w:vAlign w:val="center"/>
          </w:tcPr>
          <w:p w14:paraId="1FB42731">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eastAsia" w:ascii="Times New Roman" w:cs="Times New Roman"/>
                <w:snapToGrid w:val="0"/>
                <w:color w:val="000000" w:themeColor="text1"/>
                <w:kern w:val="21"/>
                <w:lang w:val="en-US" w:eastAsia="zh-CN"/>
              </w:rPr>
              <w:t>/</w:t>
            </w:r>
          </w:p>
        </w:tc>
        <w:tc>
          <w:tcPr>
            <w:tcW w:w="1710" w:type="dxa"/>
            <w:vAlign w:val="center"/>
          </w:tcPr>
          <w:p w14:paraId="3C50632C">
            <w:pPr>
              <w:widowControl/>
              <w:adjustRightInd w:val="0"/>
              <w:jc w:val="center"/>
              <w:textAlignment w:val="baseline"/>
              <w:rPr>
                <w:rFonts w:hint="default" w:ascii="Times New Roman" w:hAnsi="Times New Roman" w:cs="Times New Roman"/>
                <w:snapToGrid w:val="0"/>
                <w:color w:val="000000" w:themeColor="text1"/>
                <w:lang w:val="en-US" w:eastAsia="zh-CN"/>
              </w:rPr>
            </w:pPr>
            <w:r>
              <w:rPr>
                <w:rFonts w:hint="default" w:ascii="Times New Roman" w:hAnsi="Times New Roman" w:eastAsia="宋体" w:cs="Times New Roman"/>
                <w:color w:val="000000" w:themeColor="text1"/>
                <w:sz w:val="21"/>
                <w:szCs w:val="21"/>
                <w:lang w:val="en-US" w:eastAsia="zh-CN"/>
              </w:rPr>
              <w:t>0.00</w:t>
            </w:r>
            <w:r>
              <w:rPr>
                <w:rFonts w:hint="eastAsia" w:ascii="Times New Roman" w:hAnsi="Times New Roman" w:eastAsia="宋体" w:cs="Times New Roman"/>
                <w:color w:val="000000" w:themeColor="text1"/>
                <w:sz w:val="21"/>
                <w:szCs w:val="21"/>
                <w:lang w:val="en-US" w:eastAsia="zh-CN"/>
              </w:rPr>
              <w:t>4t/a</w:t>
            </w:r>
          </w:p>
        </w:tc>
        <w:tc>
          <w:tcPr>
            <w:tcW w:w="1425" w:type="dxa"/>
            <w:shd w:val="clear" w:color="auto" w:fill="auto"/>
            <w:vAlign w:val="center"/>
          </w:tcPr>
          <w:p w14:paraId="571570C1">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eastAsia" w:ascii="Times New Roman" w:cs="Times New Roman"/>
                <w:snapToGrid w:val="0"/>
                <w:color w:val="000000" w:themeColor="text1"/>
                <w:kern w:val="21"/>
                <w:lang w:val="en-US" w:eastAsia="zh-CN"/>
              </w:rPr>
              <w:t>/</w:t>
            </w:r>
          </w:p>
        </w:tc>
        <w:tc>
          <w:tcPr>
            <w:tcW w:w="1994" w:type="dxa"/>
            <w:shd w:val="clear" w:color="auto" w:fill="auto"/>
            <w:vAlign w:val="center"/>
          </w:tcPr>
          <w:p w14:paraId="6CDA0BB8">
            <w:pPr>
              <w:widowControl/>
              <w:adjustRightInd w:val="0"/>
              <w:jc w:val="center"/>
              <w:textAlignment w:val="baseline"/>
              <w:rPr>
                <w:rFonts w:hint="default" w:ascii="Times New Roman" w:hAnsi="Times New Roman" w:cs="Times New Roman"/>
                <w:snapToGrid w:val="0"/>
                <w:color w:val="000000" w:themeColor="text1"/>
                <w:lang w:val="en-US" w:eastAsia="zh-CN"/>
              </w:rPr>
            </w:pPr>
            <w:r>
              <w:rPr>
                <w:rFonts w:hint="default" w:ascii="Times New Roman" w:hAnsi="Times New Roman" w:eastAsia="宋体" w:cs="Times New Roman"/>
                <w:color w:val="000000" w:themeColor="text1"/>
                <w:sz w:val="21"/>
                <w:szCs w:val="21"/>
                <w:lang w:val="en-US" w:eastAsia="zh-CN"/>
              </w:rPr>
              <w:t>0.00</w:t>
            </w:r>
            <w:r>
              <w:rPr>
                <w:rFonts w:hint="eastAsia" w:ascii="Times New Roman" w:hAnsi="Times New Roman" w:eastAsia="宋体" w:cs="Times New Roman"/>
                <w:color w:val="000000" w:themeColor="text1"/>
                <w:sz w:val="21"/>
                <w:szCs w:val="21"/>
                <w:lang w:val="en-US" w:eastAsia="zh-CN"/>
              </w:rPr>
              <w:t>4t/a</w:t>
            </w:r>
          </w:p>
        </w:tc>
        <w:tc>
          <w:tcPr>
            <w:tcW w:w="1720" w:type="dxa"/>
            <w:shd w:val="clear" w:color="auto" w:fill="auto"/>
            <w:vAlign w:val="center"/>
          </w:tcPr>
          <w:p w14:paraId="33D7E141">
            <w:pPr>
              <w:widowControl/>
              <w:adjustRightInd w:val="0"/>
              <w:jc w:val="center"/>
              <w:textAlignment w:val="baseline"/>
              <w:rPr>
                <w:rFonts w:hint="default" w:ascii="Times New Roman" w:hAnsi="Times New Roman" w:cs="Times New Roman"/>
                <w:snapToGrid w:val="0"/>
                <w:color w:val="000000" w:themeColor="text1"/>
                <w:lang w:val="en-US" w:eastAsia="zh-CN"/>
              </w:rPr>
            </w:pPr>
            <w:r>
              <w:rPr>
                <w:rFonts w:hint="eastAsia" w:ascii="Times New Roman" w:hAnsi="Times New Roman" w:eastAsia="宋体" w:cs="Times New Roman"/>
                <w:color w:val="000000" w:themeColor="text1"/>
                <w:sz w:val="21"/>
                <w:szCs w:val="21"/>
                <w:lang w:val="en-US" w:eastAsia="zh-CN"/>
              </w:rPr>
              <w:t>+</w:t>
            </w:r>
            <w:r>
              <w:rPr>
                <w:rFonts w:hint="default" w:ascii="Times New Roman" w:hAnsi="Times New Roman" w:eastAsia="宋体" w:cs="Times New Roman"/>
                <w:color w:val="000000" w:themeColor="text1"/>
                <w:sz w:val="21"/>
                <w:szCs w:val="21"/>
                <w:lang w:val="en-US" w:eastAsia="zh-CN"/>
              </w:rPr>
              <w:t>0.00</w:t>
            </w:r>
            <w:r>
              <w:rPr>
                <w:rFonts w:hint="eastAsia" w:ascii="Times New Roman" w:hAnsi="Times New Roman" w:eastAsia="宋体" w:cs="Times New Roman"/>
                <w:color w:val="000000" w:themeColor="text1"/>
                <w:sz w:val="21"/>
                <w:szCs w:val="21"/>
                <w:lang w:val="en-US" w:eastAsia="zh-CN"/>
              </w:rPr>
              <w:t>4t/a</w:t>
            </w:r>
          </w:p>
        </w:tc>
      </w:tr>
      <w:tr w14:paraId="000C02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25" w:type="dxa"/>
            <w:vMerge w:val="continue"/>
            <w:vAlign w:val="center"/>
          </w:tcPr>
          <w:p w14:paraId="0B1BA10C">
            <w:pPr>
              <w:pStyle w:val="81"/>
              <w:spacing w:beforeLines="0" w:afterLines="0" w:line="240" w:lineRule="auto"/>
              <w:rPr>
                <w:rFonts w:hint="default" w:ascii="Times New Roman" w:hAnsi="Times New Roman" w:cs="Times New Roman"/>
                <w:snapToGrid w:val="0"/>
                <w:color w:val="000000" w:themeColor="text1"/>
                <w:kern w:val="21"/>
                <w:lang w:val="en-US" w:eastAsia="zh-CN"/>
              </w:rPr>
            </w:pPr>
          </w:p>
        </w:tc>
        <w:tc>
          <w:tcPr>
            <w:tcW w:w="1485" w:type="dxa"/>
            <w:gridSpan w:val="2"/>
            <w:vAlign w:val="center"/>
          </w:tcPr>
          <w:p w14:paraId="2DD9D845">
            <w:pPr>
              <w:widowControl/>
              <w:adjustRightInd w:val="0"/>
              <w:jc w:val="center"/>
              <w:textAlignment w:val="baseline"/>
              <w:rPr>
                <w:rFonts w:hint="default" w:ascii="Times New Roman" w:hAnsi="Times New Roman" w:cs="Times New Roman"/>
                <w:snapToGrid w:val="0"/>
                <w:color w:val="000000" w:themeColor="text1"/>
                <w:kern w:val="21"/>
                <w:lang w:val="en-US" w:eastAsia="zh-CN"/>
              </w:rPr>
            </w:pPr>
            <w:r>
              <w:rPr>
                <w:rFonts w:hint="default" w:ascii="Times New Roman" w:hAnsi="Times New Roman" w:eastAsia="宋体" w:cs="Times New Roman"/>
                <w:color w:val="000000" w:themeColor="text1"/>
                <w:sz w:val="21"/>
                <w:szCs w:val="21"/>
              </w:rPr>
              <w:t>SS</w:t>
            </w:r>
          </w:p>
        </w:tc>
        <w:tc>
          <w:tcPr>
            <w:tcW w:w="1648" w:type="dxa"/>
            <w:shd w:val="clear" w:color="auto" w:fill="auto"/>
            <w:vAlign w:val="center"/>
          </w:tcPr>
          <w:p w14:paraId="65A078EC">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eastAsia" w:ascii="Times New Roman" w:cs="Times New Roman"/>
                <w:snapToGrid w:val="0"/>
                <w:color w:val="000000" w:themeColor="text1"/>
                <w:kern w:val="21"/>
                <w:lang w:val="en-US" w:eastAsia="zh-CN"/>
              </w:rPr>
              <w:t>/</w:t>
            </w:r>
          </w:p>
        </w:tc>
        <w:tc>
          <w:tcPr>
            <w:tcW w:w="1282" w:type="dxa"/>
            <w:shd w:val="clear" w:color="auto" w:fill="auto"/>
            <w:vAlign w:val="center"/>
          </w:tcPr>
          <w:p w14:paraId="14BE44A5">
            <w:pPr>
              <w:pStyle w:val="81"/>
              <w:spacing w:beforeLines="0" w:afterLines="0" w:line="240" w:lineRule="auto"/>
              <w:rPr>
                <w:rFonts w:hint="default" w:ascii="Times New Roman" w:hAnsi="Times New Roman" w:eastAsia="宋体" w:cs="Times New Roman"/>
                <w:snapToGrid w:val="0"/>
                <w:color w:val="000000" w:themeColor="text1"/>
                <w:kern w:val="21"/>
                <w:sz w:val="21"/>
                <w:szCs w:val="21"/>
                <w:lang w:val="en-US" w:eastAsia="zh-CN" w:bidi="ar-SA"/>
              </w:rPr>
            </w:pPr>
            <w:r>
              <w:rPr>
                <w:rFonts w:hint="eastAsia" w:ascii="Times New Roman" w:cs="Times New Roman"/>
                <w:snapToGrid w:val="0"/>
                <w:color w:val="000000" w:themeColor="text1"/>
                <w:kern w:val="21"/>
                <w:lang w:val="en-US" w:eastAsia="zh-CN"/>
              </w:rPr>
              <w:t>/</w:t>
            </w:r>
          </w:p>
        </w:tc>
        <w:tc>
          <w:tcPr>
            <w:tcW w:w="1567" w:type="dxa"/>
            <w:vAlign w:val="center"/>
          </w:tcPr>
          <w:p w14:paraId="434D1813">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eastAsia" w:ascii="Times New Roman" w:cs="Times New Roman"/>
                <w:snapToGrid w:val="0"/>
                <w:color w:val="000000" w:themeColor="text1"/>
                <w:kern w:val="21"/>
                <w:lang w:val="en-US" w:eastAsia="zh-CN"/>
              </w:rPr>
              <w:t>/</w:t>
            </w:r>
          </w:p>
        </w:tc>
        <w:tc>
          <w:tcPr>
            <w:tcW w:w="1710" w:type="dxa"/>
            <w:vAlign w:val="center"/>
          </w:tcPr>
          <w:p w14:paraId="4895EBDB">
            <w:pPr>
              <w:widowControl/>
              <w:adjustRightInd w:val="0"/>
              <w:jc w:val="center"/>
              <w:textAlignment w:val="baseline"/>
              <w:rPr>
                <w:rFonts w:hint="default" w:ascii="Times New Roman" w:hAnsi="Times New Roman" w:cs="Times New Roman"/>
                <w:snapToGrid w:val="0"/>
                <w:color w:val="000000" w:themeColor="text1"/>
                <w:lang w:val="en-US" w:eastAsia="zh-CN"/>
              </w:rPr>
            </w:pPr>
            <w:r>
              <w:rPr>
                <w:rFonts w:hint="default" w:ascii="Times New Roman" w:hAnsi="Times New Roman" w:eastAsia="宋体" w:cs="Times New Roman"/>
                <w:color w:val="000000" w:themeColor="text1"/>
                <w:sz w:val="21"/>
                <w:szCs w:val="21"/>
                <w:lang w:val="en-US" w:eastAsia="zh-CN"/>
              </w:rPr>
              <w:t>0.00</w:t>
            </w:r>
            <w:r>
              <w:rPr>
                <w:rFonts w:hint="eastAsia" w:ascii="Times New Roman" w:hAnsi="Times New Roman" w:eastAsia="宋体" w:cs="Times New Roman"/>
                <w:color w:val="000000" w:themeColor="text1"/>
                <w:sz w:val="21"/>
                <w:szCs w:val="21"/>
                <w:lang w:val="en-US" w:eastAsia="zh-CN"/>
              </w:rPr>
              <w:t>4t/a</w:t>
            </w:r>
          </w:p>
        </w:tc>
        <w:tc>
          <w:tcPr>
            <w:tcW w:w="1425" w:type="dxa"/>
            <w:shd w:val="clear" w:color="auto" w:fill="auto"/>
            <w:vAlign w:val="center"/>
          </w:tcPr>
          <w:p w14:paraId="4DD5AEBB">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eastAsia" w:ascii="Times New Roman" w:cs="Times New Roman"/>
                <w:snapToGrid w:val="0"/>
                <w:color w:val="000000" w:themeColor="text1"/>
                <w:kern w:val="21"/>
                <w:lang w:val="en-US" w:eastAsia="zh-CN"/>
              </w:rPr>
              <w:t>/</w:t>
            </w:r>
          </w:p>
        </w:tc>
        <w:tc>
          <w:tcPr>
            <w:tcW w:w="1994" w:type="dxa"/>
            <w:shd w:val="clear" w:color="auto" w:fill="auto"/>
            <w:vAlign w:val="center"/>
          </w:tcPr>
          <w:p w14:paraId="1534F8AB">
            <w:pPr>
              <w:widowControl/>
              <w:adjustRightInd w:val="0"/>
              <w:jc w:val="center"/>
              <w:textAlignment w:val="baseline"/>
              <w:rPr>
                <w:rFonts w:hint="default" w:ascii="Times New Roman" w:hAnsi="Times New Roman" w:cs="Times New Roman"/>
                <w:snapToGrid w:val="0"/>
                <w:color w:val="000000" w:themeColor="text1"/>
                <w:lang w:val="en-US" w:eastAsia="zh-CN"/>
              </w:rPr>
            </w:pPr>
            <w:r>
              <w:rPr>
                <w:rFonts w:hint="default" w:ascii="Times New Roman" w:hAnsi="Times New Roman" w:eastAsia="宋体" w:cs="Times New Roman"/>
                <w:color w:val="000000" w:themeColor="text1"/>
                <w:sz w:val="21"/>
                <w:szCs w:val="21"/>
                <w:lang w:val="en-US" w:eastAsia="zh-CN"/>
              </w:rPr>
              <w:t>0.00</w:t>
            </w:r>
            <w:r>
              <w:rPr>
                <w:rFonts w:hint="eastAsia" w:ascii="Times New Roman" w:hAnsi="Times New Roman" w:eastAsia="宋体" w:cs="Times New Roman"/>
                <w:color w:val="000000" w:themeColor="text1"/>
                <w:sz w:val="21"/>
                <w:szCs w:val="21"/>
                <w:lang w:val="en-US" w:eastAsia="zh-CN"/>
              </w:rPr>
              <w:t>4t/a</w:t>
            </w:r>
          </w:p>
        </w:tc>
        <w:tc>
          <w:tcPr>
            <w:tcW w:w="1720" w:type="dxa"/>
            <w:shd w:val="clear" w:color="auto" w:fill="auto"/>
            <w:vAlign w:val="center"/>
          </w:tcPr>
          <w:p w14:paraId="18B34E5C">
            <w:pPr>
              <w:widowControl/>
              <w:adjustRightInd w:val="0"/>
              <w:jc w:val="center"/>
              <w:textAlignment w:val="baseline"/>
              <w:rPr>
                <w:rFonts w:hint="default" w:ascii="Times New Roman" w:hAnsi="Times New Roman" w:cs="Times New Roman"/>
                <w:snapToGrid w:val="0"/>
                <w:color w:val="000000" w:themeColor="text1"/>
                <w:lang w:val="en-US" w:eastAsia="zh-CN"/>
              </w:rPr>
            </w:pPr>
            <w:r>
              <w:rPr>
                <w:rFonts w:hint="eastAsia" w:ascii="Times New Roman" w:hAnsi="Times New Roman" w:eastAsia="宋体" w:cs="Times New Roman"/>
                <w:color w:val="000000" w:themeColor="text1"/>
                <w:sz w:val="21"/>
                <w:szCs w:val="21"/>
                <w:lang w:val="en-US" w:eastAsia="zh-CN"/>
              </w:rPr>
              <w:t>+</w:t>
            </w:r>
            <w:r>
              <w:rPr>
                <w:rFonts w:hint="default" w:ascii="Times New Roman" w:hAnsi="Times New Roman" w:eastAsia="宋体" w:cs="Times New Roman"/>
                <w:color w:val="000000" w:themeColor="text1"/>
                <w:sz w:val="21"/>
                <w:szCs w:val="21"/>
                <w:lang w:val="en-US" w:eastAsia="zh-CN"/>
              </w:rPr>
              <w:t>0.00</w:t>
            </w:r>
            <w:r>
              <w:rPr>
                <w:rFonts w:hint="eastAsia" w:ascii="Times New Roman" w:hAnsi="Times New Roman" w:eastAsia="宋体" w:cs="Times New Roman"/>
                <w:color w:val="000000" w:themeColor="text1"/>
                <w:sz w:val="21"/>
                <w:szCs w:val="21"/>
                <w:lang w:val="en-US" w:eastAsia="zh-CN"/>
              </w:rPr>
              <w:t>4t/a</w:t>
            </w:r>
          </w:p>
        </w:tc>
      </w:tr>
      <w:tr w14:paraId="555116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25" w:type="dxa"/>
            <w:vMerge w:val="continue"/>
            <w:vAlign w:val="center"/>
          </w:tcPr>
          <w:p w14:paraId="5D0CE64B">
            <w:pPr>
              <w:pStyle w:val="81"/>
              <w:spacing w:beforeLines="0" w:afterLines="0" w:line="240" w:lineRule="auto"/>
              <w:rPr>
                <w:rFonts w:hint="default" w:ascii="Times New Roman" w:hAnsi="Times New Roman" w:cs="Times New Roman"/>
                <w:color w:val="000000" w:themeColor="text1"/>
                <w:lang w:val="en-US" w:eastAsia="zh-CN"/>
              </w:rPr>
            </w:pPr>
          </w:p>
        </w:tc>
        <w:tc>
          <w:tcPr>
            <w:tcW w:w="1485" w:type="dxa"/>
            <w:gridSpan w:val="2"/>
            <w:vAlign w:val="center"/>
          </w:tcPr>
          <w:p w14:paraId="3B72D40A">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NH</w:t>
            </w:r>
            <w:r>
              <w:rPr>
                <w:rFonts w:hint="default" w:ascii="Times New Roman" w:hAnsi="Times New Roman" w:cs="Times New Roman"/>
                <w:color w:val="000000" w:themeColor="text1"/>
                <w:vertAlign w:val="subscript"/>
              </w:rPr>
              <w:t>3</w:t>
            </w:r>
            <w:r>
              <w:rPr>
                <w:rFonts w:hint="default" w:ascii="Times New Roman" w:hAnsi="Times New Roman" w:cs="Times New Roman"/>
                <w:color w:val="000000" w:themeColor="text1"/>
              </w:rPr>
              <w:t>-N</w:t>
            </w:r>
          </w:p>
        </w:tc>
        <w:tc>
          <w:tcPr>
            <w:tcW w:w="1648" w:type="dxa"/>
            <w:shd w:val="clear" w:color="auto" w:fill="auto"/>
            <w:vAlign w:val="center"/>
          </w:tcPr>
          <w:p w14:paraId="1B50AEF4">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w:t>
            </w:r>
          </w:p>
        </w:tc>
        <w:tc>
          <w:tcPr>
            <w:tcW w:w="1282" w:type="dxa"/>
            <w:shd w:val="clear" w:color="auto" w:fill="auto"/>
            <w:vAlign w:val="center"/>
          </w:tcPr>
          <w:p w14:paraId="0669FA49">
            <w:pPr>
              <w:pStyle w:val="81"/>
              <w:spacing w:beforeLines="0" w:afterLines="0" w:line="240" w:lineRule="auto"/>
              <w:rPr>
                <w:rFonts w:hint="default" w:ascii="Times New Roman" w:hAnsi="Times New Roman" w:eastAsia="宋体" w:cs="Times New Roman"/>
                <w:snapToGrid w:val="0"/>
                <w:color w:val="000000" w:themeColor="text1"/>
                <w:kern w:val="21"/>
                <w:sz w:val="21"/>
                <w:szCs w:val="21"/>
                <w:lang w:val="en-US" w:eastAsia="zh-CN" w:bidi="ar-SA"/>
              </w:rPr>
            </w:pPr>
            <w:r>
              <w:rPr>
                <w:rFonts w:hint="default" w:ascii="Times New Roman" w:hAnsi="Times New Roman" w:cs="Times New Roman"/>
                <w:snapToGrid w:val="0"/>
                <w:color w:val="000000" w:themeColor="text1"/>
                <w:kern w:val="21"/>
                <w:lang w:val="en-US" w:eastAsia="zh-CN"/>
              </w:rPr>
              <w:t>/</w:t>
            </w:r>
          </w:p>
        </w:tc>
        <w:tc>
          <w:tcPr>
            <w:tcW w:w="1567" w:type="dxa"/>
            <w:vAlign w:val="center"/>
          </w:tcPr>
          <w:p w14:paraId="30BDB34F">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w:t>
            </w:r>
          </w:p>
        </w:tc>
        <w:tc>
          <w:tcPr>
            <w:tcW w:w="1710" w:type="dxa"/>
            <w:vAlign w:val="center"/>
          </w:tcPr>
          <w:p w14:paraId="23917D3D">
            <w:pPr>
              <w:widowControl/>
              <w:adjustRightInd w:val="0"/>
              <w:jc w:val="center"/>
              <w:textAlignment w:val="baseline"/>
              <w:rPr>
                <w:rFonts w:hint="eastAsia" w:ascii="Times New Roman" w:hAnsi="Times New Roman" w:eastAsia="宋体" w:cs="Times New Roman"/>
                <w:snapToGrid w:val="0"/>
                <w:color w:val="000000" w:themeColor="text1"/>
                <w:lang w:eastAsia="zh-CN"/>
              </w:rPr>
            </w:pPr>
            <w:r>
              <w:rPr>
                <w:rFonts w:hint="default" w:ascii="Times New Roman" w:hAnsi="Times New Roman" w:eastAsia="宋体" w:cs="Times New Roman"/>
                <w:color w:val="000000" w:themeColor="text1"/>
                <w:sz w:val="21"/>
                <w:szCs w:val="21"/>
                <w:lang w:val="en-US" w:eastAsia="zh-CN"/>
              </w:rPr>
              <w:t>0.00</w:t>
            </w:r>
            <w:r>
              <w:rPr>
                <w:rFonts w:hint="eastAsia" w:ascii="Times New Roman" w:hAnsi="Times New Roman" w:eastAsia="宋体" w:cs="Times New Roman"/>
                <w:color w:val="000000" w:themeColor="text1"/>
                <w:sz w:val="21"/>
                <w:szCs w:val="21"/>
                <w:lang w:val="en-US" w:eastAsia="zh-CN"/>
              </w:rPr>
              <w:t>2t/a</w:t>
            </w:r>
          </w:p>
        </w:tc>
        <w:tc>
          <w:tcPr>
            <w:tcW w:w="1425" w:type="dxa"/>
            <w:shd w:val="clear" w:color="auto" w:fill="auto"/>
            <w:vAlign w:val="center"/>
          </w:tcPr>
          <w:p w14:paraId="0CB21E7A">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w:t>
            </w:r>
          </w:p>
        </w:tc>
        <w:tc>
          <w:tcPr>
            <w:tcW w:w="1994" w:type="dxa"/>
            <w:shd w:val="clear" w:color="auto" w:fill="auto"/>
            <w:vAlign w:val="center"/>
          </w:tcPr>
          <w:p w14:paraId="17BE40E0">
            <w:pPr>
              <w:widowControl/>
              <w:adjustRightInd w:val="0"/>
              <w:jc w:val="center"/>
              <w:textAlignment w:val="baseline"/>
              <w:rPr>
                <w:rFonts w:hint="default" w:ascii="Times New Roman" w:hAnsi="Times New Roman" w:cs="Times New Roman"/>
                <w:snapToGrid w:val="0"/>
                <w:color w:val="000000" w:themeColor="text1"/>
              </w:rPr>
            </w:pPr>
            <w:r>
              <w:rPr>
                <w:rFonts w:hint="default" w:ascii="Times New Roman" w:hAnsi="Times New Roman" w:eastAsia="宋体" w:cs="Times New Roman"/>
                <w:color w:val="000000" w:themeColor="text1"/>
                <w:sz w:val="21"/>
                <w:szCs w:val="21"/>
                <w:lang w:val="en-US" w:eastAsia="zh-CN"/>
              </w:rPr>
              <w:t>0.00</w:t>
            </w:r>
            <w:r>
              <w:rPr>
                <w:rFonts w:hint="eastAsia" w:ascii="Times New Roman" w:hAnsi="Times New Roman" w:eastAsia="宋体" w:cs="Times New Roman"/>
                <w:color w:val="000000" w:themeColor="text1"/>
                <w:sz w:val="21"/>
                <w:szCs w:val="21"/>
                <w:lang w:val="en-US" w:eastAsia="zh-CN"/>
              </w:rPr>
              <w:t>2t/a</w:t>
            </w:r>
          </w:p>
        </w:tc>
        <w:tc>
          <w:tcPr>
            <w:tcW w:w="1720" w:type="dxa"/>
            <w:shd w:val="clear" w:color="auto" w:fill="auto"/>
            <w:vAlign w:val="center"/>
          </w:tcPr>
          <w:p w14:paraId="1844F903">
            <w:pPr>
              <w:widowControl/>
              <w:adjustRightInd w:val="0"/>
              <w:jc w:val="center"/>
              <w:textAlignment w:val="baseline"/>
              <w:rPr>
                <w:rFonts w:hint="default" w:ascii="Times New Roman" w:hAnsi="Times New Roman" w:cs="Times New Roman"/>
                <w:snapToGrid w:val="0"/>
                <w:color w:val="000000" w:themeColor="text1"/>
              </w:rPr>
            </w:pPr>
            <w:r>
              <w:rPr>
                <w:rFonts w:hint="eastAsia" w:ascii="Times New Roman" w:hAnsi="Times New Roman" w:eastAsia="宋体" w:cs="Times New Roman"/>
                <w:color w:val="000000" w:themeColor="text1"/>
                <w:sz w:val="21"/>
                <w:szCs w:val="21"/>
                <w:lang w:val="en-US" w:eastAsia="zh-CN"/>
              </w:rPr>
              <w:t>+</w:t>
            </w:r>
            <w:r>
              <w:rPr>
                <w:rFonts w:hint="default" w:ascii="Times New Roman" w:hAnsi="Times New Roman" w:eastAsia="宋体" w:cs="Times New Roman"/>
                <w:color w:val="000000" w:themeColor="text1"/>
                <w:sz w:val="21"/>
                <w:szCs w:val="21"/>
                <w:lang w:val="en-US" w:eastAsia="zh-CN"/>
              </w:rPr>
              <w:t>0.00</w:t>
            </w:r>
            <w:r>
              <w:rPr>
                <w:rFonts w:hint="eastAsia" w:ascii="Times New Roman" w:hAnsi="Times New Roman" w:eastAsia="宋体" w:cs="Times New Roman"/>
                <w:color w:val="000000" w:themeColor="text1"/>
                <w:sz w:val="21"/>
                <w:szCs w:val="21"/>
                <w:lang w:val="en-US" w:eastAsia="zh-CN"/>
              </w:rPr>
              <w:t>2t/a</w:t>
            </w:r>
          </w:p>
        </w:tc>
      </w:tr>
      <w:tr w14:paraId="7BB3A3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25" w:type="dxa"/>
            <w:vMerge w:val="restart"/>
            <w:vAlign w:val="center"/>
          </w:tcPr>
          <w:p w14:paraId="3CB3C82A">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一般</w:t>
            </w:r>
          </w:p>
          <w:p w14:paraId="6BC0B4E5">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工业</w:t>
            </w:r>
          </w:p>
          <w:p w14:paraId="2E3A9BDF">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固体</w:t>
            </w:r>
          </w:p>
          <w:p w14:paraId="689A65D6">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废物</w:t>
            </w:r>
          </w:p>
        </w:tc>
        <w:tc>
          <w:tcPr>
            <w:tcW w:w="1485" w:type="dxa"/>
            <w:gridSpan w:val="2"/>
            <w:shd w:val="clear" w:color="auto" w:fill="auto"/>
            <w:vAlign w:val="center"/>
          </w:tcPr>
          <w:p w14:paraId="0C67257C">
            <w:pPr>
              <w:spacing w:line="240" w:lineRule="auto"/>
              <w:jc w:val="center"/>
              <w:rPr>
                <w:rFonts w:hint="default" w:ascii="Times New Roman" w:hAnsi="Times New Roman" w:cs="Times New Roman"/>
                <w:color w:val="000000" w:themeColor="text1"/>
              </w:rPr>
            </w:pPr>
            <w:r>
              <w:rPr>
                <w:rFonts w:hint="default" w:ascii="Times New Roman" w:hAnsi="Times New Roman" w:cs="Times New Roman"/>
                <w:color w:val="000000" w:themeColor="text1"/>
                <w:lang w:val="en-US" w:eastAsia="zh-CN"/>
              </w:rPr>
              <w:t>废铜（铝）线</w:t>
            </w:r>
          </w:p>
        </w:tc>
        <w:tc>
          <w:tcPr>
            <w:tcW w:w="1648" w:type="dxa"/>
            <w:shd w:val="clear" w:color="auto" w:fill="auto"/>
            <w:vAlign w:val="center"/>
          </w:tcPr>
          <w:p w14:paraId="71A8371F">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eastAsia" w:ascii="Times New Roman" w:cs="Times New Roman"/>
                <w:snapToGrid w:val="0"/>
                <w:color w:val="000000" w:themeColor="text1"/>
                <w:kern w:val="21"/>
                <w:lang w:val="en-US" w:eastAsia="zh-CN"/>
              </w:rPr>
              <w:t>/</w:t>
            </w:r>
          </w:p>
        </w:tc>
        <w:tc>
          <w:tcPr>
            <w:tcW w:w="1282" w:type="dxa"/>
            <w:shd w:val="clear" w:color="auto" w:fill="auto"/>
            <w:vAlign w:val="center"/>
          </w:tcPr>
          <w:p w14:paraId="0F3E3347">
            <w:pPr>
              <w:pStyle w:val="81"/>
              <w:spacing w:beforeLines="0" w:afterLines="0" w:line="240" w:lineRule="auto"/>
              <w:rPr>
                <w:rFonts w:hint="default" w:ascii="Times New Roman" w:hAnsi="Times New Roman" w:eastAsia="宋体" w:cs="Times New Roman"/>
                <w:snapToGrid w:val="0"/>
                <w:color w:val="000000" w:themeColor="text1"/>
                <w:kern w:val="21"/>
                <w:sz w:val="21"/>
                <w:szCs w:val="21"/>
                <w:lang w:val="en-US" w:eastAsia="zh-CN" w:bidi="ar-SA"/>
              </w:rPr>
            </w:pPr>
            <w:r>
              <w:rPr>
                <w:rFonts w:hint="default" w:ascii="Times New Roman" w:hAnsi="Times New Roman" w:cs="Times New Roman"/>
                <w:snapToGrid w:val="0"/>
                <w:color w:val="000000" w:themeColor="text1"/>
                <w:kern w:val="21"/>
                <w:lang w:val="en-US" w:eastAsia="zh-CN"/>
              </w:rPr>
              <w:t>/</w:t>
            </w:r>
          </w:p>
        </w:tc>
        <w:tc>
          <w:tcPr>
            <w:tcW w:w="1567" w:type="dxa"/>
            <w:vAlign w:val="center"/>
          </w:tcPr>
          <w:p w14:paraId="245035F9">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w:t>
            </w:r>
          </w:p>
        </w:tc>
        <w:tc>
          <w:tcPr>
            <w:tcW w:w="1710" w:type="dxa"/>
            <w:shd w:val="clear" w:color="auto" w:fill="auto"/>
            <w:vAlign w:val="center"/>
          </w:tcPr>
          <w:p w14:paraId="340FBF97">
            <w:pPr>
              <w:jc w:val="center"/>
              <w:rPr>
                <w:rFonts w:hint="default" w:ascii="Times New Roman" w:hAnsi="Times New Roman" w:cs="Times New Roman"/>
                <w:color w:val="000000" w:themeColor="text1"/>
              </w:rPr>
            </w:pPr>
            <w:r>
              <w:rPr>
                <w:rFonts w:hint="eastAsia" w:cs="Times New Roman"/>
                <w:color w:val="000000" w:themeColor="text1"/>
                <w:sz w:val="21"/>
                <w:szCs w:val="21"/>
                <w:lang w:val="en-US" w:eastAsia="zh-CN"/>
              </w:rPr>
              <w:t>0.09t/a</w:t>
            </w:r>
          </w:p>
        </w:tc>
        <w:tc>
          <w:tcPr>
            <w:tcW w:w="1425" w:type="dxa"/>
            <w:shd w:val="clear" w:color="auto" w:fill="auto"/>
            <w:vAlign w:val="center"/>
          </w:tcPr>
          <w:p w14:paraId="6E39BA82">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w:t>
            </w:r>
          </w:p>
        </w:tc>
        <w:tc>
          <w:tcPr>
            <w:tcW w:w="1994" w:type="dxa"/>
            <w:shd w:val="clear" w:color="auto" w:fill="auto"/>
            <w:vAlign w:val="center"/>
          </w:tcPr>
          <w:p w14:paraId="6C0B1500">
            <w:pPr>
              <w:jc w:val="center"/>
              <w:rPr>
                <w:rFonts w:hint="default" w:ascii="Times New Roman" w:hAnsi="Times New Roman" w:cs="Times New Roman"/>
                <w:color w:val="000000" w:themeColor="text1"/>
              </w:rPr>
            </w:pPr>
            <w:r>
              <w:rPr>
                <w:rFonts w:hint="eastAsia" w:cs="Times New Roman"/>
                <w:color w:val="000000" w:themeColor="text1"/>
                <w:sz w:val="21"/>
                <w:szCs w:val="21"/>
                <w:lang w:val="en-US" w:eastAsia="zh-CN"/>
              </w:rPr>
              <w:t>0.09t/a</w:t>
            </w:r>
          </w:p>
        </w:tc>
        <w:tc>
          <w:tcPr>
            <w:tcW w:w="1720" w:type="dxa"/>
            <w:shd w:val="clear" w:color="auto" w:fill="auto"/>
            <w:vAlign w:val="center"/>
          </w:tcPr>
          <w:p w14:paraId="33AA4972">
            <w:pPr>
              <w:jc w:val="center"/>
              <w:rPr>
                <w:rFonts w:hint="default" w:ascii="Times New Roman" w:hAnsi="Times New Roman" w:cs="Times New Roman"/>
                <w:color w:val="000000" w:themeColor="text1"/>
              </w:rPr>
            </w:pPr>
            <w:r>
              <w:rPr>
                <w:rFonts w:hint="eastAsia" w:cs="Times New Roman"/>
                <w:color w:val="000000" w:themeColor="text1"/>
                <w:sz w:val="21"/>
                <w:szCs w:val="21"/>
                <w:lang w:val="en-US" w:eastAsia="zh-CN"/>
              </w:rPr>
              <w:t>+0.09t/a</w:t>
            </w:r>
          </w:p>
        </w:tc>
      </w:tr>
      <w:tr w14:paraId="6D2809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25" w:type="dxa"/>
            <w:vMerge w:val="continue"/>
            <w:vAlign w:val="center"/>
          </w:tcPr>
          <w:p w14:paraId="17F094F4">
            <w:pPr>
              <w:pStyle w:val="81"/>
              <w:spacing w:beforeLines="0" w:afterLines="0" w:line="240" w:lineRule="auto"/>
              <w:rPr>
                <w:rFonts w:hint="default" w:ascii="Times New Roman" w:hAnsi="Times New Roman" w:cs="Times New Roman"/>
                <w:snapToGrid w:val="0"/>
                <w:color w:val="000000" w:themeColor="text1"/>
                <w:kern w:val="21"/>
                <w:lang w:val="en-US" w:eastAsia="zh-CN"/>
              </w:rPr>
            </w:pPr>
          </w:p>
        </w:tc>
        <w:tc>
          <w:tcPr>
            <w:tcW w:w="1485" w:type="dxa"/>
            <w:gridSpan w:val="2"/>
            <w:shd w:val="clear" w:color="auto" w:fill="auto"/>
            <w:vAlign w:val="center"/>
          </w:tcPr>
          <w:p w14:paraId="4D8BB705">
            <w:pPr>
              <w:spacing w:line="240" w:lineRule="auto"/>
              <w:jc w:val="center"/>
              <w:rPr>
                <w:rFonts w:hint="default" w:ascii="Times New Roman" w:hAnsi="Times New Roman" w:cs="Times New Roman"/>
                <w:color w:val="000000" w:themeColor="text1"/>
              </w:rPr>
            </w:pPr>
            <w:r>
              <w:rPr>
                <w:rFonts w:hint="default" w:ascii="Times New Roman" w:hAnsi="Times New Roman" w:cs="Times New Roman"/>
                <w:color w:val="000000" w:themeColor="text1"/>
                <w:lang w:val="en-US" w:eastAsia="zh-CN"/>
              </w:rPr>
              <w:t>废铜（铝）箔</w:t>
            </w:r>
          </w:p>
        </w:tc>
        <w:tc>
          <w:tcPr>
            <w:tcW w:w="1648" w:type="dxa"/>
            <w:shd w:val="clear" w:color="auto" w:fill="auto"/>
            <w:vAlign w:val="center"/>
          </w:tcPr>
          <w:p w14:paraId="6B38CBD1">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eastAsia" w:ascii="Times New Roman" w:cs="Times New Roman"/>
                <w:snapToGrid w:val="0"/>
                <w:color w:val="000000" w:themeColor="text1"/>
                <w:kern w:val="21"/>
                <w:lang w:val="en-US" w:eastAsia="zh-CN"/>
              </w:rPr>
              <w:t>/</w:t>
            </w:r>
          </w:p>
        </w:tc>
        <w:tc>
          <w:tcPr>
            <w:tcW w:w="1282" w:type="dxa"/>
            <w:shd w:val="clear" w:color="auto" w:fill="auto"/>
            <w:vAlign w:val="center"/>
          </w:tcPr>
          <w:p w14:paraId="20CF9A56">
            <w:pPr>
              <w:pStyle w:val="81"/>
              <w:spacing w:beforeLines="0" w:afterLines="0" w:line="240" w:lineRule="auto"/>
              <w:rPr>
                <w:rFonts w:hint="default" w:ascii="Times New Roman" w:hAnsi="Times New Roman" w:eastAsia="宋体" w:cs="Times New Roman"/>
                <w:snapToGrid w:val="0"/>
                <w:color w:val="000000" w:themeColor="text1"/>
                <w:kern w:val="21"/>
                <w:sz w:val="21"/>
                <w:szCs w:val="21"/>
                <w:lang w:val="en-US" w:eastAsia="zh-CN" w:bidi="ar-SA"/>
              </w:rPr>
            </w:pPr>
            <w:r>
              <w:rPr>
                <w:rFonts w:hint="default" w:ascii="Times New Roman" w:hAnsi="Times New Roman" w:cs="Times New Roman"/>
                <w:snapToGrid w:val="0"/>
                <w:color w:val="000000" w:themeColor="text1"/>
                <w:kern w:val="21"/>
                <w:lang w:val="en-US" w:eastAsia="zh-CN"/>
              </w:rPr>
              <w:t>/</w:t>
            </w:r>
          </w:p>
        </w:tc>
        <w:tc>
          <w:tcPr>
            <w:tcW w:w="1567" w:type="dxa"/>
            <w:shd w:val="clear" w:color="auto" w:fill="auto"/>
            <w:vAlign w:val="center"/>
          </w:tcPr>
          <w:p w14:paraId="41A40C7F">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w:t>
            </w:r>
          </w:p>
        </w:tc>
        <w:tc>
          <w:tcPr>
            <w:tcW w:w="1710" w:type="dxa"/>
            <w:shd w:val="clear" w:color="auto" w:fill="auto"/>
            <w:vAlign w:val="center"/>
          </w:tcPr>
          <w:p w14:paraId="6CE264AC">
            <w:pPr>
              <w:jc w:val="center"/>
              <w:rPr>
                <w:rFonts w:hint="default" w:ascii="Times New Roman" w:hAnsi="Times New Roman" w:cs="Times New Roman"/>
                <w:color w:val="000000" w:themeColor="text1"/>
              </w:rPr>
            </w:pPr>
            <w:r>
              <w:rPr>
                <w:rFonts w:hint="eastAsia" w:cs="Times New Roman"/>
                <w:color w:val="000000" w:themeColor="text1"/>
                <w:sz w:val="21"/>
                <w:szCs w:val="21"/>
                <w:lang w:val="en-US" w:eastAsia="zh-CN"/>
              </w:rPr>
              <w:t>0.08t/a</w:t>
            </w:r>
          </w:p>
        </w:tc>
        <w:tc>
          <w:tcPr>
            <w:tcW w:w="1425" w:type="dxa"/>
            <w:shd w:val="clear" w:color="auto" w:fill="auto"/>
            <w:vAlign w:val="center"/>
          </w:tcPr>
          <w:p w14:paraId="4A886FED">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w:t>
            </w:r>
          </w:p>
        </w:tc>
        <w:tc>
          <w:tcPr>
            <w:tcW w:w="1994" w:type="dxa"/>
            <w:shd w:val="clear" w:color="auto" w:fill="auto"/>
            <w:vAlign w:val="center"/>
          </w:tcPr>
          <w:p w14:paraId="71B94B38">
            <w:pPr>
              <w:jc w:val="center"/>
              <w:rPr>
                <w:rFonts w:hint="default" w:ascii="Times New Roman" w:hAnsi="Times New Roman" w:cs="Times New Roman"/>
                <w:color w:val="000000" w:themeColor="text1"/>
              </w:rPr>
            </w:pPr>
            <w:r>
              <w:rPr>
                <w:rFonts w:hint="eastAsia" w:cs="Times New Roman"/>
                <w:color w:val="000000" w:themeColor="text1"/>
                <w:sz w:val="21"/>
                <w:szCs w:val="21"/>
                <w:lang w:val="en-US" w:eastAsia="zh-CN"/>
              </w:rPr>
              <w:t>0.08t/a</w:t>
            </w:r>
          </w:p>
        </w:tc>
        <w:tc>
          <w:tcPr>
            <w:tcW w:w="1720" w:type="dxa"/>
            <w:shd w:val="clear" w:color="auto" w:fill="auto"/>
            <w:vAlign w:val="center"/>
          </w:tcPr>
          <w:p w14:paraId="35A17B43">
            <w:pPr>
              <w:jc w:val="center"/>
              <w:rPr>
                <w:rFonts w:hint="default" w:ascii="Times New Roman" w:hAnsi="Times New Roman" w:cs="Times New Roman"/>
                <w:color w:val="000000" w:themeColor="text1"/>
              </w:rPr>
            </w:pPr>
            <w:r>
              <w:rPr>
                <w:rFonts w:hint="eastAsia" w:cs="Times New Roman"/>
                <w:color w:val="000000" w:themeColor="text1"/>
                <w:sz w:val="21"/>
                <w:szCs w:val="21"/>
                <w:lang w:val="en-US" w:eastAsia="zh-CN"/>
              </w:rPr>
              <w:t>+0.08t/a</w:t>
            </w:r>
          </w:p>
        </w:tc>
      </w:tr>
      <w:tr w14:paraId="2FE2D2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25" w:type="dxa"/>
            <w:vMerge w:val="continue"/>
            <w:vAlign w:val="center"/>
          </w:tcPr>
          <w:p w14:paraId="760ABF02">
            <w:pPr>
              <w:jc w:val="center"/>
              <w:rPr>
                <w:rFonts w:hint="default" w:ascii="Times New Roman" w:hAnsi="Times New Roman" w:cs="Times New Roman"/>
                <w:color w:val="000000" w:themeColor="text1"/>
              </w:rPr>
            </w:pPr>
          </w:p>
        </w:tc>
        <w:tc>
          <w:tcPr>
            <w:tcW w:w="1485" w:type="dxa"/>
            <w:gridSpan w:val="2"/>
            <w:shd w:val="clear" w:color="auto" w:fill="auto"/>
            <w:vAlign w:val="center"/>
          </w:tcPr>
          <w:p w14:paraId="54C2B4C4">
            <w:pPr>
              <w:spacing w:line="240" w:lineRule="auto"/>
              <w:jc w:val="center"/>
              <w:rPr>
                <w:rFonts w:hint="default" w:ascii="Times New Roman" w:hAnsi="Times New Roman" w:cs="Times New Roman"/>
                <w:color w:val="000000" w:themeColor="text1"/>
              </w:rPr>
            </w:pPr>
            <w:r>
              <w:rPr>
                <w:rFonts w:hint="default" w:ascii="Times New Roman" w:hAnsi="Times New Roman" w:cs="Times New Roman"/>
                <w:color w:val="000000" w:themeColor="text1"/>
                <w:lang w:val="en-US" w:eastAsia="zh-CN"/>
              </w:rPr>
              <w:t>废绝缘材料</w:t>
            </w:r>
          </w:p>
        </w:tc>
        <w:tc>
          <w:tcPr>
            <w:tcW w:w="1648" w:type="dxa"/>
            <w:shd w:val="clear" w:color="auto" w:fill="auto"/>
            <w:vAlign w:val="center"/>
          </w:tcPr>
          <w:p w14:paraId="3E1E1D2F">
            <w:pPr>
              <w:pStyle w:val="81"/>
              <w:spacing w:beforeLines="0" w:afterLines="0" w:line="240" w:lineRule="auto"/>
              <w:rPr>
                <w:rFonts w:hint="default" w:ascii="Times New Roman" w:hAnsi="Times New Roman" w:cs="Times New Roman"/>
                <w:color w:val="000000" w:themeColor="text1"/>
                <w:lang w:val="en-US"/>
              </w:rPr>
            </w:pPr>
            <w:r>
              <w:rPr>
                <w:rFonts w:hint="default" w:ascii="Times New Roman" w:hAnsi="Times New Roman" w:cs="Times New Roman"/>
                <w:snapToGrid w:val="0"/>
                <w:color w:val="000000" w:themeColor="text1"/>
                <w:kern w:val="21"/>
                <w:lang w:val="en-US" w:eastAsia="zh-CN"/>
              </w:rPr>
              <w:t>/</w:t>
            </w:r>
          </w:p>
        </w:tc>
        <w:tc>
          <w:tcPr>
            <w:tcW w:w="1282" w:type="dxa"/>
            <w:shd w:val="clear" w:color="auto" w:fill="auto"/>
            <w:vAlign w:val="center"/>
          </w:tcPr>
          <w:p w14:paraId="1DD672F1">
            <w:pPr>
              <w:jc w:val="center"/>
              <w:rPr>
                <w:rFonts w:hint="default" w:ascii="Times New Roman" w:hAnsi="Times New Roman" w:eastAsia="宋体" w:cs="Times New Roman"/>
                <w:color w:val="000000" w:themeColor="text1"/>
                <w:kern w:val="2"/>
                <w:sz w:val="21"/>
                <w:szCs w:val="21"/>
                <w:lang w:val="en-US" w:eastAsia="zh-CN" w:bidi="ar-SA"/>
              </w:rPr>
            </w:pPr>
            <w:r>
              <w:rPr>
                <w:rFonts w:hint="default" w:ascii="Times New Roman" w:hAnsi="Times New Roman" w:cs="Times New Roman"/>
                <w:color w:val="000000" w:themeColor="text1"/>
              </w:rPr>
              <w:t>/</w:t>
            </w:r>
          </w:p>
        </w:tc>
        <w:tc>
          <w:tcPr>
            <w:tcW w:w="1567" w:type="dxa"/>
            <w:vAlign w:val="center"/>
          </w:tcPr>
          <w:p w14:paraId="52CA8BFB">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w:t>
            </w:r>
          </w:p>
        </w:tc>
        <w:tc>
          <w:tcPr>
            <w:tcW w:w="1710" w:type="dxa"/>
            <w:shd w:val="clear" w:color="auto" w:fill="auto"/>
            <w:vAlign w:val="center"/>
          </w:tcPr>
          <w:p w14:paraId="53CC6215">
            <w:pPr>
              <w:jc w:val="center"/>
              <w:rPr>
                <w:rFonts w:hint="default" w:ascii="Times New Roman" w:hAnsi="Times New Roman" w:cs="Times New Roman"/>
                <w:color w:val="000000" w:themeColor="text1"/>
              </w:rPr>
            </w:pPr>
            <w:r>
              <w:rPr>
                <w:rFonts w:hint="eastAsia" w:cs="Times New Roman"/>
                <w:color w:val="000000" w:themeColor="text1"/>
                <w:sz w:val="21"/>
                <w:szCs w:val="21"/>
                <w:lang w:val="en-US" w:eastAsia="zh-CN"/>
              </w:rPr>
              <w:t>0.017t/a</w:t>
            </w:r>
          </w:p>
        </w:tc>
        <w:tc>
          <w:tcPr>
            <w:tcW w:w="1425" w:type="dxa"/>
            <w:shd w:val="clear" w:color="auto" w:fill="auto"/>
            <w:vAlign w:val="center"/>
          </w:tcPr>
          <w:p w14:paraId="4B1F2021">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w:t>
            </w:r>
          </w:p>
        </w:tc>
        <w:tc>
          <w:tcPr>
            <w:tcW w:w="1994" w:type="dxa"/>
            <w:shd w:val="clear" w:color="auto" w:fill="auto"/>
            <w:vAlign w:val="center"/>
          </w:tcPr>
          <w:p w14:paraId="0D79AD3C">
            <w:pPr>
              <w:jc w:val="center"/>
              <w:rPr>
                <w:rFonts w:hint="default" w:ascii="Times New Roman" w:hAnsi="Times New Roman" w:cs="Times New Roman"/>
                <w:color w:val="000000" w:themeColor="text1"/>
              </w:rPr>
            </w:pPr>
            <w:r>
              <w:rPr>
                <w:rFonts w:hint="eastAsia" w:cs="Times New Roman"/>
                <w:color w:val="000000" w:themeColor="text1"/>
                <w:sz w:val="21"/>
                <w:szCs w:val="21"/>
                <w:lang w:val="en-US" w:eastAsia="zh-CN"/>
              </w:rPr>
              <w:t>0.017t/a</w:t>
            </w:r>
          </w:p>
        </w:tc>
        <w:tc>
          <w:tcPr>
            <w:tcW w:w="1720" w:type="dxa"/>
            <w:shd w:val="clear" w:color="auto" w:fill="auto"/>
            <w:vAlign w:val="center"/>
          </w:tcPr>
          <w:p w14:paraId="148E79EE">
            <w:pPr>
              <w:jc w:val="center"/>
              <w:rPr>
                <w:rFonts w:hint="default" w:ascii="Times New Roman" w:hAnsi="Times New Roman" w:cs="Times New Roman"/>
                <w:color w:val="000000" w:themeColor="text1"/>
              </w:rPr>
            </w:pPr>
            <w:r>
              <w:rPr>
                <w:rFonts w:hint="eastAsia" w:cs="Times New Roman"/>
                <w:color w:val="000000" w:themeColor="text1"/>
                <w:sz w:val="21"/>
                <w:szCs w:val="21"/>
                <w:lang w:val="en-US" w:eastAsia="zh-CN"/>
              </w:rPr>
              <w:t>+0.017t/a</w:t>
            </w:r>
          </w:p>
        </w:tc>
      </w:tr>
      <w:tr w14:paraId="78351B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25" w:type="dxa"/>
            <w:vMerge w:val="continue"/>
            <w:vAlign w:val="center"/>
          </w:tcPr>
          <w:p w14:paraId="4E3C329E">
            <w:pPr>
              <w:jc w:val="center"/>
              <w:rPr>
                <w:rFonts w:hint="default" w:ascii="Times New Roman" w:hAnsi="Times New Roman" w:cs="Times New Roman"/>
                <w:color w:val="000000" w:themeColor="text1"/>
              </w:rPr>
            </w:pPr>
          </w:p>
        </w:tc>
        <w:tc>
          <w:tcPr>
            <w:tcW w:w="1485" w:type="dxa"/>
            <w:gridSpan w:val="2"/>
            <w:shd w:val="clear" w:color="auto" w:fill="auto"/>
            <w:vAlign w:val="center"/>
          </w:tcPr>
          <w:p w14:paraId="0DDB4C91">
            <w:pPr>
              <w:spacing w:line="240" w:lineRule="auto"/>
              <w:jc w:val="center"/>
              <w:rPr>
                <w:rFonts w:hint="default" w:ascii="Times New Roman" w:hAnsi="Times New Roman" w:cs="Times New Roman"/>
                <w:color w:val="000000" w:themeColor="text1"/>
              </w:rPr>
            </w:pPr>
            <w:r>
              <w:rPr>
                <w:rFonts w:hint="eastAsia" w:ascii="Times New Roman" w:hAnsi="Times New Roman" w:cs="Times New Roman"/>
                <w:color w:val="000000" w:themeColor="text1"/>
                <w:lang w:val="en-US" w:eastAsia="zh-CN"/>
              </w:rPr>
              <w:t>焊渣</w:t>
            </w:r>
          </w:p>
        </w:tc>
        <w:tc>
          <w:tcPr>
            <w:tcW w:w="1648" w:type="dxa"/>
            <w:shd w:val="clear" w:color="auto" w:fill="auto"/>
            <w:vAlign w:val="center"/>
          </w:tcPr>
          <w:p w14:paraId="37D8346D">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w:t>
            </w:r>
          </w:p>
        </w:tc>
        <w:tc>
          <w:tcPr>
            <w:tcW w:w="1282" w:type="dxa"/>
            <w:shd w:val="clear" w:color="auto" w:fill="auto"/>
            <w:vAlign w:val="center"/>
          </w:tcPr>
          <w:p w14:paraId="04726D08">
            <w:pPr>
              <w:pStyle w:val="81"/>
              <w:spacing w:beforeLines="0" w:afterLines="0" w:line="240" w:lineRule="auto"/>
              <w:rPr>
                <w:rFonts w:hint="default" w:ascii="Times New Roman" w:hAnsi="Times New Roman" w:eastAsia="宋体" w:cs="Times New Roman"/>
                <w:snapToGrid w:val="0"/>
                <w:color w:val="000000" w:themeColor="text1"/>
                <w:kern w:val="21"/>
                <w:sz w:val="21"/>
                <w:szCs w:val="21"/>
                <w:lang w:val="en-US" w:eastAsia="zh-CN" w:bidi="ar-SA"/>
              </w:rPr>
            </w:pPr>
            <w:r>
              <w:rPr>
                <w:rFonts w:hint="default" w:ascii="Times New Roman" w:hAnsi="Times New Roman" w:cs="Times New Roman"/>
                <w:snapToGrid w:val="0"/>
                <w:color w:val="000000" w:themeColor="text1"/>
                <w:kern w:val="21"/>
                <w:lang w:val="en-US" w:eastAsia="zh-CN"/>
              </w:rPr>
              <w:t>/</w:t>
            </w:r>
          </w:p>
        </w:tc>
        <w:tc>
          <w:tcPr>
            <w:tcW w:w="1567" w:type="dxa"/>
            <w:shd w:val="clear" w:color="auto" w:fill="auto"/>
            <w:vAlign w:val="center"/>
          </w:tcPr>
          <w:p w14:paraId="74F94154">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w:t>
            </w:r>
          </w:p>
        </w:tc>
        <w:tc>
          <w:tcPr>
            <w:tcW w:w="1710" w:type="dxa"/>
            <w:shd w:val="clear" w:color="auto" w:fill="auto"/>
            <w:vAlign w:val="center"/>
          </w:tcPr>
          <w:p w14:paraId="30ACB0EC">
            <w:pPr>
              <w:jc w:val="center"/>
              <w:rPr>
                <w:rFonts w:hint="default" w:ascii="Times New Roman" w:hAnsi="Times New Roman" w:cs="Times New Roman"/>
                <w:color w:val="000000" w:themeColor="text1"/>
              </w:rPr>
            </w:pPr>
            <w:r>
              <w:rPr>
                <w:rFonts w:hint="eastAsia" w:cs="Times New Roman"/>
                <w:color w:val="000000" w:themeColor="text1"/>
                <w:sz w:val="21"/>
                <w:szCs w:val="21"/>
                <w:lang w:val="en-US" w:eastAsia="zh-CN"/>
              </w:rPr>
              <w:t>0.0004t/a</w:t>
            </w:r>
          </w:p>
        </w:tc>
        <w:tc>
          <w:tcPr>
            <w:tcW w:w="1425" w:type="dxa"/>
            <w:shd w:val="clear" w:color="auto" w:fill="auto"/>
            <w:vAlign w:val="center"/>
          </w:tcPr>
          <w:p w14:paraId="550FF47F">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w:t>
            </w:r>
          </w:p>
        </w:tc>
        <w:tc>
          <w:tcPr>
            <w:tcW w:w="1994" w:type="dxa"/>
            <w:shd w:val="clear" w:color="auto" w:fill="auto"/>
            <w:vAlign w:val="center"/>
          </w:tcPr>
          <w:p w14:paraId="5BF86712">
            <w:pPr>
              <w:jc w:val="center"/>
              <w:rPr>
                <w:rFonts w:hint="default" w:ascii="Times New Roman" w:hAnsi="Times New Roman" w:cs="Times New Roman"/>
                <w:color w:val="000000" w:themeColor="text1"/>
              </w:rPr>
            </w:pPr>
            <w:r>
              <w:rPr>
                <w:rFonts w:hint="eastAsia" w:cs="Times New Roman"/>
                <w:color w:val="000000" w:themeColor="text1"/>
                <w:sz w:val="21"/>
                <w:szCs w:val="21"/>
                <w:lang w:val="en-US" w:eastAsia="zh-CN"/>
              </w:rPr>
              <w:t>0.0004t/a</w:t>
            </w:r>
          </w:p>
        </w:tc>
        <w:tc>
          <w:tcPr>
            <w:tcW w:w="1720" w:type="dxa"/>
            <w:shd w:val="clear" w:color="auto" w:fill="auto"/>
            <w:vAlign w:val="center"/>
          </w:tcPr>
          <w:p w14:paraId="16C22AE7">
            <w:pPr>
              <w:jc w:val="center"/>
              <w:rPr>
                <w:rFonts w:hint="default" w:ascii="Times New Roman" w:hAnsi="Times New Roman" w:cs="Times New Roman"/>
                <w:color w:val="000000" w:themeColor="text1"/>
              </w:rPr>
            </w:pPr>
            <w:r>
              <w:rPr>
                <w:rFonts w:hint="eastAsia" w:cs="Times New Roman"/>
                <w:color w:val="000000" w:themeColor="text1"/>
                <w:sz w:val="21"/>
                <w:szCs w:val="21"/>
                <w:lang w:val="en-US" w:eastAsia="zh-CN"/>
              </w:rPr>
              <w:t>+0.0004t/a</w:t>
            </w:r>
          </w:p>
        </w:tc>
      </w:tr>
      <w:tr w14:paraId="7F1B57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25" w:type="dxa"/>
            <w:vMerge w:val="continue"/>
            <w:vAlign w:val="center"/>
          </w:tcPr>
          <w:p w14:paraId="7C9775C2">
            <w:pPr>
              <w:jc w:val="center"/>
              <w:rPr>
                <w:rFonts w:hint="default" w:ascii="Times New Roman" w:hAnsi="Times New Roman" w:cs="Times New Roman"/>
                <w:color w:val="000000" w:themeColor="text1"/>
              </w:rPr>
            </w:pPr>
          </w:p>
        </w:tc>
        <w:tc>
          <w:tcPr>
            <w:tcW w:w="1485" w:type="dxa"/>
            <w:gridSpan w:val="2"/>
            <w:shd w:val="clear" w:color="auto" w:fill="auto"/>
            <w:vAlign w:val="center"/>
          </w:tcPr>
          <w:p w14:paraId="4525DD7E">
            <w:pPr>
              <w:spacing w:line="240" w:lineRule="auto"/>
              <w:jc w:val="center"/>
              <w:rPr>
                <w:rFonts w:hint="default" w:ascii="Times New Roman" w:hAnsi="Times New Roman" w:cs="Times New Roman"/>
                <w:color w:val="000000" w:themeColor="text1"/>
              </w:rPr>
            </w:pPr>
            <w:r>
              <w:rPr>
                <w:rFonts w:hint="eastAsia" w:ascii="Times New Roman" w:hAnsi="Times New Roman" w:cs="Times New Roman"/>
                <w:color w:val="000000" w:themeColor="text1"/>
                <w:sz w:val="21"/>
                <w:szCs w:val="21"/>
                <w:lang w:val="en-US" w:eastAsia="zh-CN"/>
              </w:rPr>
              <w:t>废边角料</w:t>
            </w:r>
          </w:p>
        </w:tc>
        <w:tc>
          <w:tcPr>
            <w:tcW w:w="1648" w:type="dxa"/>
            <w:shd w:val="clear" w:color="auto" w:fill="auto"/>
            <w:vAlign w:val="center"/>
          </w:tcPr>
          <w:p w14:paraId="4BDA339C">
            <w:pPr>
              <w:pStyle w:val="81"/>
              <w:spacing w:beforeLines="0" w:afterLines="0" w:line="240" w:lineRule="auto"/>
              <w:rPr>
                <w:rFonts w:hint="default" w:ascii="Times New Roman" w:hAnsi="Times New Roman" w:cs="Times New Roman"/>
                <w:color w:val="000000" w:themeColor="text1"/>
                <w:lang w:val="en-US"/>
              </w:rPr>
            </w:pPr>
            <w:r>
              <w:rPr>
                <w:rFonts w:hint="default" w:ascii="Times New Roman" w:hAnsi="Times New Roman" w:cs="Times New Roman"/>
                <w:snapToGrid w:val="0"/>
                <w:color w:val="000000" w:themeColor="text1"/>
                <w:kern w:val="21"/>
                <w:lang w:val="en-US" w:eastAsia="zh-CN"/>
              </w:rPr>
              <w:t>/</w:t>
            </w:r>
          </w:p>
        </w:tc>
        <w:tc>
          <w:tcPr>
            <w:tcW w:w="1282" w:type="dxa"/>
            <w:shd w:val="clear" w:color="auto" w:fill="auto"/>
            <w:vAlign w:val="center"/>
          </w:tcPr>
          <w:p w14:paraId="7888B5F0">
            <w:pPr>
              <w:jc w:val="center"/>
              <w:rPr>
                <w:rFonts w:hint="default" w:ascii="Times New Roman" w:hAnsi="Times New Roman" w:eastAsia="宋体" w:cs="Times New Roman"/>
                <w:color w:val="000000" w:themeColor="text1"/>
                <w:kern w:val="2"/>
                <w:sz w:val="21"/>
                <w:szCs w:val="21"/>
                <w:lang w:val="en-US" w:eastAsia="zh-CN" w:bidi="ar-SA"/>
              </w:rPr>
            </w:pPr>
            <w:r>
              <w:rPr>
                <w:rFonts w:hint="default" w:ascii="Times New Roman" w:hAnsi="Times New Roman" w:cs="Times New Roman"/>
                <w:color w:val="000000" w:themeColor="text1"/>
              </w:rPr>
              <w:t>/</w:t>
            </w:r>
          </w:p>
        </w:tc>
        <w:tc>
          <w:tcPr>
            <w:tcW w:w="1567" w:type="dxa"/>
            <w:vAlign w:val="center"/>
          </w:tcPr>
          <w:p w14:paraId="7A997CE7">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w:t>
            </w:r>
          </w:p>
        </w:tc>
        <w:tc>
          <w:tcPr>
            <w:tcW w:w="1710" w:type="dxa"/>
            <w:shd w:val="clear" w:color="auto" w:fill="auto"/>
            <w:vAlign w:val="center"/>
          </w:tcPr>
          <w:p w14:paraId="5154DB90">
            <w:pPr>
              <w:jc w:val="center"/>
              <w:rPr>
                <w:rFonts w:hint="default" w:ascii="Times New Roman" w:hAnsi="Times New Roman" w:cs="Times New Roman"/>
                <w:color w:val="000000" w:themeColor="text1"/>
              </w:rPr>
            </w:pPr>
            <w:r>
              <w:rPr>
                <w:rFonts w:hint="eastAsia" w:ascii="Times New Roman" w:hAnsi="Times New Roman" w:eastAsia="宋体" w:cs="Times New Roman"/>
                <w:color w:val="000000" w:themeColor="text1"/>
                <w:sz w:val="21"/>
                <w:szCs w:val="21"/>
                <w:lang w:val="en-US" w:eastAsia="zh-CN"/>
              </w:rPr>
              <w:t>0.03t/a</w:t>
            </w:r>
          </w:p>
        </w:tc>
        <w:tc>
          <w:tcPr>
            <w:tcW w:w="1425" w:type="dxa"/>
            <w:shd w:val="clear" w:color="auto" w:fill="auto"/>
            <w:vAlign w:val="center"/>
          </w:tcPr>
          <w:p w14:paraId="104D77C7">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w:t>
            </w:r>
          </w:p>
        </w:tc>
        <w:tc>
          <w:tcPr>
            <w:tcW w:w="1994" w:type="dxa"/>
            <w:shd w:val="clear" w:color="auto" w:fill="auto"/>
            <w:vAlign w:val="center"/>
          </w:tcPr>
          <w:p w14:paraId="681373F1">
            <w:pPr>
              <w:jc w:val="center"/>
              <w:rPr>
                <w:rFonts w:hint="default" w:ascii="Times New Roman" w:hAnsi="Times New Roman" w:cs="Times New Roman"/>
                <w:color w:val="000000" w:themeColor="text1"/>
              </w:rPr>
            </w:pPr>
            <w:r>
              <w:rPr>
                <w:rFonts w:hint="eastAsia" w:ascii="Times New Roman" w:hAnsi="Times New Roman" w:eastAsia="宋体" w:cs="Times New Roman"/>
                <w:color w:val="000000" w:themeColor="text1"/>
                <w:sz w:val="21"/>
                <w:szCs w:val="21"/>
                <w:lang w:val="en-US" w:eastAsia="zh-CN"/>
              </w:rPr>
              <w:t>0.03t/a</w:t>
            </w:r>
          </w:p>
        </w:tc>
        <w:tc>
          <w:tcPr>
            <w:tcW w:w="1720" w:type="dxa"/>
            <w:shd w:val="clear" w:color="auto" w:fill="auto"/>
            <w:vAlign w:val="center"/>
          </w:tcPr>
          <w:p w14:paraId="3ADB4CCB">
            <w:pPr>
              <w:jc w:val="center"/>
              <w:rPr>
                <w:rFonts w:hint="default" w:ascii="Times New Roman" w:hAnsi="Times New Roman" w:cs="Times New Roman"/>
                <w:color w:val="000000" w:themeColor="text1"/>
              </w:rPr>
            </w:pPr>
            <w:r>
              <w:rPr>
                <w:rFonts w:hint="eastAsia" w:ascii="Times New Roman" w:hAnsi="Times New Roman" w:eastAsia="宋体" w:cs="Times New Roman"/>
                <w:color w:val="000000" w:themeColor="text1"/>
                <w:sz w:val="21"/>
                <w:szCs w:val="21"/>
                <w:lang w:val="en-US" w:eastAsia="zh-CN"/>
              </w:rPr>
              <w:t>+0.03t/a</w:t>
            </w:r>
          </w:p>
        </w:tc>
      </w:tr>
      <w:tr w14:paraId="232FD4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25" w:type="dxa"/>
            <w:vMerge w:val="continue"/>
            <w:vAlign w:val="center"/>
          </w:tcPr>
          <w:p w14:paraId="18BEBFDC">
            <w:pPr>
              <w:jc w:val="center"/>
              <w:rPr>
                <w:rFonts w:hint="default" w:ascii="Times New Roman" w:hAnsi="Times New Roman" w:cs="Times New Roman"/>
                <w:color w:val="000000" w:themeColor="text1"/>
              </w:rPr>
            </w:pPr>
          </w:p>
        </w:tc>
        <w:tc>
          <w:tcPr>
            <w:tcW w:w="1485" w:type="dxa"/>
            <w:gridSpan w:val="2"/>
            <w:shd w:val="clear" w:color="auto" w:fill="auto"/>
            <w:vAlign w:val="center"/>
          </w:tcPr>
          <w:p w14:paraId="012F7FDD">
            <w:pPr>
              <w:spacing w:line="240" w:lineRule="auto"/>
              <w:jc w:val="center"/>
              <w:rPr>
                <w:rFonts w:hint="eastAsia" w:ascii="Times New Roman" w:hAnsi="Times New Roman" w:cs="Times New Roman"/>
                <w:color w:val="000000" w:themeColor="text1"/>
                <w:sz w:val="21"/>
                <w:szCs w:val="21"/>
                <w:lang w:val="en-US" w:eastAsia="zh-CN"/>
              </w:rPr>
            </w:pPr>
            <w:r>
              <w:rPr>
                <w:rFonts w:hint="eastAsia" w:ascii="Times New Roman" w:hAnsi="Times New Roman" w:cs="Times New Roman"/>
                <w:color w:val="000000" w:themeColor="text1"/>
                <w:sz w:val="21"/>
                <w:szCs w:val="21"/>
                <w:lang w:val="en-US" w:eastAsia="zh-CN"/>
              </w:rPr>
              <w:t>废包装材料（不含化学品包装桶）</w:t>
            </w:r>
          </w:p>
        </w:tc>
        <w:tc>
          <w:tcPr>
            <w:tcW w:w="1648" w:type="dxa"/>
            <w:shd w:val="clear" w:color="auto" w:fill="auto"/>
            <w:vAlign w:val="center"/>
          </w:tcPr>
          <w:p w14:paraId="7396CAC5">
            <w:pPr>
              <w:jc w:val="center"/>
              <w:rPr>
                <w:rFonts w:hint="default" w:ascii="Times New Roman" w:hAnsi="Times New Roman" w:cs="Times New Roman"/>
                <w:color w:val="000000" w:themeColor="text1"/>
                <w:lang w:val="en-US"/>
              </w:rPr>
            </w:pPr>
            <w:r>
              <w:rPr>
                <w:rFonts w:hint="default" w:ascii="Times New Roman" w:hAnsi="Times New Roman" w:cs="Times New Roman"/>
                <w:color w:val="000000" w:themeColor="text1"/>
              </w:rPr>
              <w:t>/</w:t>
            </w:r>
          </w:p>
        </w:tc>
        <w:tc>
          <w:tcPr>
            <w:tcW w:w="1282" w:type="dxa"/>
            <w:shd w:val="clear" w:color="auto" w:fill="auto"/>
            <w:vAlign w:val="center"/>
          </w:tcPr>
          <w:p w14:paraId="4254F66B">
            <w:pPr>
              <w:pStyle w:val="81"/>
              <w:spacing w:beforeLines="0" w:afterLines="0" w:line="240" w:lineRule="auto"/>
              <w:rPr>
                <w:rFonts w:hint="default" w:ascii="Times New Roman" w:hAnsi="Times New Roman" w:eastAsia="宋体" w:cs="Times New Roman"/>
                <w:color w:val="000000" w:themeColor="text1"/>
                <w:kern w:val="0"/>
                <w:sz w:val="21"/>
                <w:szCs w:val="21"/>
                <w:lang w:val="en-US" w:eastAsia="zh-CN" w:bidi="ar-SA"/>
              </w:rPr>
            </w:pPr>
            <w:r>
              <w:rPr>
                <w:rFonts w:hint="default" w:ascii="Times New Roman" w:hAnsi="Times New Roman" w:cs="Times New Roman"/>
                <w:snapToGrid w:val="0"/>
                <w:color w:val="000000" w:themeColor="text1"/>
                <w:kern w:val="21"/>
                <w:lang w:val="en-US" w:eastAsia="zh-CN"/>
              </w:rPr>
              <w:t>/</w:t>
            </w:r>
          </w:p>
        </w:tc>
        <w:tc>
          <w:tcPr>
            <w:tcW w:w="1567" w:type="dxa"/>
            <w:vAlign w:val="center"/>
          </w:tcPr>
          <w:p w14:paraId="6768AA54">
            <w:pPr>
              <w:pStyle w:val="81"/>
              <w:spacing w:beforeLines="0" w:afterLines="0" w:line="240" w:lineRule="auto"/>
              <w:rPr>
                <w:rFonts w:hint="default" w:ascii="Times New Roman" w:hAnsi="Times New Roman" w:cs="Times New Roman"/>
                <w:color w:val="000000" w:themeColor="text1"/>
              </w:rPr>
            </w:pPr>
            <w:r>
              <w:rPr>
                <w:rFonts w:hint="default" w:ascii="Times New Roman" w:hAnsi="Times New Roman" w:cs="Times New Roman"/>
                <w:snapToGrid w:val="0"/>
                <w:color w:val="000000" w:themeColor="text1"/>
                <w:kern w:val="21"/>
                <w:lang w:val="en-US" w:eastAsia="zh-CN"/>
              </w:rPr>
              <w:t>/</w:t>
            </w:r>
          </w:p>
        </w:tc>
        <w:tc>
          <w:tcPr>
            <w:tcW w:w="1710" w:type="dxa"/>
            <w:shd w:val="clear" w:color="auto" w:fill="auto"/>
            <w:vAlign w:val="center"/>
          </w:tcPr>
          <w:p w14:paraId="4E435489">
            <w:pPr>
              <w:jc w:val="center"/>
              <w:rPr>
                <w:rFonts w:hint="eastAsia" w:cs="Times New Roman"/>
                <w:color w:val="000000" w:themeColor="text1"/>
                <w:lang w:val="en-US" w:eastAsia="zh-CN"/>
              </w:rPr>
            </w:pPr>
            <w:r>
              <w:rPr>
                <w:rFonts w:hint="eastAsia" w:cs="Times New Roman"/>
                <w:color w:val="000000" w:themeColor="text1"/>
                <w:sz w:val="21"/>
                <w:szCs w:val="21"/>
                <w:lang w:val="en-US" w:eastAsia="zh-CN"/>
              </w:rPr>
              <w:t>0.1t/a</w:t>
            </w:r>
          </w:p>
        </w:tc>
        <w:tc>
          <w:tcPr>
            <w:tcW w:w="1425" w:type="dxa"/>
            <w:shd w:val="clear" w:color="auto" w:fill="auto"/>
            <w:vAlign w:val="center"/>
          </w:tcPr>
          <w:p w14:paraId="02A37674">
            <w:pPr>
              <w:pStyle w:val="81"/>
              <w:spacing w:beforeLines="0" w:afterLines="0" w:line="240" w:lineRule="auto"/>
              <w:rPr>
                <w:rFonts w:hint="default" w:ascii="Times New Roman" w:hAnsi="Times New Roman" w:cs="Times New Roman"/>
                <w:color w:val="000000" w:themeColor="text1"/>
              </w:rPr>
            </w:pPr>
            <w:r>
              <w:rPr>
                <w:rFonts w:hint="default" w:ascii="Times New Roman" w:hAnsi="Times New Roman" w:cs="Times New Roman"/>
                <w:snapToGrid w:val="0"/>
                <w:color w:val="000000" w:themeColor="text1"/>
                <w:kern w:val="21"/>
                <w:lang w:val="en-US" w:eastAsia="zh-CN"/>
              </w:rPr>
              <w:t>/</w:t>
            </w:r>
          </w:p>
        </w:tc>
        <w:tc>
          <w:tcPr>
            <w:tcW w:w="1994" w:type="dxa"/>
            <w:shd w:val="clear" w:color="auto" w:fill="auto"/>
            <w:vAlign w:val="center"/>
          </w:tcPr>
          <w:p w14:paraId="49057932">
            <w:pPr>
              <w:jc w:val="center"/>
              <w:rPr>
                <w:rFonts w:hint="eastAsia" w:cs="Times New Roman"/>
                <w:color w:val="000000" w:themeColor="text1"/>
                <w:lang w:val="en-US" w:eastAsia="zh-CN"/>
              </w:rPr>
            </w:pPr>
            <w:r>
              <w:rPr>
                <w:rFonts w:hint="eastAsia" w:cs="Times New Roman"/>
                <w:color w:val="000000" w:themeColor="text1"/>
                <w:sz w:val="21"/>
                <w:szCs w:val="21"/>
                <w:lang w:val="en-US" w:eastAsia="zh-CN"/>
              </w:rPr>
              <w:t>0.1t/a</w:t>
            </w:r>
          </w:p>
        </w:tc>
        <w:tc>
          <w:tcPr>
            <w:tcW w:w="1720" w:type="dxa"/>
            <w:shd w:val="clear" w:color="auto" w:fill="auto"/>
            <w:vAlign w:val="center"/>
          </w:tcPr>
          <w:p w14:paraId="3B0B0595">
            <w:pPr>
              <w:jc w:val="center"/>
              <w:rPr>
                <w:rFonts w:hint="eastAsia" w:cs="Times New Roman"/>
                <w:color w:val="000000" w:themeColor="text1"/>
                <w:lang w:val="en-US" w:eastAsia="zh-CN"/>
              </w:rPr>
            </w:pPr>
            <w:r>
              <w:rPr>
                <w:rFonts w:hint="eastAsia" w:cs="Times New Roman"/>
                <w:color w:val="000000" w:themeColor="text1"/>
                <w:sz w:val="21"/>
                <w:szCs w:val="21"/>
                <w:lang w:val="en-US" w:eastAsia="zh-CN"/>
              </w:rPr>
              <w:t>+0.1t/a</w:t>
            </w:r>
          </w:p>
        </w:tc>
      </w:tr>
      <w:tr w14:paraId="5A010D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25" w:type="dxa"/>
            <w:vMerge w:val="restart"/>
            <w:vAlign w:val="center"/>
          </w:tcPr>
          <w:p w14:paraId="5138452F">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危险</w:t>
            </w:r>
          </w:p>
          <w:p w14:paraId="49E630F0">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废物</w:t>
            </w:r>
          </w:p>
        </w:tc>
        <w:tc>
          <w:tcPr>
            <w:tcW w:w="1485" w:type="dxa"/>
            <w:gridSpan w:val="2"/>
            <w:tcBorders>
              <w:bottom w:val="single" w:color="auto" w:sz="8" w:space="0"/>
            </w:tcBorders>
            <w:shd w:val="clear" w:color="auto" w:fill="auto"/>
            <w:vAlign w:val="center"/>
          </w:tcPr>
          <w:p w14:paraId="0C9040ED">
            <w:pPr>
              <w:spacing w:line="240" w:lineRule="auto"/>
              <w:jc w:val="center"/>
              <w:rPr>
                <w:rFonts w:hint="default" w:ascii="Times New Roman" w:hAnsi="Times New Roman" w:cs="Times New Roman"/>
                <w:color w:val="000000" w:themeColor="text1"/>
              </w:rPr>
            </w:pPr>
            <w:r>
              <w:rPr>
                <w:rFonts w:hint="eastAsia" w:ascii="Times New Roman" w:hAnsi="Times New Roman" w:cs="Times New Roman"/>
                <w:color w:val="000000" w:themeColor="text1"/>
                <w:lang w:val="en-US" w:eastAsia="zh-CN"/>
              </w:rPr>
              <w:t>废滤芯</w:t>
            </w:r>
          </w:p>
        </w:tc>
        <w:tc>
          <w:tcPr>
            <w:tcW w:w="1648" w:type="dxa"/>
            <w:tcBorders>
              <w:bottom w:val="single" w:color="auto" w:sz="8" w:space="0"/>
            </w:tcBorders>
            <w:shd w:val="clear" w:color="auto" w:fill="auto"/>
            <w:vAlign w:val="center"/>
          </w:tcPr>
          <w:p w14:paraId="11DCE805">
            <w:pPr>
              <w:pStyle w:val="81"/>
              <w:spacing w:beforeLines="0" w:afterLines="0" w:line="240" w:lineRule="auto"/>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snapToGrid w:val="0"/>
                <w:color w:val="000000" w:themeColor="text1"/>
                <w:kern w:val="21"/>
                <w:lang w:val="en-US" w:eastAsia="zh-CN"/>
              </w:rPr>
              <w:t>/</w:t>
            </w:r>
          </w:p>
        </w:tc>
        <w:tc>
          <w:tcPr>
            <w:tcW w:w="1282" w:type="dxa"/>
            <w:tcBorders>
              <w:bottom w:val="single" w:color="auto" w:sz="8" w:space="0"/>
            </w:tcBorders>
            <w:shd w:val="clear" w:color="auto" w:fill="auto"/>
            <w:vAlign w:val="center"/>
          </w:tcPr>
          <w:p w14:paraId="4921DAF4">
            <w:pPr>
              <w:jc w:val="center"/>
              <w:rPr>
                <w:rFonts w:hint="default" w:ascii="Times New Roman" w:hAnsi="Times New Roman" w:eastAsia="宋体" w:cs="Times New Roman"/>
                <w:snapToGrid w:val="0"/>
                <w:color w:val="000000" w:themeColor="text1"/>
                <w:kern w:val="21"/>
                <w:sz w:val="21"/>
                <w:szCs w:val="21"/>
                <w:lang w:val="en-US" w:eastAsia="zh-CN" w:bidi="ar-SA"/>
              </w:rPr>
            </w:pPr>
            <w:r>
              <w:rPr>
                <w:rFonts w:hint="default" w:ascii="Times New Roman" w:hAnsi="Times New Roman" w:cs="Times New Roman"/>
                <w:color w:val="000000" w:themeColor="text1"/>
              </w:rPr>
              <w:t>/</w:t>
            </w:r>
          </w:p>
        </w:tc>
        <w:tc>
          <w:tcPr>
            <w:tcW w:w="1567" w:type="dxa"/>
            <w:tcBorders>
              <w:bottom w:val="single" w:color="auto" w:sz="8" w:space="0"/>
            </w:tcBorders>
            <w:vAlign w:val="center"/>
          </w:tcPr>
          <w:p w14:paraId="0A30777D">
            <w:pPr>
              <w:jc w:val="center"/>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color w:val="000000" w:themeColor="text1"/>
              </w:rPr>
              <w:t>/</w:t>
            </w:r>
          </w:p>
        </w:tc>
        <w:tc>
          <w:tcPr>
            <w:tcW w:w="1710" w:type="dxa"/>
            <w:tcBorders>
              <w:bottom w:val="single" w:color="auto" w:sz="8" w:space="0"/>
            </w:tcBorders>
            <w:shd w:val="clear" w:color="auto" w:fill="auto"/>
            <w:vAlign w:val="center"/>
          </w:tcPr>
          <w:p w14:paraId="470F7606">
            <w:pPr>
              <w:jc w:val="center"/>
              <w:rPr>
                <w:rFonts w:hint="default" w:ascii="Times New Roman" w:hAnsi="Times New Roman" w:cs="Times New Roman"/>
                <w:color w:val="000000" w:themeColor="text1"/>
                <w:lang w:val="en-US"/>
              </w:rPr>
            </w:pPr>
            <w:r>
              <w:rPr>
                <w:rFonts w:hint="eastAsia"/>
                <w:snapToGrid w:val="0"/>
                <w:color w:val="000000" w:themeColor="text1"/>
                <w:kern w:val="21"/>
                <w:szCs w:val="21"/>
                <w:lang w:val="en-US" w:eastAsia="zh-CN"/>
              </w:rPr>
              <w:t>0.02t/a</w:t>
            </w:r>
          </w:p>
        </w:tc>
        <w:tc>
          <w:tcPr>
            <w:tcW w:w="1425" w:type="dxa"/>
            <w:tcBorders>
              <w:bottom w:val="single" w:color="auto" w:sz="8" w:space="0"/>
            </w:tcBorders>
            <w:shd w:val="clear" w:color="auto" w:fill="auto"/>
            <w:vAlign w:val="center"/>
          </w:tcPr>
          <w:p w14:paraId="7D7B0A8F">
            <w:pPr>
              <w:jc w:val="center"/>
              <w:rPr>
                <w:rFonts w:hint="default" w:ascii="Times New Roman" w:hAnsi="Times New Roman" w:cs="Times New Roman"/>
                <w:snapToGrid w:val="0"/>
                <w:color w:val="000000" w:themeColor="text1"/>
                <w:kern w:val="21"/>
                <w:lang w:val="en-US" w:eastAsia="zh-CN"/>
              </w:rPr>
            </w:pPr>
            <w:r>
              <w:rPr>
                <w:rFonts w:hint="default" w:ascii="Times New Roman" w:hAnsi="Times New Roman" w:cs="Times New Roman"/>
                <w:color w:val="000000" w:themeColor="text1"/>
              </w:rPr>
              <w:t>/</w:t>
            </w:r>
          </w:p>
        </w:tc>
        <w:tc>
          <w:tcPr>
            <w:tcW w:w="1994" w:type="dxa"/>
            <w:tcBorders>
              <w:bottom w:val="single" w:color="auto" w:sz="8" w:space="0"/>
            </w:tcBorders>
            <w:shd w:val="clear" w:color="auto" w:fill="auto"/>
            <w:vAlign w:val="center"/>
          </w:tcPr>
          <w:p w14:paraId="37FC30A4">
            <w:pPr>
              <w:jc w:val="center"/>
              <w:rPr>
                <w:rFonts w:hint="default" w:ascii="Times New Roman" w:hAnsi="Times New Roman" w:cs="Times New Roman"/>
                <w:color w:val="000000" w:themeColor="text1"/>
              </w:rPr>
            </w:pPr>
            <w:r>
              <w:rPr>
                <w:rFonts w:hint="eastAsia"/>
                <w:snapToGrid w:val="0"/>
                <w:color w:val="000000" w:themeColor="text1"/>
                <w:kern w:val="21"/>
                <w:szCs w:val="21"/>
                <w:lang w:val="en-US" w:eastAsia="zh-CN"/>
              </w:rPr>
              <w:t>0.02t/a</w:t>
            </w:r>
          </w:p>
        </w:tc>
        <w:tc>
          <w:tcPr>
            <w:tcW w:w="1720" w:type="dxa"/>
            <w:tcBorders>
              <w:bottom w:val="single" w:color="auto" w:sz="8" w:space="0"/>
            </w:tcBorders>
            <w:shd w:val="clear" w:color="auto" w:fill="auto"/>
            <w:vAlign w:val="center"/>
          </w:tcPr>
          <w:p w14:paraId="0C879E42">
            <w:pPr>
              <w:jc w:val="center"/>
              <w:rPr>
                <w:rFonts w:hint="default" w:ascii="Times New Roman" w:hAnsi="Times New Roman" w:cs="Times New Roman"/>
                <w:color w:val="000000" w:themeColor="text1"/>
              </w:rPr>
            </w:pPr>
            <w:r>
              <w:rPr>
                <w:rFonts w:hint="eastAsia"/>
                <w:snapToGrid w:val="0"/>
                <w:color w:val="000000" w:themeColor="text1"/>
                <w:kern w:val="21"/>
                <w:szCs w:val="21"/>
                <w:lang w:val="en-US" w:eastAsia="zh-CN"/>
              </w:rPr>
              <w:t>+0.02t/a</w:t>
            </w:r>
          </w:p>
        </w:tc>
      </w:tr>
      <w:tr w14:paraId="290B49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25" w:type="dxa"/>
            <w:vMerge w:val="continue"/>
            <w:vAlign w:val="center"/>
          </w:tcPr>
          <w:p w14:paraId="2EC22519">
            <w:pPr>
              <w:jc w:val="center"/>
              <w:rPr>
                <w:rFonts w:hint="default" w:ascii="Times New Roman" w:hAnsi="Times New Roman" w:cs="Times New Roman"/>
                <w:color w:val="000000" w:themeColor="text1"/>
              </w:rPr>
            </w:pPr>
          </w:p>
        </w:tc>
        <w:tc>
          <w:tcPr>
            <w:tcW w:w="1485" w:type="dxa"/>
            <w:gridSpan w:val="2"/>
            <w:tcBorders>
              <w:bottom w:val="single" w:color="auto" w:sz="8" w:space="0"/>
            </w:tcBorders>
            <w:shd w:val="clear" w:color="auto" w:fill="auto"/>
            <w:vAlign w:val="center"/>
          </w:tcPr>
          <w:p w14:paraId="1C0A53AF">
            <w:pPr>
              <w:spacing w:line="240" w:lineRule="auto"/>
              <w:jc w:val="center"/>
              <w:rPr>
                <w:rFonts w:hint="default" w:ascii="Times New Roman" w:hAnsi="Times New Roman" w:cs="Times New Roman"/>
                <w:color w:val="000000" w:themeColor="text1"/>
              </w:rPr>
            </w:pPr>
            <w:r>
              <w:rPr>
                <w:rFonts w:hint="default" w:ascii="Times New Roman" w:hAnsi="Times New Roman" w:cs="Times New Roman"/>
                <w:color w:val="000000" w:themeColor="text1"/>
                <w:lang w:val="en-US" w:eastAsia="zh-CN"/>
              </w:rPr>
              <w:t>油渣</w:t>
            </w:r>
          </w:p>
        </w:tc>
        <w:tc>
          <w:tcPr>
            <w:tcW w:w="1648" w:type="dxa"/>
            <w:tcBorders>
              <w:bottom w:val="single" w:color="auto" w:sz="8" w:space="0"/>
            </w:tcBorders>
            <w:shd w:val="clear" w:color="auto" w:fill="auto"/>
            <w:vAlign w:val="center"/>
          </w:tcPr>
          <w:p w14:paraId="118D9043">
            <w:pPr>
              <w:jc w:val="center"/>
              <w:rPr>
                <w:rFonts w:hint="eastAsia" w:ascii="Times New Roman" w:hAnsi="Times New Roman" w:eastAsia="宋体" w:cs="Times New Roman"/>
                <w:color w:val="000000" w:themeColor="text1"/>
                <w:lang w:eastAsia="zh-CN"/>
              </w:rPr>
            </w:pPr>
            <w:r>
              <w:rPr>
                <w:rFonts w:hint="default" w:ascii="Times New Roman" w:hAnsi="Times New Roman" w:cs="Times New Roman"/>
                <w:color w:val="000000" w:themeColor="text1"/>
              </w:rPr>
              <w:t>/</w:t>
            </w:r>
          </w:p>
        </w:tc>
        <w:tc>
          <w:tcPr>
            <w:tcW w:w="1282" w:type="dxa"/>
            <w:tcBorders>
              <w:bottom w:val="single" w:color="auto" w:sz="8" w:space="0"/>
            </w:tcBorders>
            <w:shd w:val="clear" w:color="auto" w:fill="auto"/>
            <w:vAlign w:val="center"/>
          </w:tcPr>
          <w:p w14:paraId="0FF8AC7C">
            <w:pPr>
              <w:pStyle w:val="81"/>
              <w:spacing w:beforeLines="0" w:afterLines="0" w:line="240" w:lineRule="auto"/>
              <w:rPr>
                <w:rFonts w:hint="default" w:ascii="Times New Roman" w:hAnsi="Times New Roman" w:eastAsia="宋体" w:cs="Times New Roman"/>
                <w:color w:val="000000" w:themeColor="text1"/>
                <w:kern w:val="0"/>
                <w:sz w:val="21"/>
                <w:szCs w:val="21"/>
                <w:lang w:val="en-US" w:eastAsia="zh-CN" w:bidi="ar-SA"/>
              </w:rPr>
            </w:pPr>
            <w:r>
              <w:rPr>
                <w:rFonts w:hint="default" w:ascii="Times New Roman" w:hAnsi="Times New Roman" w:cs="Times New Roman"/>
                <w:snapToGrid w:val="0"/>
                <w:color w:val="000000" w:themeColor="text1"/>
                <w:kern w:val="21"/>
                <w:lang w:val="en-US" w:eastAsia="zh-CN"/>
              </w:rPr>
              <w:t>/</w:t>
            </w:r>
          </w:p>
        </w:tc>
        <w:tc>
          <w:tcPr>
            <w:tcW w:w="1567" w:type="dxa"/>
            <w:tcBorders>
              <w:bottom w:val="single" w:color="auto" w:sz="8" w:space="0"/>
            </w:tcBorders>
            <w:vAlign w:val="center"/>
          </w:tcPr>
          <w:p w14:paraId="3AFA14FA">
            <w:pPr>
              <w:pStyle w:val="81"/>
              <w:spacing w:beforeLines="0" w:afterLines="0" w:line="240" w:lineRule="auto"/>
              <w:rPr>
                <w:rFonts w:hint="default" w:ascii="Times New Roman" w:hAnsi="Times New Roman" w:cs="Times New Roman"/>
                <w:color w:val="000000" w:themeColor="text1"/>
              </w:rPr>
            </w:pPr>
            <w:r>
              <w:rPr>
                <w:rFonts w:hint="default" w:ascii="Times New Roman" w:hAnsi="Times New Roman" w:cs="Times New Roman"/>
                <w:snapToGrid w:val="0"/>
                <w:color w:val="000000" w:themeColor="text1"/>
                <w:kern w:val="21"/>
                <w:lang w:val="en-US" w:eastAsia="zh-CN"/>
              </w:rPr>
              <w:t>/</w:t>
            </w:r>
          </w:p>
        </w:tc>
        <w:tc>
          <w:tcPr>
            <w:tcW w:w="1710" w:type="dxa"/>
            <w:tcBorders>
              <w:bottom w:val="single" w:color="auto" w:sz="8" w:space="0"/>
            </w:tcBorders>
            <w:shd w:val="clear" w:color="auto" w:fill="auto"/>
            <w:vAlign w:val="center"/>
          </w:tcPr>
          <w:p w14:paraId="6274A555">
            <w:pPr>
              <w:jc w:val="center"/>
              <w:rPr>
                <w:rFonts w:hint="default" w:ascii="Times New Roman" w:hAnsi="Times New Roman" w:cs="Times New Roman"/>
                <w:color w:val="000000" w:themeColor="text1"/>
                <w:lang w:val="en-US"/>
              </w:rPr>
            </w:pPr>
            <w:r>
              <w:rPr>
                <w:rFonts w:hint="eastAsia"/>
                <w:snapToGrid w:val="0"/>
                <w:color w:val="000000" w:themeColor="text1"/>
                <w:kern w:val="21"/>
                <w:szCs w:val="21"/>
                <w:lang w:val="en-US" w:eastAsia="zh-CN"/>
              </w:rPr>
              <w:t>0.001t/a</w:t>
            </w:r>
          </w:p>
        </w:tc>
        <w:tc>
          <w:tcPr>
            <w:tcW w:w="1425" w:type="dxa"/>
            <w:tcBorders>
              <w:bottom w:val="single" w:color="auto" w:sz="8" w:space="0"/>
            </w:tcBorders>
            <w:shd w:val="clear" w:color="auto" w:fill="auto"/>
            <w:vAlign w:val="center"/>
          </w:tcPr>
          <w:p w14:paraId="46350F8A">
            <w:pPr>
              <w:pStyle w:val="81"/>
              <w:spacing w:beforeLines="0" w:afterLines="0" w:line="240" w:lineRule="auto"/>
              <w:rPr>
                <w:rFonts w:hint="default" w:ascii="Times New Roman" w:hAnsi="Times New Roman" w:cs="Times New Roman"/>
                <w:color w:val="000000" w:themeColor="text1"/>
              </w:rPr>
            </w:pPr>
            <w:r>
              <w:rPr>
                <w:rFonts w:hint="default" w:ascii="Times New Roman" w:hAnsi="Times New Roman" w:cs="Times New Roman"/>
                <w:snapToGrid w:val="0"/>
                <w:color w:val="000000" w:themeColor="text1"/>
                <w:kern w:val="21"/>
                <w:lang w:val="en-US" w:eastAsia="zh-CN"/>
              </w:rPr>
              <w:t>/</w:t>
            </w:r>
          </w:p>
        </w:tc>
        <w:tc>
          <w:tcPr>
            <w:tcW w:w="1994" w:type="dxa"/>
            <w:tcBorders>
              <w:bottom w:val="single" w:color="auto" w:sz="8" w:space="0"/>
            </w:tcBorders>
            <w:shd w:val="clear" w:color="auto" w:fill="auto"/>
            <w:vAlign w:val="center"/>
          </w:tcPr>
          <w:p w14:paraId="38598BB2">
            <w:pPr>
              <w:jc w:val="center"/>
              <w:rPr>
                <w:rFonts w:hint="default" w:ascii="Times New Roman" w:hAnsi="Times New Roman" w:cs="Times New Roman"/>
                <w:color w:val="000000" w:themeColor="text1"/>
              </w:rPr>
            </w:pPr>
            <w:r>
              <w:rPr>
                <w:rFonts w:hint="eastAsia"/>
                <w:snapToGrid w:val="0"/>
                <w:color w:val="000000" w:themeColor="text1"/>
                <w:kern w:val="21"/>
                <w:szCs w:val="21"/>
                <w:lang w:val="en-US" w:eastAsia="zh-CN"/>
              </w:rPr>
              <w:t>0.001t/a</w:t>
            </w:r>
          </w:p>
        </w:tc>
        <w:tc>
          <w:tcPr>
            <w:tcW w:w="1720" w:type="dxa"/>
            <w:tcBorders>
              <w:bottom w:val="single" w:color="auto" w:sz="8" w:space="0"/>
            </w:tcBorders>
            <w:shd w:val="clear" w:color="auto" w:fill="auto"/>
            <w:vAlign w:val="center"/>
          </w:tcPr>
          <w:p w14:paraId="5A6B9795">
            <w:pPr>
              <w:jc w:val="center"/>
              <w:rPr>
                <w:rFonts w:hint="default" w:ascii="Times New Roman" w:hAnsi="Times New Roman" w:cs="Times New Roman"/>
                <w:color w:val="000000" w:themeColor="text1"/>
              </w:rPr>
            </w:pPr>
            <w:r>
              <w:rPr>
                <w:rFonts w:hint="eastAsia"/>
                <w:snapToGrid w:val="0"/>
                <w:color w:val="000000" w:themeColor="text1"/>
                <w:kern w:val="21"/>
                <w:szCs w:val="21"/>
                <w:lang w:val="en-US" w:eastAsia="zh-CN"/>
              </w:rPr>
              <w:t>+0.001t/a</w:t>
            </w:r>
          </w:p>
        </w:tc>
      </w:tr>
      <w:tr w14:paraId="64F43B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25" w:type="dxa"/>
            <w:vMerge w:val="continue"/>
            <w:vAlign w:val="center"/>
          </w:tcPr>
          <w:p w14:paraId="325A69DA">
            <w:pPr>
              <w:jc w:val="center"/>
              <w:rPr>
                <w:rFonts w:hint="default" w:ascii="Times New Roman" w:hAnsi="Times New Roman" w:cs="Times New Roman"/>
                <w:color w:val="000000" w:themeColor="text1"/>
              </w:rPr>
            </w:pPr>
          </w:p>
        </w:tc>
        <w:tc>
          <w:tcPr>
            <w:tcW w:w="1485" w:type="dxa"/>
            <w:gridSpan w:val="2"/>
            <w:tcBorders>
              <w:bottom w:val="single" w:color="auto" w:sz="8" w:space="0"/>
            </w:tcBorders>
            <w:shd w:val="clear" w:color="auto" w:fill="auto"/>
            <w:vAlign w:val="center"/>
          </w:tcPr>
          <w:p w14:paraId="5DA44B0D">
            <w:pPr>
              <w:spacing w:line="240" w:lineRule="auto"/>
              <w:jc w:val="center"/>
              <w:rPr>
                <w:rFonts w:hint="default" w:ascii="Times New Roman" w:hAnsi="Times New Roman" w:cs="Times New Roman"/>
                <w:color w:val="000000" w:themeColor="text1"/>
                <w:lang w:val="en-US" w:eastAsia="zh-CN"/>
              </w:rPr>
            </w:pPr>
            <w:r>
              <w:rPr>
                <w:rFonts w:hint="eastAsia" w:cs="Times New Roman"/>
                <w:color w:val="000000" w:themeColor="text1"/>
                <w:kern w:val="0"/>
                <w:sz w:val="21"/>
                <w:szCs w:val="21"/>
                <w:lang w:val="en-US" w:eastAsia="zh-CN"/>
              </w:rPr>
              <w:t>固化后的废环氧树脂料</w:t>
            </w:r>
          </w:p>
        </w:tc>
        <w:tc>
          <w:tcPr>
            <w:tcW w:w="1648" w:type="dxa"/>
            <w:tcBorders>
              <w:bottom w:val="single" w:color="auto" w:sz="8" w:space="0"/>
            </w:tcBorders>
            <w:shd w:val="clear" w:color="auto" w:fill="auto"/>
            <w:vAlign w:val="center"/>
          </w:tcPr>
          <w:p w14:paraId="7BA894E3">
            <w:pPr>
              <w:pStyle w:val="81"/>
              <w:spacing w:beforeLines="0" w:afterLines="0" w:line="240" w:lineRule="auto"/>
              <w:rPr>
                <w:rFonts w:hint="eastAsia" w:ascii="Times New Roman" w:hAnsi="Times New Roman" w:eastAsia="宋体" w:cs="Times New Roman"/>
                <w:color w:val="000000" w:themeColor="text1"/>
                <w:lang w:val="en-US" w:eastAsia="zh-CN"/>
              </w:rPr>
            </w:pPr>
            <w:r>
              <w:rPr>
                <w:rFonts w:hint="default" w:ascii="Times New Roman" w:hAnsi="Times New Roman" w:cs="Times New Roman"/>
                <w:snapToGrid w:val="0"/>
                <w:color w:val="000000" w:themeColor="text1"/>
                <w:kern w:val="21"/>
                <w:lang w:val="en-US" w:eastAsia="zh-CN"/>
              </w:rPr>
              <w:t>/</w:t>
            </w:r>
          </w:p>
        </w:tc>
        <w:tc>
          <w:tcPr>
            <w:tcW w:w="1282" w:type="dxa"/>
            <w:tcBorders>
              <w:bottom w:val="single" w:color="auto" w:sz="8" w:space="0"/>
            </w:tcBorders>
            <w:shd w:val="clear" w:color="auto" w:fill="auto"/>
            <w:vAlign w:val="center"/>
          </w:tcPr>
          <w:p w14:paraId="12CB67FF">
            <w:pPr>
              <w:jc w:val="center"/>
              <w:rPr>
                <w:rFonts w:hint="default" w:ascii="Times New Roman" w:hAnsi="Times New Roman" w:eastAsia="宋体" w:cs="Times New Roman"/>
                <w:color w:val="000000" w:themeColor="text1"/>
                <w:kern w:val="2"/>
                <w:sz w:val="21"/>
                <w:szCs w:val="21"/>
                <w:lang w:val="en-US" w:eastAsia="zh-CN" w:bidi="ar-SA"/>
              </w:rPr>
            </w:pPr>
            <w:r>
              <w:rPr>
                <w:rFonts w:hint="default" w:ascii="Times New Roman" w:hAnsi="Times New Roman" w:cs="Times New Roman"/>
                <w:color w:val="000000" w:themeColor="text1"/>
              </w:rPr>
              <w:t>/</w:t>
            </w:r>
          </w:p>
        </w:tc>
        <w:tc>
          <w:tcPr>
            <w:tcW w:w="1567" w:type="dxa"/>
            <w:tcBorders>
              <w:bottom w:val="single" w:color="auto" w:sz="8" w:space="0"/>
            </w:tcBorders>
            <w:vAlign w:val="center"/>
          </w:tcPr>
          <w:p w14:paraId="16386269">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w:t>
            </w:r>
          </w:p>
        </w:tc>
        <w:tc>
          <w:tcPr>
            <w:tcW w:w="1710" w:type="dxa"/>
            <w:tcBorders>
              <w:bottom w:val="single" w:color="auto" w:sz="8" w:space="0"/>
            </w:tcBorders>
            <w:shd w:val="clear" w:color="auto" w:fill="auto"/>
            <w:vAlign w:val="center"/>
          </w:tcPr>
          <w:p w14:paraId="333CA49C">
            <w:pPr>
              <w:jc w:val="center"/>
              <w:rPr>
                <w:rFonts w:hint="default" w:ascii="Times New Roman" w:hAnsi="Times New Roman" w:cs="Times New Roman"/>
                <w:color w:val="000000" w:themeColor="text1"/>
                <w:lang w:val="en-US"/>
              </w:rPr>
            </w:pPr>
            <w:r>
              <w:rPr>
                <w:rFonts w:hint="eastAsia"/>
                <w:snapToGrid w:val="0"/>
                <w:color w:val="000000" w:themeColor="text1"/>
                <w:kern w:val="21"/>
                <w:szCs w:val="21"/>
                <w:lang w:val="en-US" w:eastAsia="zh-CN"/>
              </w:rPr>
              <w:t>1.048t/a</w:t>
            </w:r>
          </w:p>
        </w:tc>
        <w:tc>
          <w:tcPr>
            <w:tcW w:w="1425" w:type="dxa"/>
            <w:tcBorders>
              <w:bottom w:val="single" w:color="auto" w:sz="8" w:space="0"/>
            </w:tcBorders>
            <w:shd w:val="clear" w:color="auto" w:fill="auto"/>
            <w:vAlign w:val="center"/>
          </w:tcPr>
          <w:p w14:paraId="4A603524">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w:t>
            </w:r>
          </w:p>
        </w:tc>
        <w:tc>
          <w:tcPr>
            <w:tcW w:w="1994" w:type="dxa"/>
            <w:tcBorders>
              <w:bottom w:val="single" w:color="auto" w:sz="8" w:space="0"/>
            </w:tcBorders>
            <w:shd w:val="clear" w:color="auto" w:fill="auto"/>
            <w:vAlign w:val="center"/>
          </w:tcPr>
          <w:p w14:paraId="778AA491">
            <w:pPr>
              <w:jc w:val="center"/>
              <w:rPr>
                <w:rFonts w:hint="default" w:ascii="Times New Roman" w:hAnsi="Times New Roman" w:cs="Times New Roman"/>
                <w:color w:val="000000" w:themeColor="text1"/>
              </w:rPr>
            </w:pPr>
            <w:r>
              <w:rPr>
                <w:rFonts w:hint="eastAsia"/>
                <w:snapToGrid w:val="0"/>
                <w:color w:val="000000" w:themeColor="text1"/>
                <w:kern w:val="21"/>
                <w:szCs w:val="21"/>
                <w:lang w:val="en-US" w:eastAsia="zh-CN"/>
              </w:rPr>
              <w:t>1.048t/a</w:t>
            </w:r>
          </w:p>
        </w:tc>
        <w:tc>
          <w:tcPr>
            <w:tcW w:w="1720" w:type="dxa"/>
            <w:tcBorders>
              <w:bottom w:val="single" w:color="auto" w:sz="8" w:space="0"/>
            </w:tcBorders>
            <w:shd w:val="clear" w:color="auto" w:fill="auto"/>
            <w:vAlign w:val="center"/>
          </w:tcPr>
          <w:p w14:paraId="73836FC3">
            <w:pPr>
              <w:jc w:val="center"/>
              <w:rPr>
                <w:rFonts w:hint="eastAsia" w:ascii="Times New Roman" w:hAnsi="Times New Roman" w:cs="Times New Roman"/>
                <w:color w:val="000000" w:themeColor="text1"/>
                <w:lang w:val="en-US" w:eastAsia="zh-CN"/>
              </w:rPr>
            </w:pPr>
            <w:r>
              <w:rPr>
                <w:rFonts w:hint="eastAsia"/>
                <w:snapToGrid w:val="0"/>
                <w:color w:val="000000" w:themeColor="text1"/>
                <w:kern w:val="21"/>
                <w:szCs w:val="21"/>
                <w:lang w:val="en-US" w:eastAsia="zh-CN"/>
              </w:rPr>
              <w:t>+1.048t/a</w:t>
            </w:r>
          </w:p>
        </w:tc>
      </w:tr>
      <w:tr w14:paraId="5742FE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25" w:type="dxa"/>
            <w:vMerge w:val="continue"/>
            <w:vAlign w:val="center"/>
          </w:tcPr>
          <w:p w14:paraId="7C10CD29">
            <w:pPr>
              <w:jc w:val="center"/>
              <w:rPr>
                <w:rFonts w:hint="default" w:ascii="Times New Roman" w:hAnsi="Times New Roman" w:cs="Times New Roman"/>
                <w:color w:val="000000" w:themeColor="text1"/>
              </w:rPr>
            </w:pPr>
          </w:p>
        </w:tc>
        <w:tc>
          <w:tcPr>
            <w:tcW w:w="1485" w:type="dxa"/>
            <w:gridSpan w:val="2"/>
            <w:tcBorders>
              <w:bottom w:val="single" w:color="auto" w:sz="8" w:space="0"/>
            </w:tcBorders>
            <w:shd w:val="clear" w:color="auto" w:fill="auto"/>
            <w:vAlign w:val="center"/>
          </w:tcPr>
          <w:p w14:paraId="5AD4993A">
            <w:pPr>
              <w:spacing w:line="240" w:lineRule="auto"/>
              <w:jc w:val="center"/>
              <w:rPr>
                <w:rFonts w:hint="default" w:ascii="Times New Roman" w:hAnsi="Times New Roman" w:eastAsia="宋体" w:cs="Times New Roman"/>
                <w:color w:val="000000" w:themeColor="text1"/>
                <w:lang w:val="en-US" w:eastAsia="zh-CN"/>
              </w:rPr>
            </w:pPr>
            <w:r>
              <w:rPr>
                <w:rFonts w:hint="default" w:ascii="Times New Roman" w:hAnsi="Times New Roman" w:cs="Times New Roman"/>
                <w:color w:val="000000" w:themeColor="text1"/>
                <w:lang w:val="en-US" w:eastAsia="zh-CN"/>
              </w:rPr>
              <w:t>废</w:t>
            </w:r>
            <w:r>
              <w:rPr>
                <w:rFonts w:hint="eastAsia" w:ascii="Times New Roman" w:hAnsi="Times New Roman" w:cs="Times New Roman"/>
                <w:color w:val="000000" w:themeColor="text1"/>
                <w:lang w:val="en-US" w:eastAsia="zh-CN"/>
              </w:rPr>
              <w:t>原料桶</w:t>
            </w:r>
          </w:p>
        </w:tc>
        <w:tc>
          <w:tcPr>
            <w:tcW w:w="1648" w:type="dxa"/>
            <w:tcBorders>
              <w:bottom w:val="single" w:color="auto" w:sz="8" w:space="0"/>
            </w:tcBorders>
            <w:shd w:val="clear" w:color="auto" w:fill="auto"/>
            <w:vAlign w:val="center"/>
          </w:tcPr>
          <w:p w14:paraId="7F6EEF61">
            <w:pPr>
              <w:jc w:val="center"/>
              <w:rPr>
                <w:rFonts w:hint="eastAsia" w:ascii="Times New Roman" w:hAnsi="Times New Roman" w:eastAsia="宋体" w:cs="Times New Roman"/>
                <w:color w:val="000000" w:themeColor="text1"/>
                <w:kern w:val="2"/>
                <w:sz w:val="21"/>
                <w:szCs w:val="21"/>
                <w:lang w:val="en-US" w:eastAsia="zh-CN" w:bidi="ar-SA"/>
              </w:rPr>
            </w:pPr>
            <w:r>
              <w:rPr>
                <w:rFonts w:hint="default" w:ascii="Times New Roman" w:hAnsi="Times New Roman" w:cs="Times New Roman"/>
                <w:color w:val="000000" w:themeColor="text1"/>
              </w:rPr>
              <w:t>/</w:t>
            </w:r>
          </w:p>
        </w:tc>
        <w:tc>
          <w:tcPr>
            <w:tcW w:w="1282" w:type="dxa"/>
            <w:tcBorders>
              <w:bottom w:val="single" w:color="auto" w:sz="8" w:space="0"/>
            </w:tcBorders>
            <w:shd w:val="clear" w:color="auto" w:fill="auto"/>
            <w:vAlign w:val="center"/>
          </w:tcPr>
          <w:p w14:paraId="3E4A7641">
            <w:pPr>
              <w:pStyle w:val="81"/>
              <w:spacing w:beforeLines="0" w:afterLines="0" w:line="240" w:lineRule="auto"/>
              <w:rPr>
                <w:rFonts w:hint="default" w:ascii="Times New Roman" w:hAnsi="Times New Roman" w:eastAsia="宋体" w:cs="Times New Roman"/>
                <w:color w:val="000000" w:themeColor="text1"/>
                <w:kern w:val="2"/>
                <w:sz w:val="21"/>
                <w:szCs w:val="21"/>
                <w:lang w:val="en-US" w:eastAsia="zh-CN" w:bidi="ar-SA"/>
              </w:rPr>
            </w:pPr>
            <w:r>
              <w:rPr>
                <w:rFonts w:hint="default" w:ascii="Times New Roman" w:hAnsi="Times New Roman" w:cs="Times New Roman"/>
                <w:snapToGrid w:val="0"/>
                <w:color w:val="000000" w:themeColor="text1"/>
                <w:kern w:val="21"/>
                <w:lang w:val="en-US" w:eastAsia="zh-CN"/>
              </w:rPr>
              <w:t>/</w:t>
            </w:r>
          </w:p>
        </w:tc>
        <w:tc>
          <w:tcPr>
            <w:tcW w:w="1567" w:type="dxa"/>
            <w:tcBorders>
              <w:bottom w:val="single" w:color="auto" w:sz="8" w:space="0"/>
            </w:tcBorders>
            <w:shd w:val="clear" w:color="auto" w:fill="auto"/>
            <w:vAlign w:val="center"/>
          </w:tcPr>
          <w:p w14:paraId="0618C332">
            <w:pPr>
              <w:pStyle w:val="81"/>
              <w:spacing w:beforeLines="0" w:afterLines="0" w:line="240" w:lineRule="auto"/>
              <w:rPr>
                <w:rFonts w:hint="default" w:ascii="Times New Roman" w:hAnsi="Times New Roman" w:eastAsia="宋体" w:cs="Times New Roman"/>
                <w:color w:val="000000" w:themeColor="text1"/>
                <w:kern w:val="2"/>
                <w:sz w:val="21"/>
                <w:szCs w:val="21"/>
                <w:lang w:val="en-US" w:eastAsia="zh-CN" w:bidi="ar-SA"/>
              </w:rPr>
            </w:pPr>
            <w:r>
              <w:rPr>
                <w:rFonts w:hint="default" w:ascii="Times New Roman" w:hAnsi="Times New Roman" w:cs="Times New Roman"/>
                <w:snapToGrid w:val="0"/>
                <w:color w:val="000000" w:themeColor="text1"/>
                <w:kern w:val="21"/>
                <w:lang w:val="en-US" w:eastAsia="zh-CN"/>
              </w:rPr>
              <w:t>/</w:t>
            </w:r>
          </w:p>
        </w:tc>
        <w:tc>
          <w:tcPr>
            <w:tcW w:w="1710" w:type="dxa"/>
            <w:tcBorders>
              <w:bottom w:val="single" w:color="auto" w:sz="8" w:space="0"/>
            </w:tcBorders>
            <w:shd w:val="clear" w:color="auto" w:fill="auto"/>
            <w:vAlign w:val="center"/>
          </w:tcPr>
          <w:p w14:paraId="47F8AF6A">
            <w:pPr>
              <w:jc w:val="center"/>
              <w:rPr>
                <w:rFonts w:hint="default" w:ascii="Times New Roman" w:hAnsi="Times New Roman" w:eastAsia="宋体" w:cs="Times New Roman"/>
                <w:color w:val="000000" w:themeColor="text1"/>
                <w:lang w:val="en-US" w:eastAsia="zh-CN"/>
              </w:rPr>
            </w:pPr>
            <w:r>
              <w:rPr>
                <w:rFonts w:hint="eastAsia"/>
                <w:snapToGrid w:val="0"/>
                <w:color w:val="000000" w:themeColor="text1"/>
                <w:kern w:val="21"/>
                <w:szCs w:val="21"/>
                <w:lang w:val="en-US" w:eastAsia="zh-CN"/>
              </w:rPr>
              <w:t>0.44t/a</w:t>
            </w:r>
          </w:p>
        </w:tc>
        <w:tc>
          <w:tcPr>
            <w:tcW w:w="1425" w:type="dxa"/>
            <w:tcBorders>
              <w:bottom w:val="single" w:color="auto" w:sz="8" w:space="0"/>
            </w:tcBorders>
            <w:shd w:val="clear" w:color="auto" w:fill="auto"/>
            <w:vAlign w:val="center"/>
          </w:tcPr>
          <w:p w14:paraId="4D6967D8">
            <w:pPr>
              <w:pStyle w:val="81"/>
              <w:spacing w:beforeLines="0" w:afterLines="0" w:line="240" w:lineRule="auto"/>
              <w:rPr>
                <w:rFonts w:hint="default" w:ascii="Times New Roman" w:hAnsi="Times New Roman" w:cs="Times New Roman"/>
                <w:color w:val="000000" w:themeColor="text1"/>
              </w:rPr>
            </w:pPr>
            <w:r>
              <w:rPr>
                <w:rFonts w:hint="default" w:ascii="Times New Roman" w:hAnsi="Times New Roman" w:cs="Times New Roman"/>
                <w:snapToGrid w:val="0"/>
                <w:color w:val="000000" w:themeColor="text1"/>
                <w:kern w:val="21"/>
                <w:lang w:val="en-US" w:eastAsia="zh-CN"/>
              </w:rPr>
              <w:t>/</w:t>
            </w:r>
          </w:p>
        </w:tc>
        <w:tc>
          <w:tcPr>
            <w:tcW w:w="1994" w:type="dxa"/>
            <w:tcBorders>
              <w:bottom w:val="single" w:color="auto" w:sz="8" w:space="0"/>
            </w:tcBorders>
            <w:shd w:val="clear" w:color="auto" w:fill="auto"/>
            <w:vAlign w:val="center"/>
          </w:tcPr>
          <w:p w14:paraId="2B27FE5B">
            <w:pPr>
              <w:jc w:val="center"/>
              <w:rPr>
                <w:rFonts w:hint="default" w:ascii="Times New Roman" w:hAnsi="Times New Roman" w:eastAsia="宋体" w:cs="Times New Roman"/>
                <w:color w:val="000000" w:themeColor="text1"/>
                <w:lang w:val="en-US" w:eastAsia="zh-CN"/>
              </w:rPr>
            </w:pPr>
            <w:r>
              <w:rPr>
                <w:rFonts w:hint="eastAsia"/>
                <w:snapToGrid w:val="0"/>
                <w:color w:val="000000" w:themeColor="text1"/>
                <w:kern w:val="21"/>
                <w:szCs w:val="21"/>
                <w:lang w:val="en-US" w:eastAsia="zh-CN"/>
              </w:rPr>
              <w:t>0.44t/a</w:t>
            </w:r>
          </w:p>
        </w:tc>
        <w:tc>
          <w:tcPr>
            <w:tcW w:w="1720" w:type="dxa"/>
            <w:tcBorders>
              <w:bottom w:val="single" w:color="auto" w:sz="8" w:space="0"/>
            </w:tcBorders>
            <w:shd w:val="clear" w:color="auto" w:fill="auto"/>
            <w:vAlign w:val="center"/>
          </w:tcPr>
          <w:p w14:paraId="105F514D">
            <w:pPr>
              <w:jc w:val="center"/>
              <w:rPr>
                <w:rFonts w:hint="default" w:ascii="Times New Roman" w:hAnsi="Times New Roman" w:cs="Times New Roman"/>
                <w:color w:val="000000" w:themeColor="text1"/>
              </w:rPr>
            </w:pPr>
            <w:r>
              <w:rPr>
                <w:rFonts w:hint="eastAsia"/>
                <w:snapToGrid w:val="0"/>
                <w:color w:val="000000" w:themeColor="text1"/>
                <w:kern w:val="21"/>
                <w:szCs w:val="21"/>
                <w:lang w:val="en-US" w:eastAsia="zh-CN"/>
              </w:rPr>
              <w:t>+0.44t/a</w:t>
            </w:r>
          </w:p>
        </w:tc>
      </w:tr>
      <w:tr w14:paraId="4D5F4F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25" w:type="dxa"/>
            <w:vMerge w:val="continue"/>
            <w:vAlign w:val="center"/>
          </w:tcPr>
          <w:p w14:paraId="375CC4C4">
            <w:pPr>
              <w:jc w:val="center"/>
              <w:rPr>
                <w:rFonts w:hint="default" w:ascii="Times New Roman" w:hAnsi="Times New Roman" w:cs="Times New Roman"/>
                <w:color w:val="000000" w:themeColor="text1"/>
              </w:rPr>
            </w:pPr>
          </w:p>
        </w:tc>
        <w:tc>
          <w:tcPr>
            <w:tcW w:w="1485" w:type="dxa"/>
            <w:gridSpan w:val="2"/>
            <w:tcBorders>
              <w:bottom w:val="single" w:color="auto" w:sz="8" w:space="0"/>
            </w:tcBorders>
            <w:shd w:val="clear" w:color="auto" w:fill="auto"/>
            <w:vAlign w:val="center"/>
          </w:tcPr>
          <w:p w14:paraId="53205E6A">
            <w:pPr>
              <w:spacing w:line="240" w:lineRule="auto"/>
              <w:jc w:val="center"/>
              <w:rPr>
                <w:rFonts w:hint="default" w:ascii="Times New Roman" w:hAnsi="Times New Roman" w:cs="Times New Roman"/>
                <w:color w:val="000000" w:themeColor="text1"/>
              </w:rPr>
            </w:pPr>
            <w:r>
              <w:rPr>
                <w:rFonts w:hint="eastAsia" w:ascii="Times New Roman" w:hAnsi="Times New Roman" w:cs="Times New Roman"/>
                <w:color w:val="000000" w:themeColor="text1"/>
                <w:lang w:val="en-US" w:eastAsia="zh-CN"/>
              </w:rPr>
              <w:t>废过滤棉</w:t>
            </w:r>
          </w:p>
        </w:tc>
        <w:tc>
          <w:tcPr>
            <w:tcW w:w="1648" w:type="dxa"/>
            <w:tcBorders>
              <w:bottom w:val="single" w:color="auto" w:sz="8" w:space="0"/>
            </w:tcBorders>
            <w:shd w:val="clear" w:color="auto" w:fill="auto"/>
            <w:vAlign w:val="center"/>
          </w:tcPr>
          <w:p w14:paraId="27A19D02">
            <w:pPr>
              <w:pStyle w:val="81"/>
              <w:spacing w:beforeLines="0" w:afterLines="0" w:line="240" w:lineRule="auto"/>
              <w:rPr>
                <w:rFonts w:hint="eastAsia" w:ascii="Times New Roman" w:hAnsi="Times New Roman" w:eastAsia="宋体" w:cs="Times New Roman"/>
                <w:color w:val="000000" w:themeColor="text1"/>
                <w:lang w:eastAsia="zh-CN"/>
              </w:rPr>
            </w:pPr>
            <w:r>
              <w:rPr>
                <w:rFonts w:hint="default" w:ascii="Times New Roman" w:hAnsi="Times New Roman" w:cs="Times New Roman"/>
                <w:snapToGrid w:val="0"/>
                <w:color w:val="000000" w:themeColor="text1"/>
                <w:kern w:val="21"/>
                <w:lang w:val="en-US" w:eastAsia="zh-CN"/>
              </w:rPr>
              <w:t>/</w:t>
            </w:r>
          </w:p>
        </w:tc>
        <w:tc>
          <w:tcPr>
            <w:tcW w:w="1282" w:type="dxa"/>
            <w:tcBorders>
              <w:bottom w:val="single" w:color="auto" w:sz="8" w:space="0"/>
            </w:tcBorders>
            <w:shd w:val="clear" w:color="auto" w:fill="auto"/>
            <w:vAlign w:val="center"/>
          </w:tcPr>
          <w:p w14:paraId="242D3D73">
            <w:pPr>
              <w:jc w:val="center"/>
              <w:rPr>
                <w:rFonts w:hint="default" w:ascii="Times New Roman" w:hAnsi="Times New Roman" w:eastAsia="宋体" w:cs="Times New Roman"/>
                <w:color w:val="000000" w:themeColor="text1"/>
                <w:kern w:val="2"/>
                <w:sz w:val="21"/>
                <w:szCs w:val="21"/>
                <w:lang w:val="en-US" w:eastAsia="zh-CN" w:bidi="ar-SA"/>
              </w:rPr>
            </w:pPr>
            <w:r>
              <w:rPr>
                <w:rFonts w:hint="default" w:ascii="Times New Roman" w:hAnsi="Times New Roman" w:cs="Times New Roman"/>
                <w:color w:val="000000" w:themeColor="text1"/>
              </w:rPr>
              <w:t>/</w:t>
            </w:r>
          </w:p>
        </w:tc>
        <w:tc>
          <w:tcPr>
            <w:tcW w:w="1567" w:type="dxa"/>
            <w:tcBorders>
              <w:bottom w:val="single" w:color="auto" w:sz="8" w:space="0"/>
            </w:tcBorders>
            <w:vAlign w:val="center"/>
          </w:tcPr>
          <w:p w14:paraId="5072E081">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w:t>
            </w:r>
          </w:p>
        </w:tc>
        <w:tc>
          <w:tcPr>
            <w:tcW w:w="1710" w:type="dxa"/>
            <w:tcBorders>
              <w:bottom w:val="single" w:color="auto" w:sz="8" w:space="0"/>
            </w:tcBorders>
            <w:shd w:val="clear" w:color="auto" w:fill="auto"/>
            <w:vAlign w:val="center"/>
          </w:tcPr>
          <w:p w14:paraId="280D49BF">
            <w:pPr>
              <w:jc w:val="center"/>
              <w:rPr>
                <w:rFonts w:hint="default" w:ascii="Times New Roman" w:hAnsi="Times New Roman" w:cs="Times New Roman"/>
                <w:color w:val="000000" w:themeColor="text1"/>
                <w:lang w:val="en-US"/>
              </w:rPr>
            </w:pPr>
            <w:r>
              <w:rPr>
                <w:rFonts w:hint="eastAsia"/>
                <w:snapToGrid w:val="0"/>
                <w:color w:val="000000" w:themeColor="text1"/>
                <w:kern w:val="21"/>
                <w:szCs w:val="21"/>
                <w:lang w:val="en-US" w:eastAsia="zh-CN"/>
              </w:rPr>
              <w:t>0.2t/a</w:t>
            </w:r>
          </w:p>
        </w:tc>
        <w:tc>
          <w:tcPr>
            <w:tcW w:w="1425" w:type="dxa"/>
            <w:tcBorders>
              <w:bottom w:val="single" w:color="auto" w:sz="8" w:space="0"/>
            </w:tcBorders>
            <w:shd w:val="clear" w:color="auto" w:fill="auto"/>
            <w:vAlign w:val="center"/>
          </w:tcPr>
          <w:p w14:paraId="7A481245">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w:t>
            </w:r>
          </w:p>
        </w:tc>
        <w:tc>
          <w:tcPr>
            <w:tcW w:w="1994" w:type="dxa"/>
            <w:tcBorders>
              <w:bottom w:val="single" w:color="auto" w:sz="8" w:space="0"/>
            </w:tcBorders>
            <w:shd w:val="clear" w:color="auto" w:fill="auto"/>
            <w:vAlign w:val="center"/>
          </w:tcPr>
          <w:p w14:paraId="642963B4">
            <w:pPr>
              <w:jc w:val="center"/>
              <w:rPr>
                <w:rFonts w:hint="default" w:ascii="Times New Roman" w:hAnsi="Times New Roman" w:cs="Times New Roman"/>
                <w:color w:val="000000" w:themeColor="text1"/>
              </w:rPr>
            </w:pPr>
            <w:r>
              <w:rPr>
                <w:rFonts w:hint="eastAsia"/>
                <w:snapToGrid w:val="0"/>
                <w:color w:val="000000" w:themeColor="text1"/>
                <w:kern w:val="21"/>
                <w:szCs w:val="21"/>
                <w:lang w:val="en-US" w:eastAsia="zh-CN"/>
              </w:rPr>
              <w:t>0.2t/a</w:t>
            </w:r>
          </w:p>
        </w:tc>
        <w:tc>
          <w:tcPr>
            <w:tcW w:w="1720" w:type="dxa"/>
            <w:tcBorders>
              <w:bottom w:val="single" w:color="auto" w:sz="8" w:space="0"/>
            </w:tcBorders>
            <w:shd w:val="clear" w:color="auto" w:fill="auto"/>
            <w:vAlign w:val="center"/>
          </w:tcPr>
          <w:p w14:paraId="428506B8">
            <w:pPr>
              <w:jc w:val="center"/>
              <w:rPr>
                <w:rFonts w:hint="default" w:ascii="Times New Roman" w:hAnsi="Times New Roman" w:cs="Times New Roman"/>
                <w:color w:val="000000" w:themeColor="text1"/>
              </w:rPr>
            </w:pPr>
            <w:r>
              <w:rPr>
                <w:rFonts w:hint="eastAsia"/>
                <w:snapToGrid w:val="0"/>
                <w:color w:val="000000" w:themeColor="text1"/>
                <w:kern w:val="21"/>
                <w:szCs w:val="21"/>
                <w:lang w:val="en-US" w:eastAsia="zh-CN"/>
              </w:rPr>
              <w:t>+0.2t/a</w:t>
            </w:r>
          </w:p>
        </w:tc>
      </w:tr>
      <w:tr w14:paraId="6CD9A8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25" w:type="dxa"/>
            <w:vMerge w:val="continue"/>
            <w:vAlign w:val="center"/>
          </w:tcPr>
          <w:p w14:paraId="6AC5EE92">
            <w:pPr>
              <w:jc w:val="center"/>
              <w:rPr>
                <w:rFonts w:hint="default" w:ascii="Times New Roman" w:hAnsi="Times New Roman" w:cs="Times New Roman"/>
                <w:color w:val="000000" w:themeColor="text1"/>
              </w:rPr>
            </w:pPr>
          </w:p>
        </w:tc>
        <w:tc>
          <w:tcPr>
            <w:tcW w:w="1485" w:type="dxa"/>
            <w:gridSpan w:val="2"/>
            <w:shd w:val="clear" w:color="auto" w:fill="auto"/>
            <w:vAlign w:val="center"/>
          </w:tcPr>
          <w:p w14:paraId="0D6472FD">
            <w:pPr>
              <w:spacing w:line="240" w:lineRule="auto"/>
              <w:jc w:val="center"/>
              <w:rPr>
                <w:rFonts w:hint="default" w:ascii="Times New Roman" w:hAnsi="Times New Roman" w:cs="Times New Roman"/>
                <w:color w:val="000000" w:themeColor="text1"/>
              </w:rPr>
            </w:pPr>
            <w:r>
              <w:rPr>
                <w:rFonts w:hint="default" w:ascii="Times New Roman" w:hAnsi="Times New Roman" w:cs="Times New Roman"/>
                <w:color w:val="000000" w:themeColor="text1"/>
                <w:lang w:val="en-US" w:eastAsia="zh-CN"/>
              </w:rPr>
              <w:t>废活性炭</w:t>
            </w:r>
          </w:p>
        </w:tc>
        <w:tc>
          <w:tcPr>
            <w:tcW w:w="1648" w:type="dxa"/>
            <w:shd w:val="clear" w:color="auto" w:fill="auto"/>
            <w:vAlign w:val="center"/>
          </w:tcPr>
          <w:p w14:paraId="2E21CD13">
            <w:pPr>
              <w:jc w:val="center"/>
              <w:rPr>
                <w:rFonts w:hint="eastAsia" w:ascii="Times New Roman" w:hAnsi="Times New Roman" w:eastAsia="宋体" w:cs="Times New Roman"/>
                <w:color w:val="000000" w:themeColor="text1"/>
                <w:lang w:eastAsia="zh-CN"/>
              </w:rPr>
            </w:pPr>
            <w:r>
              <w:rPr>
                <w:rFonts w:hint="default" w:ascii="Times New Roman" w:hAnsi="Times New Roman" w:cs="Times New Roman"/>
                <w:color w:val="000000" w:themeColor="text1"/>
              </w:rPr>
              <w:t>/</w:t>
            </w:r>
          </w:p>
        </w:tc>
        <w:tc>
          <w:tcPr>
            <w:tcW w:w="1282" w:type="dxa"/>
            <w:shd w:val="clear" w:color="auto" w:fill="auto"/>
            <w:vAlign w:val="center"/>
          </w:tcPr>
          <w:p w14:paraId="433AB726">
            <w:pPr>
              <w:pStyle w:val="81"/>
              <w:spacing w:beforeLines="0" w:afterLines="0" w:line="240" w:lineRule="auto"/>
              <w:rPr>
                <w:rFonts w:hint="default" w:ascii="Times New Roman" w:hAnsi="Times New Roman" w:eastAsia="宋体" w:cs="Times New Roman"/>
                <w:color w:val="000000" w:themeColor="text1"/>
                <w:kern w:val="0"/>
                <w:sz w:val="21"/>
                <w:szCs w:val="21"/>
                <w:lang w:val="en-US" w:eastAsia="zh-CN" w:bidi="ar-SA"/>
              </w:rPr>
            </w:pPr>
            <w:r>
              <w:rPr>
                <w:rFonts w:hint="default" w:ascii="Times New Roman" w:hAnsi="Times New Roman" w:cs="Times New Roman"/>
                <w:snapToGrid w:val="0"/>
                <w:color w:val="000000" w:themeColor="text1"/>
                <w:kern w:val="21"/>
                <w:lang w:val="en-US" w:eastAsia="zh-CN"/>
              </w:rPr>
              <w:t>/</w:t>
            </w:r>
          </w:p>
        </w:tc>
        <w:tc>
          <w:tcPr>
            <w:tcW w:w="1567" w:type="dxa"/>
            <w:vAlign w:val="center"/>
          </w:tcPr>
          <w:p w14:paraId="514181FB">
            <w:pPr>
              <w:pStyle w:val="81"/>
              <w:spacing w:beforeLines="0" w:afterLines="0" w:line="240" w:lineRule="auto"/>
              <w:rPr>
                <w:rFonts w:hint="default" w:ascii="Times New Roman" w:hAnsi="Times New Roman" w:cs="Times New Roman"/>
                <w:color w:val="000000" w:themeColor="text1"/>
              </w:rPr>
            </w:pPr>
            <w:r>
              <w:rPr>
                <w:rFonts w:hint="default" w:ascii="Times New Roman" w:hAnsi="Times New Roman" w:cs="Times New Roman"/>
                <w:snapToGrid w:val="0"/>
                <w:color w:val="000000" w:themeColor="text1"/>
                <w:kern w:val="21"/>
                <w:lang w:val="en-US" w:eastAsia="zh-CN"/>
              </w:rPr>
              <w:t>/</w:t>
            </w:r>
          </w:p>
        </w:tc>
        <w:tc>
          <w:tcPr>
            <w:tcW w:w="1710" w:type="dxa"/>
            <w:shd w:val="clear" w:color="auto" w:fill="auto"/>
            <w:vAlign w:val="center"/>
          </w:tcPr>
          <w:p w14:paraId="032C565E">
            <w:pPr>
              <w:jc w:val="center"/>
              <w:rPr>
                <w:rFonts w:hint="default" w:ascii="Times New Roman" w:hAnsi="Times New Roman" w:cs="Times New Roman"/>
                <w:color w:val="000000" w:themeColor="text1"/>
                <w:lang w:val="en-US"/>
              </w:rPr>
            </w:pPr>
            <w:r>
              <w:rPr>
                <w:rFonts w:hint="eastAsia"/>
                <w:snapToGrid w:val="0"/>
                <w:color w:val="000000" w:themeColor="text1"/>
                <w:kern w:val="21"/>
                <w:szCs w:val="21"/>
                <w:lang w:val="en-US" w:eastAsia="zh-CN"/>
              </w:rPr>
              <w:t>8.16t/a</w:t>
            </w:r>
          </w:p>
        </w:tc>
        <w:tc>
          <w:tcPr>
            <w:tcW w:w="1425" w:type="dxa"/>
            <w:shd w:val="clear" w:color="auto" w:fill="auto"/>
            <w:vAlign w:val="center"/>
          </w:tcPr>
          <w:p w14:paraId="7E8E33EC">
            <w:pPr>
              <w:pStyle w:val="81"/>
              <w:spacing w:beforeLines="0" w:afterLines="0" w:line="240" w:lineRule="auto"/>
              <w:rPr>
                <w:rFonts w:hint="default" w:ascii="Times New Roman" w:hAnsi="Times New Roman" w:cs="Times New Roman"/>
                <w:color w:val="000000" w:themeColor="text1"/>
              </w:rPr>
            </w:pPr>
            <w:r>
              <w:rPr>
                <w:rFonts w:hint="default" w:ascii="Times New Roman" w:hAnsi="Times New Roman" w:cs="Times New Roman"/>
                <w:snapToGrid w:val="0"/>
                <w:color w:val="000000" w:themeColor="text1"/>
                <w:kern w:val="21"/>
                <w:lang w:val="en-US" w:eastAsia="zh-CN"/>
              </w:rPr>
              <w:t>/</w:t>
            </w:r>
          </w:p>
        </w:tc>
        <w:tc>
          <w:tcPr>
            <w:tcW w:w="1994" w:type="dxa"/>
            <w:shd w:val="clear" w:color="auto" w:fill="auto"/>
            <w:vAlign w:val="center"/>
          </w:tcPr>
          <w:p w14:paraId="0955F546">
            <w:pPr>
              <w:jc w:val="center"/>
              <w:rPr>
                <w:rFonts w:hint="default" w:ascii="Times New Roman" w:hAnsi="Times New Roman" w:cs="Times New Roman"/>
                <w:color w:val="000000" w:themeColor="text1"/>
              </w:rPr>
            </w:pPr>
            <w:r>
              <w:rPr>
                <w:rFonts w:hint="eastAsia"/>
                <w:snapToGrid w:val="0"/>
                <w:color w:val="000000" w:themeColor="text1"/>
                <w:kern w:val="21"/>
                <w:szCs w:val="21"/>
                <w:lang w:val="en-US" w:eastAsia="zh-CN"/>
              </w:rPr>
              <w:t>8.16t/a</w:t>
            </w:r>
          </w:p>
        </w:tc>
        <w:tc>
          <w:tcPr>
            <w:tcW w:w="1720" w:type="dxa"/>
            <w:shd w:val="clear" w:color="auto" w:fill="auto"/>
            <w:vAlign w:val="center"/>
          </w:tcPr>
          <w:p w14:paraId="1EA6D310">
            <w:pPr>
              <w:jc w:val="center"/>
              <w:rPr>
                <w:rFonts w:hint="default" w:ascii="Times New Roman" w:hAnsi="Times New Roman" w:cs="Times New Roman"/>
                <w:color w:val="000000" w:themeColor="text1"/>
              </w:rPr>
            </w:pPr>
            <w:r>
              <w:rPr>
                <w:rFonts w:hint="eastAsia"/>
                <w:snapToGrid w:val="0"/>
                <w:color w:val="000000" w:themeColor="text1"/>
                <w:kern w:val="21"/>
                <w:szCs w:val="21"/>
                <w:lang w:val="en-US" w:eastAsia="zh-CN"/>
              </w:rPr>
              <w:t>+8.16t/a</w:t>
            </w:r>
          </w:p>
        </w:tc>
      </w:tr>
      <w:tr w14:paraId="5EBE5E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25" w:type="dxa"/>
            <w:vAlign w:val="center"/>
          </w:tcPr>
          <w:p w14:paraId="72A09A84">
            <w:pPr>
              <w:jc w:val="center"/>
              <w:rPr>
                <w:rFonts w:hint="eastAsia" w:ascii="Times New Roman" w:hAnsi="Times New Roman" w:eastAsia="宋体" w:cs="Times New Roman"/>
                <w:color w:val="000000" w:themeColor="text1"/>
                <w:lang w:val="en-US" w:eastAsia="zh-CN"/>
              </w:rPr>
            </w:pPr>
            <w:r>
              <w:rPr>
                <w:rFonts w:hint="eastAsia" w:cs="Times New Roman"/>
                <w:color w:val="000000" w:themeColor="text1"/>
                <w:lang w:val="en-US" w:eastAsia="zh-CN"/>
              </w:rPr>
              <w:t>生活垃圾</w:t>
            </w:r>
          </w:p>
        </w:tc>
        <w:tc>
          <w:tcPr>
            <w:tcW w:w="1485" w:type="dxa"/>
            <w:gridSpan w:val="2"/>
            <w:tcBorders>
              <w:bottom w:val="single" w:color="auto" w:sz="8" w:space="0"/>
            </w:tcBorders>
            <w:shd w:val="clear" w:color="auto" w:fill="auto"/>
            <w:vAlign w:val="center"/>
          </w:tcPr>
          <w:p w14:paraId="53F6A08B">
            <w:pPr>
              <w:spacing w:line="240" w:lineRule="auto"/>
              <w:jc w:val="center"/>
              <w:rPr>
                <w:rFonts w:hint="default" w:ascii="Times New Roman" w:hAnsi="Times New Roman" w:cs="Times New Roman"/>
                <w:color w:val="000000" w:themeColor="text1"/>
                <w:lang w:val="en-US" w:eastAsia="zh-CN"/>
              </w:rPr>
            </w:pPr>
            <w:r>
              <w:rPr>
                <w:rFonts w:hint="eastAsia" w:ascii="Times New Roman" w:hAnsi="Times New Roman" w:cs="Times New Roman"/>
                <w:color w:val="000000" w:themeColor="text1"/>
                <w:lang w:val="en-US" w:eastAsia="zh-CN"/>
              </w:rPr>
              <w:t>生活垃圾</w:t>
            </w:r>
          </w:p>
        </w:tc>
        <w:tc>
          <w:tcPr>
            <w:tcW w:w="1648" w:type="dxa"/>
            <w:tcBorders>
              <w:bottom w:val="single" w:color="auto" w:sz="8" w:space="0"/>
            </w:tcBorders>
            <w:shd w:val="clear" w:color="auto" w:fill="auto"/>
            <w:vAlign w:val="center"/>
          </w:tcPr>
          <w:p w14:paraId="3377AE3E">
            <w:pPr>
              <w:pStyle w:val="81"/>
              <w:spacing w:beforeLines="0" w:afterLines="0" w:line="240" w:lineRule="auto"/>
              <w:rPr>
                <w:rFonts w:hint="default" w:ascii="Times New Roman" w:hAnsi="Times New Roman" w:eastAsia="宋体" w:cs="Times New Roman"/>
                <w:color w:val="000000" w:themeColor="text1"/>
                <w:lang w:val="en-US" w:eastAsia="zh-CN"/>
              </w:rPr>
            </w:pPr>
            <w:r>
              <w:rPr>
                <w:rFonts w:hint="default" w:ascii="Times New Roman" w:hAnsi="Times New Roman" w:cs="Times New Roman"/>
                <w:snapToGrid w:val="0"/>
                <w:color w:val="000000" w:themeColor="text1"/>
                <w:kern w:val="21"/>
                <w:lang w:val="en-US" w:eastAsia="zh-CN"/>
              </w:rPr>
              <w:t>/</w:t>
            </w:r>
          </w:p>
        </w:tc>
        <w:tc>
          <w:tcPr>
            <w:tcW w:w="1282" w:type="dxa"/>
            <w:tcBorders>
              <w:bottom w:val="single" w:color="auto" w:sz="8" w:space="0"/>
            </w:tcBorders>
            <w:shd w:val="clear" w:color="auto" w:fill="auto"/>
            <w:vAlign w:val="center"/>
          </w:tcPr>
          <w:p w14:paraId="5F14F6A8">
            <w:pPr>
              <w:jc w:val="center"/>
              <w:rPr>
                <w:rFonts w:hint="default" w:ascii="Times New Roman" w:hAnsi="Times New Roman" w:eastAsia="宋体" w:cs="Times New Roman"/>
                <w:color w:val="000000" w:themeColor="text1"/>
                <w:kern w:val="2"/>
                <w:sz w:val="21"/>
                <w:szCs w:val="21"/>
                <w:lang w:val="en-US" w:eastAsia="zh-CN" w:bidi="ar-SA"/>
              </w:rPr>
            </w:pPr>
            <w:r>
              <w:rPr>
                <w:rFonts w:hint="default" w:ascii="Times New Roman" w:hAnsi="Times New Roman" w:cs="Times New Roman"/>
                <w:color w:val="000000" w:themeColor="text1"/>
              </w:rPr>
              <w:t>/</w:t>
            </w:r>
          </w:p>
        </w:tc>
        <w:tc>
          <w:tcPr>
            <w:tcW w:w="1567" w:type="dxa"/>
            <w:tcBorders>
              <w:bottom w:val="single" w:color="auto" w:sz="8" w:space="0"/>
            </w:tcBorders>
            <w:vAlign w:val="center"/>
          </w:tcPr>
          <w:p w14:paraId="1DDDCB3F">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w:t>
            </w:r>
          </w:p>
        </w:tc>
        <w:tc>
          <w:tcPr>
            <w:tcW w:w="1710" w:type="dxa"/>
            <w:tcBorders>
              <w:bottom w:val="single" w:color="auto" w:sz="8" w:space="0"/>
            </w:tcBorders>
            <w:shd w:val="clear" w:color="auto" w:fill="auto"/>
            <w:vAlign w:val="center"/>
          </w:tcPr>
          <w:p w14:paraId="6407FA9C">
            <w:pPr>
              <w:jc w:val="center"/>
              <w:rPr>
                <w:rFonts w:hint="eastAsia" w:cs="Times New Roman"/>
                <w:color w:val="000000" w:themeColor="text1"/>
                <w:lang w:val="en-US" w:eastAsia="zh-CN"/>
              </w:rPr>
            </w:pPr>
            <w:r>
              <w:rPr>
                <w:rFonts w:hint="eastAsia" w:cs="Times New Roman"/>
                <w:color w:val="000000" w:themeColor="text1"/>
                <w:lang w:val="en-US" w:eastAsia="zh-CN"/>
              </w:rPr>
              <w:t>0.6</w:t>
            </w:r>
            <w:r>
              <w:rPr>
                <w:rFonts w:hint="default" w:ascii="Times New Roman" w:hAnsi="Times New Roman" w:cs="Times New Roman"/>
                <w:snapToGrid w:val="0"/>
                <w:color w:val="000000" w:themeColor="text1"/>
              </w:rPr>
              <w:t>t/a</w:t>
            </w:r>
          </w:p>
        </w:tc>
        <w:tc>
          <w:tcPr>
            <w:tcW w:w="1425" w:type="dxa"/>
            <w:tcBorders>
              <w:bottom w:val="single" w:color="auto" w:sz="8" w:space="0"/>
            </w:tcBorders>
            <w:shd w:val="clear" w:color="auto" w:fill="auto"/>
            <w:vAlign w:val="center"/>
          </w:tcPr>
          <w:p w14:paraId="17B09CD0">
            <w:pPr>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t>/</w:t>
            </w:r>
          </w:p>
        </w:tc>
        <w:tc>
          <w:tcPr>
            <w:tcW w:w="1994" w:type="dxa"/>
            <w:tcBorders>
              <w:bottom w:val="single" w:color="auto" w:sz="8" w:space="0"/>
            </w:tcBorders>
            <w:shd w:val="clear" w:color="auto" w:fill="auto"/>
            <w:vAlign w:val="center"/>
          </w:tcPr>
          <w:p w14:paraId="31D70956">
            <w:pPr>
              <w:jc w:val="center"/>
              <w:rPr>
                <w:rFonts w:hint="default" w:ascii="Times New Roman" w:hAnsi="Times New Roman" w:cs="Times New Roman"/>
                <w:color w:val="000000" w:themeColor="text1"/>
              </w:rPr>
            </w:pPr>
            <w:r>
              <w:rPr>
                <w:rFonts w:hint="eastAsia" w:cs="Times New Roman"/>
                <w:color w:val="000000" w:themeColor="text1"/>
                <w:lang w:val="en-US" w:eastAsia="zh-CN"/>
              </w:rPr>
              <w:t>0.6</w:t>
            </w:r>
            <w:r>
              <w:rPr>
                <w:rFonts w:hint="default" w:ascii="Times New Roman" w:hAnsi="Times New Roman" w:cs="Times New Roman"/>
                <w:snapToGrid w:val="0"/>
                <w:color w:val="000000" w:themeColor="text1"/>
              </w:rPr>
              <w:t>t/a</w:t>
            </w:r>
          </w:p>
        </w:tc>
        <w:tc>
          <w:tcPr>
            <w:tcW w:w="1720" w:type="dxa"/>
            <w:tcBorders>
              <w:bottom w:val="single" w:color="auto" w:sz="8" w:space="0"/>
            </w:tcBorders>
            <w:shd w:val="clear" w:color="auto" w:fill="auto"/>
            <w:vAlign w:val="center"/>
          </w:tcPr>
          <w:p w14:paraId="0323DECD">
            <w:pPr>
              <w:jc w:val="center"/>
              <w:rPr>
                <w:rFonts w:hint="default" w:ascii="Times New Roman" w:hAnsi="Times New Roman" w:cs="Times New Roman"/>
                <w:color w:val="000000" w:themeColor="text1"/>
              </w:rPr>
            </w:pPr>
            <w:r>
              <w:rPr>
                <w:rFonts w:hint="eastAsia" w:cs="Times New Roman"/>
                <w:color w:val="000000" w:themeColor="text1"/>
                <w:lang w:val="en-US" w:eastAsia="zh-CN"/>
              </w:rPr>
              <w:t>+0.6</w:t>
            </w:r>
            <w:r>
              <w:rPr>
                <w:rFonts w:hint="default" w:ascii="Times New Roman" w:hAnsi="Times New Roman" w:cs="Times New Roman"/>
                <w:snapToGrid w:val="0"/>
                <w:color w:val="000000" w:themeColor="text1"/>
              </w:rPr>
              <w:t>t/a</w:t>
            </w:r>
          </w:p>
        </w:tc>
      </w:tr>
    </w:tbl>
    <w:p w14:paraId="7BDCFF25">
      <w:pPr>
        <w:pStyle w:val="12"/>
        <w:ind w:left="0" w:leftChars="0"/>
        <w:rPr>
          <w:rFonts w:hint="default" w:ascii="Times New Roman" w:hAnsi="Times New Roman" w:cs="Times New Roman"/>
          <w:snapToGrid w:val="0"/>
          <w:color w:val="000000" w:themeColor="text1"/>
          <w:kern w:val="21"/>
        </w:rPr>
        <w:sectPr>
          <w:headerReference r:id="rId4" w:type="default"/>
          <w:footerReference r:id="rId5" w:type="default"/>
          <w:pgSz w:w="16838" w:h="11906" w:orient="landscape"/>
          <w:pgMar w:top="1800" w:right="1440" w:bottom="1800" w:left="1440" w:header="907" w:footer="992" w:gutter="0"/>
          <w:cols w:space="720" w:num="1"/>
          <w:docGrid w:type="lines" w:linePitch="326" w:charSpace="0"/>
        </w:sectPr>
      </w:pPr>
      <w:r>
        <w:rPr>
          <w:rFonts w:hint="default" w:ascii="Times New Roman" w:hAnsi="Times New Roman" w:cs="Times New Roman"/>
          <w:snapToGrid w:val="0"/>
          <w:color w:val="000000" w:themeColor="text1"/>
          <w:kern w:val="21"/>
        </w:rPr>
        <w:t>注：</w:t>
      </w:r>
      <w:r>
        <w:rPr>
          <w:rFonts w:hint="default" w:ascii="Times New Roman" w:hAnsi="Times New Roman" w:cs="Times New Roman"/>
          <w:snapToGrid w:val="0"/>
          <w:color w:val="000000" w:themeColor="text1"/>
          <w:kern w:val="21"/>
        </w:rPr>
        <w:fldChar w:fldCharType="begin"/>
      </w:r>
      <w:r>
        <w:rPr>
          <w:rFonts w:hint="default" w:ascii="Times New Roman" w:hAnsi="Times New Roman" w:cs="Times New Roman"/>
          <w:snapToGrid w:val="0"/>
          <w:color w:val="000000" w:themeColor="text1"/>
          <w:kern w:val="21"/>
        </w:rPr>
        <w:instrText xml:space="preserve"> = 6 \* GB3 \* MERGEFORMAT </w:instrText>
      </w:r>
      <w:r>
        <w:rPr>
          <w:rFonts w:hint="default" w:ascii="Times New Roman" w:hAnsi="Times New Roman" w:cs="Times New Roman"/>
          <w:snapToGrid w:val="0"/>
          <w:color w:val="000000" w:themeColor="text1"/>
          <w:kern w:val="21"/>
        </w:rPr>
        <w:fldChar w:fldCharType="separate"/>
      </w:r>
      <w:r>
        <w:rPr>
          <w:rFonts w:hint="default" w:ascii="Times New Roman" w:hAnsi="Times New Roman" w:cs="Times New Roman"/>
          <w:color w:val="000000" w:themeColor="text1"/>
        </w:rPr>
        <w:t>⑥</w:t>
      </w:r>
      <w:r>
        <w:rPr>
          <w:rFonts w:hint="default" w:ascii="Times New Roman" w:hAnsi="Times New Roman" w:cs="Times New Roman"/>
          <w:snapToGrid w:val="0"/>
          <w:color w:val="000000" w:themeColor="text1"/>
          <w:kern w:val="21"/>
        </w:rPr>
        <w:fldChar w:fldCharType="end"/>
      </w:r>
      <w:r>
        <w:rPr>
          <w:rFonts w:hint="default" w:ascii="Times New Roman" w:hAnsi="Times New Roman" w:cs="Times New Roman"/>
          <w:snapToGrid w:val="0"/>
          <w:color w:val="000000" w:themeColor="text1"/>
          <w:kern w:val="21"/>
        </w:rPr>
        <w:t>=</w:t>
      </w:r>
      <w:r>
        <w:rPr>
          <w:rFonts w:hint="default" w:ascii="Times New Roman" w:hAnsi="Times New Roman" w:cs="Times New Roman"/>
          <w:snapToGrid w:val="0"/>
          <w:color w:val="000000" w:themeColor="text1"/>
          <w:kern w:val="21"/>
        </w:rPr>
        <w:fldChar w:fldCharType="begin"/>
      </w:r>
      <w:r>
        <w:rPr>
          <w:rFonts w:hint="default" w:ascii="Times New Roman" w:hAnsi="Times New Roman" w:cs="Times New Roman"/>
          <w:snapToGrid w:val="0"/>
          <w:color w:val="000000" w:themeColor="text1"/>
          <w:kern w:val="21"/>
        </w:rPr>
        <w:instrText xml:space="preserve"> = 1 \* GB3 \* MERGEFORMAT </w:instrText>
      </w:r>
      <w:r>
        <w:rPr>
          <w:rFonts w:hint="default" w:ascii="Times New Roman" w:hAnsi="Times New Roman" w:cs="Times New Roman"/>
          <w:snapToGrid w:val="0"/>
          <w:color w:val="000000" w:themeColor="text1"/>
          <w:kern w:val="21"/>
        </w:rPr>
        <w:fldChar w:fldCharType="separate"/>
      </w:r>
      <w:r>
        <w:rPr>
          <w:rFonts w:hint="default" w:ascii="Times New Roman" w:hAnsi="Times New Roman" w:cs="Times New Roman"/>
          <w:color w:val="000000" w:themeColor="text1"/>
        </w:rPr>
        <w:t>①</w:t>
      </w:r>
      <w:r>
        <w:rPr>
          <w:rFonts w:hint="default" w:ascii="Times New Roman" w:hAnsi="Times New Roman" w:cs="Times New Roman"/>
          <w:snapToGrid w:val="0"/>
          <w:color w:val="000000" w:themeColor="text1"/>
          <w:kern w:val="21"/>
        </w:rPr>
        <w:fldChar w:fldCharType="end"/>
      </w:r>
      <w:r>
        <w:rPr>
          <w:rFonts w:hint="default" w:ascii="Times New Roman" w:hAnsi="Times New Roman" w:cs="Times New Roman"/>
          <w:snapToGrid w:val="0"/>
          <w:color w:val="000000" w:themeColor="text1"/>
          <w:kern w:val="21"/>
        </w:rPr>
        <w:t>+</w:t>
      </w:r>
      <w:r>
        <w:rPr>
          <w:rFonts w:hint="default" w:ascii="Times New Roman" w:hAnsi="Times New Roman" w:cs="Times New Roman"/>
          <w:snapToGrid w:val="0"/>
          <w:color w:val="000000" w:themeColor="text1"/>
          <w:kern w:val="21"/>
        </w:rPr>
        <w:fldChar w:fldCharType="begin"/>
      </w:r>
      <w:r>
        <w:rPr>
          <w:rFonts w:hint="default" w:ascii="Times New Roman" w:hAnsi="Times New Roman" w:cs="Times New Roman"/>
          <w:snapToGrid w:val="0"/>
          <w:color w:val="000000" w:themeColor="text1"/>
          <w:kern w:val="21"/>
        </w:rPr>
        <w:instrText xml:space="preserve"> = 3 \* GB3 \* MERGEFORMAT </w:instrText>
      </w:r>
      <w:r>
        <w:rPr>
          <w:rFonts w:hint="default" w:ascii="Times New Roman" w:hAnsi="Times New Roman" w:cs="Times New Roman"/>
          <w:snapToGrid w:val="0"/>
          <w:color w:val="000000" w:themeColor="text1"/>
          <w:kern w:val="21"/>
        </w:rPr>
        <w:fldChar w:fldCharType="separate"/>
      </w:r>
      <w:r>
        <w:rPr>
          <w:rFonts w:hint="default" w:ascii="Times New Roman" w:hAnsi="Times New Roman" w:cs="Times New Roman"/>
          <w:color w:val="000000" w:themeColor="text1"/>
        </w:rPr>
        <w:t>③</w:t>
      </w:r>
      <w:r>
        <w:rPr>
          <w:rFonts w:hint="default" w:ascii="Times New Roman" w:hAnsi="Times New Roman" w:cs="Times New Roman"/>
          <w:snapToGrid w:val="0"/>
          <w:color w:val="000000" w:themeColor="text1"/>
          <w:kern w:val="21"/>
        </w:rPr>
        <w:fldChar w:fldCharType="end"/>
      </w:r>
      <w:r>
        <w:rPr>
          <w:rFonts w:hint="default" w:ascii="Times New Roman" w:hAnsi="Times New Roman" w:cs="Times New Roman"/>
          <w:snapToGrid w:val="0"/>
          <w:color w:val="000000" w:themeColor="text1"/>
          <w:kern w:val="21"/>
        </w:rPr>
        <w:t>+</w:t>
      </w:r>
      <w:r>
        <w:rPr>
          <w:rFonts w:hint="default" w:ascii="Times New Roman" w:hAnsi="Times New Roman" w:cs="Times New Roman"/>
          <w:snapToGrid w:val="0"/>
          <w:color w:val="000000" w:themeColor="text1"/>
          <w:kern w:val="21"/>
        </w:rPr>
        <w:fldChar w:fldCharType="begin"/>
      </w:r>
      <w:r>
        <w:rPr>
          <w:rFonts w:hint="default" w:ascii="Times New Roman" w:hAnsi="Times New Roman" w:cs="Times New Roman"/>
          <w:snapToGrid w:val="0"/>
          <w:color w:val="000000" w:themeColor="text1"/>
          <w:kern w:val="21"/>
        </w:rPr>
        <w:instrText xml:space="preserve"> = 4 \* GB3 \* MERGEFORMAT </w:instrText>
      </w:r>
      <w:r>
        <w:rPr>
          <w:rFonts w:hint="default" w:ascii="Times New Roman" w:hAnsi="Times New Roman" w:cs="Times New Roman"/>
          <w:snapToGrid w:val="0"/>
          <w:color w:val="000000" w:themeColor="text1"/>
          <w:kern w:val="21"/>
        </w:rPr>
        <w:fldChar w:fldCharType="separate"/>
      </w:r>
      <w:r>
        <w:rPr>
          <w:rFonts w:hint="default" w:ascii="Times New Roman" w:hAnsi="Times New Roman" w:cs="Times New Roman"/>
          <w:color w:val="000000" w:themeColor="text1"/>
        </w:rPr>
        <w:t>④</w:t>
      </w:r>
      <w:r>
        <w:rPr>
          <w:rFonts w:hint="default" w:ascii="Times New Roman" w:hAnsi="Times New Roman" w:cs="Times New Roman"/>
          <w:snapToGrid w:val="0"/>
          <w:color w:val="000000" w:themeColor="text1"/>
          <w:kern w:val="21"/>
        </w:rPr>
        <w:fldChar w:fldCharType="end"/>
      </w:r>
      <w:r>
        <w:rPr>
          <w:rFonts w:hint="default" w:ascii="Times New Roman" w:hAnsi="Times New Roman" w:cs="Times New Roman"/>
          <w:snapToGrid w:val="0"/>
          <w:color w:val="000000" w:themeColor="text1"/>
          <w:kern w:val="21"/>
        </w:rPr>
        <w:t>-</w:t>
      </w:r>
      <w:r>
        <w:rPr>
          <w:rFonts w:hint="default" w:ascii="Times New Roman" w:hAnsi="Times New Roman" w:cs="Times New Roman"/>
          <w:snapToGrid w:val="0"/>
          <w:color w:val="000000" w:themeColor="text1"/>
          <w:kern w:val="21"/>
        </w:rPr>
        <w:fldChar w:fldCharType="begin"/>
      </w:r>
      <w:r>
        <w:rPr>
          <w:rFonts w:hint="default" w:ascii="Times New Roman" w:hAnsi="Times New Roman" w:cs="Times New Roman"/>
          <w:snapToGrid w:val="0"/>
          <w:color w:val="000000" w:themeColor="text1"/>
          <w:kern w:val="21"/>
        </w:rPr>
        <w:instrText xml:space="preserve"> = 5 \* GB3 \* MERGEFORMAT </w:instrText>
      </w:r>
      <w:r>
        <w:rPr>
          <w:rFonts w:hint="default" w:ascii="Times New Roman" w:hAnsi="Times New Roman" w:cs="Times New Roman"/>
          <w:snapToGrid w:val="0"/>
          <w:color w:val="000000" w:themeColor="text1"/>
          <w:kern w:val="21"/>
        </w:rPr>
        <w:fldChar w:fldCharType="separate"/>
      </w:r>
      <w:r>
        <w:rPr>
          <w:rFonts w:hint="default" w:ascii="Times New Roman" w:hAnsi="Times New Roman" w:cs="Times New Roman"/>
          <w:color w:val="000000" w:themeColor="text1"/>
        </w:rPr>
        <w:t>⑤</w:t>
      </w:r>
      <w:r>
        <w:rPr>
          <w:rFonts w:hint="default" w:ascii="Times New Roman" w:hAnsi="Times New Roman" w:cs="Times New Roman"/>
          <w:snapToGrid w:val="0"/>
          <w:color w:val="000000" w:themeColor="text1"/>
          <w:kern w:val="21"/>
        </w:rPr>
        <w:fldChar w:fldCharType="end"/>
      </w:r>
      <w:r>
        <w:rPr>
          <w:rFonts w:hint="default" w:ascii="Times New Roman" w:hAnsi="Times New Roman" w:cs="Times New Roman"/>
          <w:snapToGrid w:val="0"/>
          <w:color w:val="000000" w:themeColor="text1"/>
          <w:kern w:val="21"/>
        </w:rPr>
        <w:t>；</w:t>
      </w:r>
      <w:r>
        <w:rPr>
          <w:rFonts w:hint="default" w:ascii="Times New Roman" w:hAnsi="Times New Roman" w:cs="Times New Roman"/>
          <w:snapToGrid w:val="0"/>
          <w:color w:val="000000" w:themeColor="text1"/>
          <w:kern w:val="21"/>
        </w:rPr>
        <w:fldChar w:fldCharType="begin"/>
      </w:r>
      <w:r>
        <w:rPr>
          <w:rFonts w:hint="default" w:ascii="Times New Roman" w:hAnsi="Times New Roman" w:cs="Times New Roman"/>
          <w:snapToGrid w:val="0"/>
          <w:color w:val="000000" w:themeColor="text1"/>
          <w:kern w:val="21"/>
        </w:rPr>
        <w:instrText xml:space="preserve"> = 7 \* GB3 \* MERGEFORMAT </w:instrText>
      </w:r>
      <w:r>
        <w:rPr>
          <w:rFonts w:hint="default" w:ascii="Times New Roman" w:hAnsi="Times New Roman" w:cs="Times New Roman"/>
          <w:snapToGrid w:val="0"/>
          <w:color w:val="000000" w:themeColor="text1"/>
          <w:kern w:val="21"/>
        </w:rPr>
        <w:fldChar w:fldCharType="separate"/>
      </w:r>
      <w:r>
        <w:rPr>
          <w:rFonts w:hint="default" w:ascii="Times New Roman" w:hAnsi="Times New Roman" w:cs="Times New Roman"/>
          <w:color w:val="000000" w:themeColor="text1"/>
        </w:rPr>
        <w:t>⑦</w:t>
      </w:r>
      <w:r>
        <w:rPr>
          <w:rFonts w:hint="default" w:ascii="Times New Roman" w:hAnsi="Times New Roman" w:cs="Times New Roman"/>
          <w:snapToGrid w:val="0"/>
          <w:color w:val="000000" w:themeColor="text1"/>
          <w:kern w:val="21"/>
        </w:rPr>
        <w:fldChar w:fldCharType="end"/>
      </w:r>
      <w:r>
        <w:rPr>
          <w:rFonts w:hint="default" w:ascii="Times New Roman" w:hAnsi="Times New Roman" w:cs="Times New Roman"/>
          <w:snapToGrid w:val="0"/>
          <w:color w:val="000000" w:themeColor="text1"/>
          <w:kern w:val="21"/>
        </w:rPr>
        <w:t>=</w:t>
      </w:r>
      <w:r>
        <w:rPr>
          <w:rFonts w:hint="default" w:ascii="Times New Roman" w:hAnsi="Times New Roman" w:cs="Times New Roman"/>
          <w:snapToGrid w:val="0"/>
          <w:color w:val="000000" w:themeColor="text1"/>
          <w:kern w:val="21"/>
        </w:rPr>
        <w:fldChar w:fldCharType="begin"/>
      </w:r>
      <w:r>
        <w:rPr>
          <w:rFonts w:hint="default" w:ascii="Times New Roman" w:hAnsi="Times New Roman" w:cs="Times New Roman"/>
          <w:snapToGrid w:val="0"/>
          <w:color w:val="000000" w:themeColor="text1"/>
          <w:kern w:val="21"/>
        </w:rPr>
        <w:instrText xml:space="preserve"> = 6 \* GB3 \* MERGEFORMAT </w:instrText>
      </w:r>
      <w:r>
        <w:rPr>
          <w:rFonts w:hint="default" w:ascii="Times New Roman" w:hAnsi="Times New Roman" w:cs="Times New Roman"/>
          <w:snapToGrid w:val="0"/>
          <w:color w:val="000000" w:themeColor="text1"/>
          <w:kern w:val="21"/>
        </w:rPr>
        <w:fldChar w:fldCharType="separate"/>
      </w:r>
      <w:r>
        <w:rPr>
          <w:rFonts w:hint="default" w:ascii="Times New Roman" w:hAnsi="Times New Roman" w:cs="Times New Roman"/>
          <w:color w:val="000000" w:themeColor="text1"/>
        </w:rPr>
        <w:t>⑥</w:t>
      </w:r>
      <w:r>
        <w:rPr>
          <w:rFonts w:hint="default" w:ascii="Times New Roman" w:hAnsi="Times New Roman" w:cs="Times New Roman"/>
          <w:snapToGrid w:val="0"/>
          <w:color w:val="000000" w:themeColor="text1"/>
          <w:kern w:val="21"/>
        </w:rPr>
        <w:fldChar w:fldCharType="end"/>
      </w:r>
      <w:r>
        <w:rPr>
          <w:rFonts w:hint="default" w:ascii="Times New Roman" w:hAnsi="Times New Roman" w:cs="Times New Roman"/>
          <w:snapToGrid w:val="0"/>
          <w:color w:val="000000" w:themeColor="text1"/>
          <w:kern w:val="21"/>
        </w:rPr>
        <w:t>-</w:t>
      </w:r>
      <w:r>
        <w:rPr>
          <w:rFonts w:hint="default" w:ascii="Times New Roman" w:hAnsi="Times New Roman" w:cs="Times New Roman"/>
          <w:snapToGrid w:val="0"/>
          <w:color w:val="000000" w:themeColor="text1"/>
          <w:kern w:val="21"/>
        </w:rPr>
        <w:fldChar w:fldCharType="begin"/>
      </w:r>
      <w:r>
        <w:rPr>
          <w:rFonts w:hint="default" w:ascii="Times New Roman" w:hAnsi="Times New Roman" w:cs="Times New Roman"/>
          <w:snapToGrid w:val="0"/>
          <w:color w:val="000000" w:themeColor="text1"/>
          <w:kern w:val="21"/>
        </w:rPr>
        <w:instrText xml:space="preserve"> = 1 \* GB3 \* MERGEFORMAT </w:instrText>
      </w:r>
      <w:r>
        <w:rPr>
          <w:rFonts w:hint="default" w:ascii="Times New Roman" w:hAnsi="Times New Roman" w:cs="Times New Roman"/>
          <w:snapToGrid w:val="0"/>
          <w:color w:val="000000" w:themeColor="text1"/>
          <w:kern w:val="21"/>
        </w:rPr>
        <w:fldChar w:fldCharType="separate"/>
      </w:r>
      <w:r>
        <w:rPr>
          <w:rFonts w:hint="default" w:ascii="Times New Roman" w:hAnsi="Times New Roman" w:cs="Times New Roman"/>
          <w:color w:val="000000" w:themeColor="text1"/>
        </w:rPr>
        <w:t>①</w:t>
      </w:r>
      <w:r>
        <w:rPr>
          <w:rFonts w:hint="default" w:ascii="Times New Roman" w:hAnsi="Times New Roman" w:cs="Times New Roman"/>
          <w:snapToGrid w:val="0"/>
          <w:color w:val="000000" w:themeColor="text1"/>
          <w:kern w:val="21"/>
        </w:rPr>
        <w:fldChar w:fldCharType="end"/>
      </w:r>
    </w:p>
    <w:p w14:paraId="6B61A558">
      <w:pPr>
        <w:pStyle w:val="2"/>
        <w:bidi w:val="0"/>
        <w:rPr>
          <w:rFonts w:hint="eastAsia" w:ascii="Times New Roman" w:hAnsi="Times New Roman" w:cs="Times New Roman"/>
          <w:b w:val="0"/>
          <w:bCs w:val="0"/>
          <w:color w:val="000000" w:themeColor="text1"/>
          <w:sz w:val="24"/>
          <w:szCs w:val="24"/>
          <w:lang w:val="en-US" w:eastAsia="zh-CN"/>
        </w:rPr>
      </w:pPr>
      <w:r>
        <w:rPr>
          <w:rFonts w:hint="eastAsia" w:ascii="Times New Roman" w:hAnsi="Times New Roman" w:cs="Times New Roman"/>
          <w:b w:val="0"/>
          <w:bCs w:val="0"/>
          <w:color w:val="000000" w:themeColor="text1"/>
          <w:sz w:val="24"/>
          <w:szCs w:val="24"/>
          <w:lang w:val="en-US" w:eastAsia="zh-CN"/>
        </w:rPr>
        <w:t>附件1：委托书</w:t>
      </w:r>
    </w:p>
    <w:p w14:paraId="22C53BC6">
      <w:pPr>
        <w:rPr>
          <w:rFonts w:hint="eastAsia"/>
          <w:color w:val="000000" w:themeColor="text1"/>
          <w:sz w:val="28"/>
          <w:szCs w:val="28"/>
          <w:lang w:val="en-US" w:eastAsia="zh-CN"/>
        </w:rPr>
      </w:pPr>
    </w:p>
    <w:p w14:paraId="4D751C61">
      <w:pPr>
        <w:keepNext w:val="0"/>
        <w:keepLines w:val="0"/>
        <w:pageBreakBefore w:val="0"/>
        <w:widowControl w:val="0"/>
        <w:kinsoku/>
        <w:wordWrap/>
        <w:overflowPunct/>
        <w:topLinePunct w:val="0"/>
        <w:autoSpaceDE/>
        <w:autoSpaceDN/>
        <w:bidi w:val="0"/>
        <w:adjustRightInd/>
        <w:snapToGrid/>
        <w:spacing w:line="480" w:lineRule="auto"/>
        <w:textAlignment w:val="auto"/>
        <w:outlineLvl w:val="9"/>
        <w:rPr>
          <w:rFonts w:hint="default" w:ascii="Times New Roman" w:hAnsi="Times New Roman" w:eastAsia="楷体" w:cs="Times New Roman"/>
          <w:color w:val="000000"/>
          <w:sz w:val="30"/>
          <w:szCs w:val="30"/>
          <w:highlight w:val="none"/>
        </w:rPr>
      </w:pPr>
      <w:r>
        <w:rPr>
          <w:rFonts w:hint="eastAsia" w:ascii="Times New Roman" w:hAnsi="Times New Roman" w:eastAsia="楷体" w:cs="Times New Roman"/>
          <w:color w:val="000000"/>
          <w:sz w:val="30"/>
          <w:szCs w:val="30"/>
          <w:highlight w:val="none"/>
          <w:lang w:val="en-US" w:eastAsia="zh-CN"/>
        </w:rPr>
        <w:t>安徽碧晟环保科技有限公司</w:t>
      </w:r>
      <w:r>
        <w:rPr>
          <w:rFonts w:hint="default" w:ascii="Times New Roman" w:hAnsi="Times New Roman" w:eastAsia="楷体" w:cs="Times New Roman"/>
          <w:color w:val="000000"/>
          <w:sz w:val="30"/>
          <w:szCs w:val="30"/>
          <w:highlight w:val="none"/>
        </w:rPr>
        <w:t>：</w:t>
      </w:r>
    </w:p>
    <w:p w14:paraId="1ADC82DA">
      <w:pPr>
        <w:keepNext w:val="0"/>
        <w:keepLines w:val="0"/>
        <w:pageBreakBefore w:val="0"/>
        <w:widowControl w:val="0"/>
        <w:kinsoku/>
        <w:wordWrap/>
        <w:overflowPunct/>
        <w:topLinePunct w:val="0"/>
        <w:autoSpaceDE/>
        <w:autoSpaceDN/>
        <w:bidi w:val="0"/>
        <w:adjustRightInd/>
        <w:snapToGrid/>
        <w:spacing w:line="480" w:lineRule="auto"/>
        <w:ind w:firstLine="600" w:firstLineChars="200"/>
        <w:textAlignment w:val="auto"/>
        <w:outlineLvl w:val="9"/>
        <w:rPr>
          <w:rFonts w:hint="default" w:ascii="Times New Roman" w:hAnsi="Times New Roman" w:eastAsia="楷体" w:cs="Times New Roman"/>
          <w:color w:val="000000"/>
          <w:sz w:val="30"/>
          <w:szCs w:val="30"/>
        </w:rPr>
      </w:pPr>
      <w:r>
        <w:rPr>
          <w:rFonts w:hint="default" w:ascii="Times New Roman" w:hAnsi="Times New Roman" w:eastAsia="楷体" w:cs="Times New Roman"/>
          <w:color w:val="000000"/>
          <w:sz w:val="30"/>
          <w:szCs w:val="30"/>
          <w:lang w:eastAsia="zh-CN"/>
        </w:rPr>
        <w:t>我方拟在</w:t>
      </w:r>
      <w:r>
        <w:rPr>
          <w:rFonts w:hint="eastAsia" w:ascii="Times New Roman" w:hAnsi="Times New Roman" w:eastAsia="楷体" w:cs="Times New Roman"/>
          <w:color w:val="000000"/>
          <w:sz w:val="30"/>
          <w:szCs w:val="30"/>
          <w:u w:val="single"/>
          <w:lang w:eastAsia="zh-CN"/>
        </w:rPr>
        <w:t>安徽省淮北市杜集区经济开发区发展路10号</w:t>
      </w:r>
      <w:r>
        <w:rPr>
          <w:rFonts w:hint="default" w:ascii="Times New Roman" w:hAnsi="Times New Roman" w:eastAsia="楷体" w:cs="Times New Roman"/>
          <w:color w:val="000000"/>
          <w:sz w:val="30"/>
          <w:szCs w:val="30"/>
          <w:u w:val="none"/>
          <w:lang w:eastAsia="zh-CN"/>
        </w:rPr>
        <w:t>建设</w:t>
      </w:r>
      <w:r>
        <w:rPr>
          <w:rFonts w:hint="eastAsia" w:ascii="Times New Roman" w:hAnsi="Times New Roman" w:eastAsia="楷体" w:cs="Times New Roman"/>
          <w:color w:val="000000"/>
          <w:sz w:val="30"/>
          <w:szCs w:val="30"/>
          <w:u w:val="single"/>
          <w:lang w:eastAsia="zh-CN"/>
        </w:rPr>
        <w:t>三变智能科技技改项目（</w:t>
      </w:r>
      <w:r>
        <w:rPr>
          <w:rFonts w:hint="eastAsia" w:ascii="Times New Roman" w:hAnsi="Times New Roman" w:eastAsia="楷体" w:cs="Times New Roman"/>
          <w:color w:val="000000"/>
          <w:sz w:val="30"/>
          <w:szCs w:val="30"/>
          <w:u w:val="single"/>
          <w:lang w:val="en-US" w:eastAsia="zh-CN"/>
        </w:rPr>
        <w:t>重新报批</w:t>
      </w:r>
      <w:r>
        <w:rPr>
          <w:rFonts w:hint="eastAsia" w:ascii="Times New Roman" w:hAnsi="Times New Roman" w:eastAsia="楷体" w:cs="Times New Roman"/>
          <w:color w:val="000000"/>
          <w:sz w:val="30"/>
          <w:szCs w:val="30"/>
          <w:u w:val="single"/>
          <w:lang w:eastAsia="zh-CN"/>
        </w:rPr>
        <w:t>）</w:t>
      </w:r>
      <w:r>
        <w:rPr>
          <w:rFonts w:hint="default" w:ascii="Times New Roman" w:hAnsi="Times New Roman" w:eastAsia="楷体" w:cs="Times New Roman"/>
          <w:color w:val="000000"/>
          <w:sz w:val="30"/>
          <w:szCs w:val="30"/>
        </w:rPr>
        <w:t>。根据《中华人民共和国环境影响评价法》、《建设项目环境保护条例》等法律、法规的规定，该项目建设前期需要进行环境影响评价工作。我方委托</w:t>
      </w:r>
      <w:r>
        <w:rPr>
          <w:rFonts w:hint="default" w:ascii="Times New Roman" w:hAnsi="Times New Roman" w:eastAsia="楷体" w:cs="Times New Roman"/>
          <w:color w:val="000000"/>
          <w:sz w:val="30"/>
          <w:szCs w:val="30"/>
          <w:lang w:eastAsia="zh-CN"/>
        </w:rPr>
        <w:t>贵</w:t>
      </w:r>
      <w:r>
        <w:rPr>
          <w:rFonts w:hint="default" w:ascii="Times New Roman" w:hAnsi="Times New Roman" w:eastAsia="楷体" w:cs="Times New Roman"/>
          <w:color w:val="000000"/>
          <w:sz w:val="30"/>
          <w:szCs w:val="30"/>
        </w:rPr>
        <w:t>单位就该项目进行环境</w:t>
      </w:r>
      <w:r>
        <w:rPr>
          <w:rFonts w:hint="default" w:ascii="Times New Roman" w:hAnsi="Times New Roman" w:eastAsia="楷体" w:cs="Times New Roman"/>
          <w:color w:val="000000"/>
          <w:sz w:val="30"/>
          <w:szCs w:val="30"/>
          <w:lang w:eastAsia="zh-CN"/>
        </w:rPr>
        <w:t>影</w:t>
      </w:r>
      <w:r>
        <w:rPr>
          <w:rFonts w:hint="default" w:ascii="Times New Roman" w:hAnsi="Times New Roman" w:eastAsia="楷体" w:cs="Times New Roman"/>
          <w:color w:val="000000"/>
          <w:sz w:val="30"/>
          <w:szCs w:val="30"/>
        </w:rPr>
        <w:t>响评价，贵单位负</w:t>
      </w:r>
      <w:r>
        <w:rPr>
          <w:rFonts w:hint="default" w:ascii="Times New Roman" w:hAnsi="Times New Roman" w:eastAsia="楷体" w:cs="Times New Roman"/>
          <w:color w:val="000000"/>
          <w:sz w:val="30"/>
          <w:szCs w:val="30"/>
          <w:lang w:eastAsia="zh-CN"/>
        </w:rPr>
        <w:t>责</w:t>
      </w:r>
      <w:r>
        <w:rPr>
          <w:rFonts w:hint="default" w:ascii="Times New Roman" w:hAnsi="Times New Roman" w:eastAsia="楷体" w:cs="Times New Roman"/>
          <w:color w:val="000000"/>
          <w:sz w:val="30"/>
          <w:szCs w:val="30"/>
        </w:rPr>
        <w:t>提交该项目《环境影响评价报告</w:t>
      </w:r>
      <w:r>
        <w:rPr>
          <w:rFonts w:hint="eastAsia" w:ascii="Times New Roman" w:hAnsi="Times New Roman" w:eastAsia="楷体" w:cs="Times New Roman"/>
          <w:color w:val="000000"/>
          <w:sz w:val="30"/>
          <w:szCs w:val="30"/>
          <w:lang w:val="en-US" w:eastAsia="zh-CN"/>
        </w:rPr>
        <w:t>表</w:t>
      </w:r>
      <w:r>
        <w:rPr>
          <w:rFonts w:hint="default" w:ascii="Times New Roman" w:hAnsi="Times New Roman" w:eastAsia="楷体" w:cs="Times New Roman"/>
          <w:color w:val="000000"/>
          <w:sz w:val="30"/>
          <w:szCs w:val="30"/>
        </w:rPr>
        <w:t>》</w:t>
      </w:r>
      <w:r>
        <w:rPr>
          <w:rFonts w:hint="default" w:ascii="Times New Roman" w:hAnsi="Times New Roman" w:eastAsia="楷体" w:cs="Times New Roman"/>
          <w:color w:val="000000"/>
          <w:sz w:val="30"/>
          <w:szCs w:val="30"/>
          <w:lang w:eastAsia="zh-CN"/>
        </w:rPr>
        <w:t>，</w:t>
      </w:r>
      <w:r>
        <w:rPr>
          <w:rFonts w:hint="default" w:ascii="Times New Roman" w:hAnsi="Times New Roman" w:eastAsia="楷体" w:cs="Times New Roman"/>
          <w:color w:val="000000"/>
          <w:sz w:val="30"/>
          <w:szCs w:val="30"/>
        </w:rPr>
        <w:t>具体要求在合同文本中商定。</w:t>
      </w:r>
    </w:p>
    <w:p w14:paraId="655233DA">
      <w:pPr>
        <w:keepNext w:val="0"/>
        <w:keepLines w:val="0"/>
        <w:pageBreakBefore w:val="0"/>
        <w:widowControl w:val="0"/>
        <w:kinsoku/>
        <w:wordWrap/>
        <w:overflowPunct/>
        <w:topLinePunct w:val="0"/>
        <w:autoSpaceDE/>
        <w:autoSpaceDN/>
        <w:bidi w:val="0"/>
        <w:adjustRightInd/>
        <w:snapToGrid/>
        <w:spacing w:line="480" w:lineRule="auto"/>
        <w:ind w:firstLine="600" w:firstLineChars="200"/>
        <w:textAlignment w:val="auto"/>
        <w:outlineLvl w:val="9"/>
        <w:rPr>
          <w:rFonts w:hint="default" w:ascii="Times New Roman" w:hAnsi="Times New Roman" w:eastAsia="楷体" w:cs="Times New Roman"/>
          <w:color w:val="000000"/>
          <w:sz w:val="30"/>
          <w:szCs w:val="30"/>
        </w:rPr>
      </w:pPr>
      <w:r>
        <w:rPr>
          <w:rFonts w:hint="default" w:ascii="Times New Roman" w:hAnsi="Times New Roman" w:eastAsia="楷体" w:cs="Times New Roman"/>
          <w:color w:val="000000"/>
          <w:sz w:val="30"/>
          <w:szCs w:val="30"/>
        </w:rPr>
        <w:t>特此委托！</w:t>
      </w:r>
    </w:p>
    <w:p w14:paraId="4CDA12C2">
      <w:pPr>
        <w:keepNext w:val="0"/>
        <w:keepLines w:val="0"/>
        <w:pageBreakBefore w:val="0"/>
        <w:widowControl w:val="0"/>
        <w:kinsoku/>
        <w:wordWrap/>
        <w:overflowPunct/>
        <w:topLinePunct w:val="0"/>
        <w:autoSpaceDE/>
        <w:autoSpaceDN/>
        <w:bidi w:val="0"/>
        <w:adjustRightInd/>
        <w:snapToGrid/>
        <w:spacing w:line="480" w:lineRule="auto"/>
        <w:ind w:firstLine="600" w:firstLineChars="200"/>
        <w:textAlignment w:val="auto"/>
        <w:outlineLvl w:val="9"/>
        <w:rPr>
          <w:rFonts w:hint="default" w:ascii="Times New Roman" w:hAnsi="Times New Roman" w:eastAsia="楷体" w:cs="Times New Roman"/>
          <w:color w:val="000000"/>
          <w:sz w:val="30"/>
          <w:szCs w:val="30"/>
        </w:rPr>
      </w:pPr>
    </w:p>
    <w:p w14:paraId="1A4914CB">
      <w:pPr>
        <w:keepNext w:val="0"/>
        <w:keepLines w:val="0"/>
        <w:pageBreakBefore w:val="0"/>
        <w:widowControl w:val="0"/>
        <w:kinsoku/>
        <w:wordWrap/>
        <w:overflowPunct/>
        <w:topLinePunct w:val="0"/>
        <w:autoSpaceDE/>
        <w:autoSpaceDN/>
        <w:bidi w:val="0"/>
        <w:adjustRightInd/>
        <w:snapToGrid/>
        <w:spacing w:line="480" w:lineRule="auto"/>
        <w:jc w:val="center"/>
        <w:textAlignment w:val="auto"/>
        <w:outlineLvl w:val="9"/>
        <w:rPr>
          <w:rFonts w:hint="default" w:ascii="Times New Roman" w:hAnsi="Times New Roman" w:eastAsia="楷体" w:cs="Times New Roman"/>
          <w:color w:val="000000"/>
          <w:sz w:val="30"/>
          <w:szCs w:val="30"/>
          <w:lang w:eastAsia="zh-CN"/>
        </w:rPr>
      </w:pPr>
      <w:r>
        <w:rPr>
          <w:rFonts w:hint="default" w:ascii="Times New Roman" w:hAnsi="Times New Roman" w:eastAsia="楷体" w:cs="Times New Roman"/>
          <w:color w:val="000000"/>
          <w:sz w:val="30"/>
          <w:szCs w:val="30"/>
          <w:lang w:val="en-US" w:eastAsia="zh-CN"/>
        </w:rPr>
        <w:t xml:space="preserve">                    </w:t>
      </w:r>
      <w:r>
        <w:rPr>
          <w:rFonts w:hint="default" w:ascii="Times New Roman" w:hAnsi="Times New Roman" w:eastAsia="楷体" w:cs="Times New Roman"/>
          <w:color w:val="000000"/>
          <w:sz w:val="30"/>
          <w:szCs w:val="30"/>
        </w:rPr>
        <w:t>委托方（盖章</w:t>
      </w:r>
      <w:r>
        <w:rPr>
          <w:rFonts w:hint="default" w:ascii="Times New Roman" w:hAnsi="Times New Roman" w:eastAsia="楷体" w:cs="Times New Roman"/>
          <w:color w:val="000000"/>
          <w:sz w:val="30"/>
          <w:szCs w:val="30"/>
          <w:lang w:eastAsia="zh-CN"/>
        </w:rPr>
        <w:t>）：</w:t>
      </w:r>
    </w:p>
    <w:p w14:paraId="445262A7">
      <w:pPr>
        <w:keepNext w:val="0"/>
        <w:keepLines w:val="0"/>
        <w:pageBreakBefore w:val="0"/>
        <w:widowControl w:val="0"/>
        <w:kinsoku/>
        <w:wordWrap/>
        <w:overflowPunct/>
        <w:topLinePunct w:val="0"/>
        <w:autoSpaceDE/>
        <w:autoSpaceDN/>
        <w:bidi w:val="0"/>
        <w:adjustRightInd/>
        <w:snapToGrid/>
        <w:spacing w:line="480" w:lineRule="auto"/>
        <w:jc w:val="right"/>
        <w:textAlignment w:val="auto"/>
        <w:outlineLvl w:val="9"/>
        <w:rPr>
          <w:rFonts w:hint="default" w:ascii="Times New Roman" w:hAnsi="Times New Roman" w:eastAsia="楷体" w:cs="Times New Roman"/>
          <w:color w:val="000000"/>
          <w:sz w:val="30"/>
          <w:szCs w:val="30"/>
          <w:highlight w:val="none"/>
          <w:lang w:val="en-US" w:eastAsia="zh-CN"/>
        </w:rPr>
      </w:pPr>
      <w:r>
        <w:rPr>
          <w:rFonts w:hint="default" w:ascii="Times New Roman" w:hAnsi="Times New Roman" w:eastAsia="楷体" w:cs="Times New Roman"/>
          <w:color w:val="000000"/>
          <w:sz w:val="30"/>
          <w:szCs w:val="30"/>
          <w:highlight w:val="none"/>
        </w:rPr>
        <w:t>委托日期</w:t>
      </w:r>
      <w:r>
        <w:rPr>
          <w:rFonts w:hint="default" w:ascii="Times New Roman" w:hAnsi="Times New Roman" w:eastAsia="楷体" w:cs="Times New Roman"/>
          <w:color w:val="000000"/>
          <w:sz w:val="30"/>
          <w:szCs w:val="30"/>
          <w:highlight w:val="none"/>
          <w:lang w:eastAsia="zh-CN"/>
        </w:rPr>
        <w:t>：</w:t>
      </w:r>
      <w:r>
        <w:rPr>
          <w:rFonts w:hint="default" w:ascii="Times New Roman" w:hAnsi="Times New Roman" w:eastAsia="楷体" w:cs="Times New Roman"/>
          <w:color w:val="000000"/>
          <w:sz w:val="30"/>
          <w:szCs w:val="30"/>
          <w:highlight w:val="none"/>
          <w:lang w:val="en-US" w:eastAsia="zh-CN"/>
        </w:rPr>
        <w:t>202</w:t>
      </w:r>
      <w:r>
        <w:rPr>
          <w:rFonts w:hint="eastAsia" w:ascii="Times New Roman" w:hAnsi="Times New Roman" w:eastAsia="楷体" w:cs="Times New Roman"/>
          <w:color w:val="000000"/>
          <w:sz w:val="30"/>
          <w:szCs w:val="30"/>
          <w:highlight w:val="none"/>
          <w:lang w:val="en-US" w:eastAsia="zh-CN"/>
        </w:rPr>
        <w:t>6</w:t>
      </w:r>
      <w:r>
        <w:rPr>
          <w:rFonts w:hint="default" w:ascii="Times New Roman" w:hAnsi="Times New Roman" w:eastAsia="楷体" w:cs="Times New Roman"/>
          <w:color w:val="000000"/>
          <w:sz w:val="30"/>
          <w:szCs w:val="30"/>
          <w:highlight w:val="none"/>
        </w:rPr>
        <w:t>年</w:t>
      </w:r>
      <w:r>
        <w:rPr>
          <w:rFonts w:hint="eastAsia" w:eastAsia="楷体" w:cs="Times New Roman"/>
          <w:color w:val="000000"/>
          <w:sz w:val="30"/>
          <w:szCs w:val="30"/>
          <w:highlight w:val="none"/>
          <w:lang w:val="en-US" w:eastAsia="zh-CN"/>
        </w:rPr>
        <w:t>4</w:t>
      </w:r>
      <w:r>
        <w:rPr>
          <w:rFonts w:hint="eastAsia" w:ascii="Times New Roman" w:hAnsi="Times New Roman" w:eastAsia="楷体" w:cs="Times New Roman"/>
          <w:color w:val="000000"/>
          <w:sz w:val="30"/>
          <w:szCs w:val="30"/>
          <w:highlight w:val="none"/>
          <w:lang w:val="en-US" w:eastAsia="zh-CN"/>
        </w:rPr>
        <w:t>月</w:t>
      </w:r>
      <w:r>
        <w:rPr>
          <w:rFonts w:hint="eastAsia" w:eastAsia="楷体" w:cs="Times New Roman"/>
          <w:color w:val="000000"/>
          <w:sz w:val="30"/>
          <w:szCs w:val="30"/>
          <w:highlight w:val="none"/>
          <w:lang w:val="en-US" w:eastAsia="zh-CN"/>
        </w:rPr>
        <w:t>1</w:t>
      </w:r>
      <w:r>
        <w:rPr>
          <w:rFonts w:hint="eastAsia" w:ascii="Times New Roman" w:hAnsi="Times New Roman" w:eastAsia="楷体" w:cs="Times New Roman"/>
          <w:color w:val="000000"/>
          <w:sz w:val="30"/>
          <w:szCs w:val="30"/>
          <w:highlight w:val="none"/>
          <w:lang w:val="en-US" w:eastAsia="zh-CN"/>
        </w:rPr>
        <w:t>日</w:t>
      </w:r>
    </w:p>
    <w:p w14:paraId="054CCADE">
      <w:pPr>
        <w:rPr>
          <w:rFonts w:hint="default"/>
          <w:color w:val="000000"/>
          <w:sz w:val="28"/>
          <w:szCs w:val="28"/>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5B751F31">
      <w:pPr>
        <w:pStyle w:val="2"/>
        <w:bidi w:val="0"/>
        <w:rPr>
          <w:rFonts w:hint="eastAsia" w:ascii="Times New Roman" w:hAnsi="Times New Roman" w:cs="Times New Roman"/>
          <w:b w:val="0"/>
          <w:bCs w:val="0"/>
          <w:color w:val="000000" w:themeColor="text1"/>
          <w:sz w:val="24"/>
          <w:szCs w:val="24"/>
          <w:lang w:val="en-US" w:eastAsia="zh-CN"/>
        </w:rPr>
      </w:pPr>
      <w:r>
        <w:rPr>
          <w:rFonts w:hint="eastAsia" w:ascii="Times New Roman" w:hAnsi="Times New Roman" w:cs="Times New Roman"/>
          <w:b w:val="0"/>
          <w:bCs w:val="0"/>
          <w:color w:val="000000" w:themeColor="text1"/>
          <w:sz w:val="24"/>
          <w:szCs w:val="24"/>
          <w:lang w:val="en-US" w:eastAsia="zh-CN"/>
        </w:rPr>
        <w:t>附件2：备案资料</w:t>
      </w:r>
    </w:p>
    <w:p w14:paraId="0FAE32BA">
      <w:pPr>
        <w:pStyle w:val="20"/>
        <w:rPr>
          <w:rFonts w:hint="eastAsia" w:eastAsia="宋体"/>
          <w:color w:val="000000" w:themeColor="text1"/>
          <w:lang w:eastAsia="zh-CN"/>
        </w:rPr>
      </w:pPr>
    </w:p>
    <w:p w14:paraId="3A4A5951">
      <w:pPr>
        <w:rPr>
          <w:rFonts w:hint="eastAsia"/>
          <w:color w:val="000000" w:themeColor="text1"/>
          <w:lang w:eastAsia="zh-CN"/>
        </w:rPr>
        <w:sectPr>
          <w:pgSz w:w="11906" w:h="16838"/>
          <w:pgMar w:top="1440" w:right="1800" w:bottom="1440" w:left="1800" w:header="907" w:footer="992" w:gutter="0"/>
          <w:cols w:space="720" w:num="1"/>
          <w:docGrid w:type="lines" w:linePitch="326" w:charSpace="0"/>
        </w:sectPr>
      </w:pPr>
      <w:r>
        <w:pict>
          <v:shape id="_x0000_i1058" o:spt="75" alt="" type="#_x0000_t75" style="height:543.45pt;width:415.25pt;" filled="f" o:preferrelative="t" stroked="f" coordsize="21600,21600">
            <v:path/>
            <v:fill on="f" focussize="0,0"/>
            <v:stroke on="f"/>
            <v:imagedata r:id="rId53" blacklevel="-1966f" o:title=""/>
            <o:lock v:ext="edit" aspectratio="t"/>
            <w10:wrap type="none"/>
            <w10:anchorlock/>
          </v:shape>
        </w:pict>
      </w:r>
    </w:p>
    <w:p w14:paraId="4DACFC9F">
      <w:pPr>
        <w:pStyle w:val="2"/>
        <w:bidi w:val="0"/>
        <w:rPr>
          <w:rFonts w:hint="eastAsia" w:ascii="Times New Roman" w:hAnsi="Times New Roman" w:cs="Times New Roman"/>
          <w:b w:val="0"/>
          <w:bCs w:val="0"/>
          <w:color w:val="000000" w:themeColor="text1"/>
          <w:sz w:val="24"/>
          <w:szCs w:val="24"/>
          <w:lang w:val="en-US" w:eastAsia="zh-CN"/>
        </w:rPr>
      </w:pPr>
      <w:r>
        <w:rPr>
          <w:rFonts w:hint="eastAsia" w:ascii="Times New Roman" w:hAnsi="Times New Roman" w:cs="Times New Roman"/>
          <w:b w:val="0"/>
          <w:bCs w:val="0"/>
          <w:color w:val="000000" w:themeColor="text1"/>
          <w:sz w:val="24"/>
          <w:szCs w:val="24"/>
          <w:lang w:val="en-US" w:eastAsia="zh-CN"/>
        </w:rPr>
        <w:t>附件3：租赁协议</w:t>
      </w:r>
    </w:p>
    <w:p w14:paraId="0D36680B">
      <w:pPr>
        <w:pStyle w:val="157"/>
        <w:ind w:left="0" w:leftChars="0" w:firstLine="0" w:firstLineChars="0"/>
        <w:rPr>
          <w:rFonts w:hint="eastAsia" w:eastAsia="宋体"/>
          <w:color w:val="000000" w:themeColor="text1"/>
          <w:lang w:eastAsia="zh-CN"/>
        </w:rPr>
        <w:sectPr>
          <w:pgSz w:w="11906" w:h="16838"/>
          <w:pgMar w:top="1440" w:right="1800" w:bottom="1440" w:left="1800" w:header="907" w:footer="992" w:gutter="0"/>
          <w:cols w:space="720" w:num="1"/>
          <w:docGrid w:type="lines" w:linePitch="326" w:charSpace="0"/>
        </w:sectPr>
      </w:pPr>
      <w:r>
        <w:rPr>
          <w:rFonts w:hint="eastAsia" w:eastAsia="宋体"/>
          <w:color w:val="000000" w:themeColor="text1"/>
          <w:lang w:eastAsia="zh-CN"/>
        </w:rPr>
        <w:pict>
          <v:shape id="_x0000_i1059" o:spt="75" alt="dc50c9c92c96626de01891026a40439a" type="#_x0000_t75" style="height:585.35pt;width:407.7pt;" filled="f" o:preferrelative="t" stroked="f" coordsize="21600,21600">
            <v:path/>
            <v:fill on="f" focussize="0,0"/>
            <v:stroke on="f"/>
            <v:imagedata r:id="rId54" cropleft="1106f" croptop="7138f" cropbottom="6369f" o:title="dc50c9c92c96626de01891026a40439a"/>
            <o:lock v:ext="edit" aspectratio="t"/>
            <w10:wrap type="none"/>
            <w10:anchorlock/>
          </v:shape>
        </w:pict>
      </w:r>
      <w:r>
        <w:rPr>
          <w:rFonts w:hint="eastAsia" w:eastAsia="宋体"/>
          <w:color w:val="000000" w:themeColor="text1"/>
          <w:lang w:eastAsia="zh-CN"/>
        </w:rPr>
        <w:pict>
          <v:shape id="_x0000_i1060" o:spt="75" alt="b27847f7cedd081d649639e3bc3559bf" type="#_x0000_t75" style="height:590.8pt;width:414.7pt;" filled="f" o:preferrelative="t" stroked="f" coordsize="21600,21600">
            <v:path/>
            <v:fill on="f" focussize="0,0"/>
            <v:stroke on="f"/>
            <v:imagedata r:id="rId55" croptop="8644f" cropbottom="4378f" o:title="b27847f7cedd081d649639e3bc3559bf"/>
            <o:lock v:ext="edit" aspectratio="t"/>
            <w10:wrap type="none"/>
            <w10:anchorlock/>
          </v:shape>
        </w:pict>
      </w:r>
    </w:p>
    <w:p w14:paraId="43C90E7F">
      <w:pPr>
        <w:pStyle w:val="2"/>
        <w:bidi w:val="0"/>
        <w:rPr>
          <w:rFonts w:hint="eastAsia" w:ascii="Times New Roman" w:hAnsi="Times New Roman" w:cs="Times New Roman"/>
          <w:b w:val="0"/>
          <w:bCs w:val="0"/>
          <w:color w:val="000000" w:themeColor="text1"/>
          <w:sz w:val="24"/>
          <w:szCs w:val="24"/>
          <w:lang w:val="en-US" w:eastAsia="zh-CN"/>
        </w:rPr>
      </w:pPr>
      <w:r>
        <w:rPr>
          <w:rFonts w:hint="eastAsia" w:ascii="Times New Roman" w:hAnsi="Times New Roman" w:cs="Times New Roman"/>
          <w:b w:val="0"/>
          <w:bCs w:val="0"/>
          <w:color w:val="000000" w:themeColor="text1"/>
          <w:sz w:val="24"/>
          <w:szCs w:val="24"/>
          <w:lang w:val="en-US" w:eastAsia="zh-CN"/>
        </w:rPr>
        <w:t>附件4：现有项目备案文件</w:t>
      </w:r>
    </w:p>
    <w:p w14:paraId="1643A81B">
      <w:pPr>
        <w:rPr>
          <w:rFonts w:hint="eastAsia" w:ascii="Times New Roman" w:hAnsi="Times New Roman" w:cs="Times New Roman"/>
          <w:b w:val="0"/>
          <w:bCs w:val="0"/>
          <w:color w:val="000000" w:themeColor="text1"/>
          <w:sz w:val="24"/>
          <w:szCs w:val="24"/>
          <w:lang w:val="en-US" w:eastAsia="zh-CN"/>
        </w:rPr>
      </w:pPr>
    </w:p>
    <w:p w14:paraId="52B3E4D4">
      <w:pPr>
        <w:rPr>
          <w:rFonts w:hint="default" w:ascii="Times New Roman" w:hAnsi="Times New Roman" w:cs="Times New Roman"/>
          <w:b w:val="0"/>
          <w:bCs w:val="0"/>
          <w:color w:val="000000" w:themeColor="text1"/>
          <w:sz w:val="24"/>
          <w:szCs w:val="24"/>
          <w:lang w:val="en-US" w:eastAsia="zh-CN"/>
        </w:rPr>
        <w:sectPr>
          <w:pgSz w:w="11906" w:h="16838"/>
          <w:pgMar w:top="1440" w:right="1800" w:bottom="1440" w:left="1800" w:header="907" w:footer="992" w:gutter="0"/>
          <w:cols w:space="720" w:num="1"/>
          <w:docGrid w:type="lines" w:linePitch="326" w:charSpace="0"/>
        </w:sectPr>
      </w:pPr>
      <w:r>
        <w:rPr>
          <w:rFonts w:hint="default" w:ascii="Times New Roman" w:hAnsi="Times New Roman" w:cs="Times New Roman"/>
          <w:b w:val="0"/>
          <w:bCs w:val="0"/>
          <w:color w:val="000000" w:themeColor="text1"/>
          <w:sz w:val="24"/>
          <w:szCs w:val="24"/>
          <w:lang w:val="en-US" w:eastAsia="zh-CN"/>
        </w:rPr>
        <w:pict>
          <v:shape id="_x0000_i1061" o:spt="75" alt="f289bdfb192a34220150eb1c011bb671" type="#_x0000_t75" style="height:591.7pt;width:414.85pt;" filled="f" o:preferrelative="t" stroked="f" coordsize="21600,21600">
            <v:path/>
            <v:fill on="f" focussize="0,0"/>
            <v:stroke on="f"/>
            <v:imagedata r:id="rId56" o:title="f289bdfb192a34220150eb1c011bb671"/>
            <o:lock v:ext="edit" aspectratio="t"/>
            <w10:wrap type="none"/>
            <w10:anchorlock/>
          </v:shape>
        </w:pict>
      </w:r>
    </w:p>
    <w:p w14:paraId="109BDB21">
      <w:pPr>
        <w:pStyle w:val="2"/>
        <w:bidi w:val="0"/>
        <w:rPr>
          <w:rFonts w:hint="eastAsia" w:ascii="Times New Roman" w:hAnsi="Times New Roman" w:cs="Times New Roman"/>
          <w:b w:val="0"/>
          <w:bCs w:val="0"/>
          <w:color w:val="000000" w:themeColor="text1"/>
          <w:sz w:val="24"/>
          <w:szCs w:val="24"/>
          <w:lang w:val="en-US" w:eastAsia="zh-CN"/>
        </w:rPr>
      </w:pPr>
      <w:r>
        <w:rPr>
          <w:rFonts w:hint="eastAsia" w:ascii="Times New Roman" w:hAnsi="Times New Roman" w:cs="Times New Roman"/>
          <w:b w:val="0"/>
          <w:bCs w:val="0"/>
          <w:color w:val="000000" w:themeColor="text1"/>
          <w:sz w:val="24"/>
          <w:szCs w:val="24"/>
          <w:lang w:val="en-US" w:eastAsia="zh-CN"/>
        </w:rPr>
        <w:t>附件5：现有项目登记表</w:t>
      </w:r>
    </w:p>
    <w:p w14:paraId="206AC032">
      <w:pPr>
        <w:rPr>
          <w:rFonts w:hint="eastAsia" w:ascii="Times New Roman" w:hAnsi="Times New Roman" w:cs="Times New Roman"/>
          <w:b w:val="0"/>
          <w:bCs w:val="0"/>
          <w:color w:val="000000" w:themeColor="text1"/>
          <w:sz w:val="24"/>
          <w:szCs w:val="24"/>
          <w:lang w:val="en-US" w:eastAsia="zh-CN"/>
        </w:rPr>
      </w:pPr>
    </w:p>
    <w:p w14:paraId="087453E6">
      <w:pPr>
        <w:rPr>
          <w:rFonts w:hint="default" w:ascii="Times New Roman" w:hAnsi="Times New Roman" w:cs="Times New Roman"/>
          <w:b w:val="0"/>
          <w:bCs w:val="0"/>
          <w:color w:val="000000" w:themeColor="text1"/>
          <w:sz w:val="24"/>
          <w:szCs w:val="24"/>
          <w:lang w:val="en-US" w:eastAsia="zh-CN"/>
        </w:rPr>
        <w:sectPr>
          <w:pgSz w:w="11906" w:h="16838"/>
          <w:pgMar w:top="1440" w:right="1800" w:bottom="1440" w:left="1800" w:header="907" w:footer="992" w:gutter="0"/>
          <w:cols w:space="720" w:num="1"/>
          <w:docGrid w:type="lines" w:linePitch="326" w:charSpace="0"/>
        </w:sectPr>
      </w:pPr>
      <w:r>
        <w:rPr>
          <w:rFonts w:hint="default" w:ascii="Times New Roman" w:hAnsi="Times New Roman" w:cs="Times New Roman"/>
          <w:b w:val="0"/>
          <w:bCs w:val="0"/>
          <w:color w:val="000000" w:themeColor="text1"/>
          <w:sz w:val="24"/>
          <w:szCs w:val="24"/>
          <w:lang w:val="en-US" w:eastAsia="zh-CN"/>
        </w:rPr>
        <w:pict>
          <v:shape id="_x0000_i1062" o:spt="75" alt="0922d935d869560587b6d1d8741fb191" type="#_x0000_t75" style="height:480pt;width:348.6pt;" filled="f" o:preferrelative="t" stroked="f" coordsize="21600,21600">
            <v:path/>
            <v:fill on="f" focussize="0,0"/>
            <v:stroke on="f"/>
            <v:imagedata r:id="rId57" o:title="0922d935d869560587b6d1d8741fb191"/>
            <o:lock v:ext="edit" aspectratio="t"/>
            <w10:wrap type="none"/>
            <w10:anchorlock/>
          </v:shape>
        </w:pict>
      </w:r>
    </w:p>
    <w:p w14:paraId="6E93EF6B">
      <w:pPr>
        <w:pStyle w:val="2"/>
        <w:bidi w:val="0"/>
        <w:rPr>
          <w:rFonts w:hint="eastAsia" w:cs="Times New Roman"/>
          <w:b w:val="0"/>
          <w:bCs w:val="0"/>
          <w:color w:val="000000" w:themeColor="text1"/>
          <w:sz w:val="24"/>
          <w:szCs w:val="24"/>
          <w:lang w:val="en-US" w:eastAsia="zh-CN"/>
        </w:rPr>
      </w:pPr>
      <w:r>
        <w:rPr>
          <w:rFonts w:hint="eastAsia" w:ascii="Times New Roman" w:hAnsi="Times New Roman" w:cs="Times New Roman"/>
          <w:b w:val="0"/>
          <w:bCs w:val="0"/>
          <w:color w:val="000000" w:themeColor="text1"/>
          <w:sz w:val="24"/>
          <w:szCs w:val="24"/>
          <w:lang w:val="en-US" w:eastAsia="zh-CN"/>
        </w:rPr>
        <w:t>附件6：</w:t>
      </w:r>
      <w:r>
        <w:rPr>
          <w:rFonts w:hint="eastAsia" w:cs="Times New Roman"/>
          <w:b w:val="0"/>
          <w:bCs w:val="0"/>
          <w:color w:val="000000" w:themeColor="text1"/>
          <w:sz w:val="24"/>
          <w:szCs w:val="24"/>
          <w:lang w:val="en-US" w:eastAsia="zh-CN"/>
        </w:rPr>
        <w:t>第一版环评批复文件</w:t>
      </w:r>
    </w:p>
    <w:p w14:paraId="4B356F5F">
      <w:pPr>
        <w:rPr>
          <w:rFonts w:hint="eastAsia" w:cs="Times New Roman"/>
          <w:b w:val="0"/>
          <w:bCs w:val="0"/>
          <w:color w:val="000000" w:themeColor="text1"/>
          <w:sz w:val="24"/>
          <w:szCs w:val="24"/>
          <w:lang w:val="en-US" w:eastAsia="zh-CN"/>
        </w:rPr>
      </w:pPr>
    </w:p>
    <w:p w14:paraId="0BF541BA">
      <w:pPr>
        <w:rPr>
          <w:rFonts w:hint="default" w:cs="Times New Roman"/>
          <w:b w:val="0"/>
          <w:bCs w:val="0"/>
          <w:color w:val="000000" w:themeColor="text1"/>
          <w:sz w:val="24"/>
          <w:szCs w:val="24"/>
          <w:lang w:val="en-US" w:eastAsia="zh-CN"/>
        </w:rPr>
        <w:sectPr>
          <w:pgSz w:w="11906" w:h="16838"/>
          <w:pgMar w:top="1440" w:right="1800" w:bottom="1440" w:left="1800" w:header="907" w:footer="992" w:gutter="0"/>
          <w:cols w:space="720" w:num="1"/>
          <w:docGrid w:type="lines" w:linePitch="326" w:charSpace="0"/>
        </w:sectPr>
      </w:pPr>
      <w:r>
        <w:pict>
          <v:shape id="_x0000_i1063" o:spt="75" type="#_x0000_t75" style="height:531.65pt;width:415.1pt;" filled="f" stroked="f" coordsize="21600,21600">
            <v:path/>
            <v:fill on="f" focussize="0,0"/>
            <v:stroke on="f"/>
            <v:imagedata r:id="rId58" o:title=""/>
            <o:lock v:ext="edit" aspectratio="t"/>
            <w10:wrap type="none"/>
            <w10:anchorlock/>
          </v:shape>
        </w:pict>
      </w:r>
      <w:r>
        <w:pict>
          <v:shape id="_x0000_i1064" o:spt="75" type="#_x0000_t75" style="height:552.85pt;width:414.95pt;" filled="f" stroked="f" coordsize="21600,21600">
            <v:path/>
            <v:fill on="f" focussize="0,0"/>
            <v:stroke on="f"/>
            <v:imagedata r:id="rId59" o:title=""/>
            <o:lock v:ext="edit" aspectratio="t"/>
            <w10:wrap type="none"/>
            <w10:anchorlock/>
          </v:shape>
        </w:pict>
      </w:r>
      <w:r>
        <w:pict>
          <v:shape id="_x0000_i1065" o:spt="75" type="#_x0000_t75" style="height:532.6pt;width:414.85pt;" filled="f" stroked="f" coordsize="21600,21600">
            <v:path/>
            <v:fill on="f" focussize="0,0"/>
            <v:stroke on="f"/>
            <v:imagedata r:id="rId60" o:title=""/>
            <o:lock v:ext="edit" aspectratio="t"/>
            <w10:wrap type="none"/>
            <w10:anchorlock/>
          </v:shape>
        </w:pict>
      </w:r>
      <w:r>
        <w:pict>
          <v:shape id="_x0000_i1066" o:spt="75" type="#_x0000_t75" style="height:561.6pt;width:414.95pt;" filled="f" stroked="f" coordsize="21600,21600">
            <v:path/>
            <v:fill on="f" focussize="0,0"/>
            <v:stroke on="f"/>
            <v:imagedata r:id="rId61" o:title=""/>
            <o:lock v:ext="edit" aspectratio="t"/>
            <w10:wrap type="none"/>
            <w10:anchorlock/>
          </v:shape>
        </w:pict>
      </w:r>
      <w:r>
        <w:pict>
          <v:shape id="_x0000_i1067" o:spt="75" type="#_x0000_t75" style="height:535.5pt;width:415.15pt;" filled="f" stroked="f" coordsize="21600,21600">
            <v:path/>
            <v:fill on="f" focussize="0,0"/>
            <v:stroke on="f"/>
            <v:imagedata r:id="rId62" o:title=""/>
            <o:lock v:ext="edit" aspectratio="t"/>
            <w10:wrap type="none"/>
            <w10:anchorlock/>
          </v:shape>
        </w:pict>
      </w:r>
      <w:r>
        <w:pict>
          <v:shape id="_x0000_i1068" o:spt="75" type="#_x0000_t75" style="height:526.35pt;width:415.05pt;" filled="f" stroked="f" coordsize="21600,21600">
            <v:path/>
            <v:fill on="f" focussize="0,0"/>
            <v:stroke on="f"/>
            <v:imagedata r:id="rId63" o:title=""/>
            <o:lock v:ext="edit" aspectratio="t"/>
            <w10:wrap type="none"/>
            <w10:anchorlock/>
          </v:shape>
        </w:pict>
      </w:r>
    </w:p>
    <w:p w14:paraId="0216ECEB">
      <w:pPr>
        <w:pStyle w:val="2"/>
        <w:bidi w:val="0"/>
        <w:rPr>
          <w:rFonts w:hint="default" w:ascii="Times New Roman" w:hAnsi="Times New Roman" w:cs="Times New Roman"/>
          <w:b w:val="0"/>
          <w:bCs w:val="0"/>
          <w:color w:val="000000" w:themeColor="text1"/>
          <w:sz w:val="24"/>
          <w:szCs w:val="24"/>
          <w:lang w:val="en-US" w:eastAsia="zh-CN"/>
        </w:rPr>
      </w:pPr>
      <w:r>
        <w:rPr>
          <w:rFonts w:hint="eastAsia" w:cs="Times New Roman"/>
          <w:b w:val="0"/>
          <w:bCs w:val="0"/>
          <w:color w:val="000000" w:themeColor="text1"/>
          <w:sz w:val="24"/>
          <w:szCs w:val="24"/>
          <w:lang w:val="en-US" w:eastAsia="zh-CN"/>
        </w:rPr>
        <w:t>附件7：企业现有</w:t>
      </w:r>
      <w:r>
        <w:rPr>
          <w:rFonts w:hint="eastAsia" w:ascii="Times New Roman" w:hAnsi="Times New Roman" w:cs="Times New Roman"/>
          <w:b w:val="0"/>
          <w:bCs w:val="0"/>
          <w:color w:val="000000" w:themeColor="text1"/>
          <w:sz w:val="24"/>
          <w:szCs w:val="24"/>
          <w:lang w:val="en-US" w:eastAsia="zh-CN"/>
        </w:rPr>
        <w:t>排污登记回执</w:t>
      </w:r>
    </w:p>
    <w:p w14:paraId="370A4649">
      <w:pPr>
        <w:rPr>
          <w:rFonts w:hint="eastAsia" w:ascii="Times New Roman" w:hAnsi="Times New Roman" w:cs="Times New Roman"/>
          <w:b w:val="0"/>
          <w:bCs w:val="0"/>
          <w:color w:val="000000" w:themeColor="text1"/>
          <w:sz w:val="24"/>
          <w:szCs w:val="24"/>
          <w:lang w:val="en-US" w:eastAsia="zh-CN"/>
        </w:rPr>
      </w:pPr>
    </w:p>
    <w:p w14:paraId="6A54255C">
      <w:pPr>
        <w:rPr>
          <w:rFonts w:hint="default" w:ascii="Times New Roman" w:hAnsi="Times New Roman" w:cs="Times New Roman"/>
          <w:b w:val="0"/>
          <w:bCs w:val="0"/>
          <w:color w:val="000000" w:themeColor="text1"/>
          <w:sz w:val="24"/>
          <w:szCs w:val="24"/>
          <w:lang w:val="en-US" w:eastAsia="zh-CN"/>
        </w:rPr>
        <w:sectPr>
          <w:pgSz w:w="11906" w:h="16838"/>
          <w:pgMar w:top="1440" w:right="1800" w:bottom="1440" w:left="1800" w:header="907" w:footer="992" w:gutter="0"/>
          <w:cols w:space="720" w:num="1"/>
          <w:docGrid w:type="lines" w:linePitch="326" w:charSpace="0"/>
        </w:sectPr>
      </w:pPr>
      <w:r>
        <w:pict>
          <v:shape id="_x0000_i1069" o:spt="75" type="#_x0000_t75" style="height:592.95pt;width:415.3pt;" filled="f" stroked="f" coordsize="21600,21600">
            <v:path/>
            <v:fill on="f" focussize="0,0"/>
            <v:stroke on="f"/>
            <v:imagedata r:id="rId64" o:title=""/>
            <o:lock v:ext="edit" aspectratio="t"/>
            <w10:wrap type="none"/>
            <w10:anchorlock/>
          </v:shape>
        </w:pict>
      </w:r>
    </w:p>
    <w:p w14:paraId="5944AA52">
      <w:pPr>
        <w:pStyle w:val="2"/>
        <w:bidi w:val="0"/>
        <w:rPr>
          <w:rFonts w:hint="eastAsia" w:ascii="Times New Roman" w:hAnsi="Times New Roman" w:cs="Times New Roman"/>
          <w:b w:val="0"/>
          <w:bCs w:val="0"/>
          <w:color w:val="000000" w:themeColor="text1"/>
          <w:sz w:val="24"/>
          <w:szCs w:val="24"/>
          <w:lang w:val="en-US" w:eastAsia="zh-CN"/>
        </w:rPr>
      </w:pPr>
      <w:r>
        <w:rPr>
          <w:rFonts w:hint="eastAsia" w:ascii="Times New Roman" w:hAnsi="Times New Roman" w:cs="Times New Roman"/>
          <w:b w:val="0"/>
          <w:bCs w:val="0"/>
          <w:color w:val="000000" w:themeColor="text1"/>
          <w:sz w:val="24"/>
          <w:szCs w:val="24"/>
          <w:lang w:val="en-US" w:eastAsia="zh-CN"/>
        </w:rPr>
        <w:t>附件</w:t>
      </w:r>
      <w:r>
        <w:rPr>
          <w:rFonts w:hint="eastAsia" w:cs="Times New Roman"/>
          <w:b w:val="0"/>
          <w:bCs w:val="0"/>
          <w:color w:val="000000" w:themeColor="text1"/>
          <w:sz w:val="24"/>
          <w:szCs w:val="24"/>
          <w:lang w:val="en-US" w:eastAsia="zh-CN"/>
        </w:rPr>
        <w:t>8</w:t>
      </w:r>
      <w:r>
        <w:rPr>
          <w:rFonts w:hint="eastAsia" w:ascii="Times New Roman" w:hAnsi="Times New Roman" w:cs="Times New Roman"/>
          <w:b w:val="0"/>
          <w:bCs w:val="0"/>
          <w:color w:val="000000" w:themeColor="text1"/>
          <w:sz w:val="24"/>
          <w:szCs w:val="24"/>
          <w:lang w:val="en-US" w:eastAsia="zh-CN"/>
        </w:rPr>
        <w:t>：焊条检测报告</w:t>
      </w:r>
    </w:p>
    <w:p w14:paraId="1A922ED9">
      <w:pPr>
        <w:rPr>
          <w:rFonts w:hint="eastAsia" w:ascii="Times New Roman" w:hAnsi="Times New Roman" w:cs="Times New Roman"/>
          <w:b w:val="0"/>
          <w:bCs w:val="0"/>
          <w:color w:val="000000" w:themeColor="text1"/>
          <w:sz w:val="24"/>
          <w:szCs w:val="24"/>
          <w:lang w:val="en-US" w:eastAsia="zh-CN"/>
        </w:rPr>
      </w:pPr>
    </w:p>
    <w:p w14:paraId="04B09905">
      <w:pPr>
        <w:rPr>
          <w:rFonts w:hint="default" w:ascii="Times New Roman" w:hAnsi="Times New Roman" w:cs="Times New Roman"/>
          <w:b w:val="0"/>
          <w:bCs w:val="0"/>
          <w:color w:val="000000" w:themeColor="text1"/>
          <w:sz w:val="24"/>
          <w:szCs w:val="24"/>
          <w:lang w:val="en-US" w:eastAsia="zh-CN"/>
        </w:rPr>
        <w:sectPr>
          <w:pgSz w:w="11906" w:h="16838"/>
          <w:pgMar w:top="1440" w:right="1800" w:bottom="1440" w:left="1800" w:header="907" w:footer="992" w:gutter="0"/>
          <w:cols w:space="720" w:num="1"/>
          <w:docGrid w:type="lines" w:linePitch="326" w:charSpace="0"/>
        </w:sectPr>
      </w:pPr>
      <w:r>
        <w:rPr>
          <w:color w:val="000000" w:themeColor="text1"/>
        </w:rPr>
        <w:pict>
          <v:shape id="_x0000_i1070" o:spt="75" type="#_x0000_t75" style="height:590.7pt;width:415pt;" filled="f" stroked="f" coordsize="21600,21600">
            <v:path/>
            <v:fill on="f" focussize="0,0"/>
            <v:stroke on="f"/>
            <v:imagedata r:id="rId65" o:title=""/>
            <o:lock v:ext="edit" aspectratio="t"/>
            <w10:wrap type="none"/>
            <w10:anchorlock/>
          </v:shape>
        </w:pict>
      </w:r>
      <w:r>
        <w:rPr>
          <w:color w:val="000000" w:themeColor="text1"/>
        </w:rPr>
        <w:pict>
          <v:shape id="_x0000_i1071" o:spt="75" type="#_x0000_t75" style="height:567.6pt;width:414.95pt;" filled="f" stroked="f" coordsize="21600,21600">
            <v:path/>
            <v:fill on="f" focussize="0,0"/>
            <v:stroke on="f"/>
            <v:imagedata r:id="rId66" o:title=""/>
            <o:lock v:ext="edit" aspectratio="t"/>
            <w10:wrap type="none"/>
            <w10:anchorlock/>
          </v:shape>
        </w:pict>
      </w:r>
      <w:r>
        <w:rPr>
          <w:color w:val="000000" w:themeColor="text1"/>
        </w:rPr>
        <w:pict>
          <v:shape id="_x0000_i1072" o:spt="75" type="#_x0000_t75" style="height:578.25pt;width:409.5pt;" filled="f" stroked="f" coordsize="21600,21600">
            <v:path/>
            <v:fill on="f" focussize="0,0"/>
            <v:stroke on="f"/>
            <v:imagedata r:id="rId67" o:title=""/>
            <o:lock v:ext="edit" aspectratio="t"/>
            <w10:wrap type="none"/>
            <w10:anchorlock/>
          </v:shape>
        </w:pict>
      </w:r>
      <w:r>
        <w:rPr>
          <w:color w:val="000000" w:themeColor="text1"/>
        </w:rPr>
        <w:pict>
          <v:shape id="_x0000_i1073" o:spt="75" type="#_x0000_t75" style="height:567.6pt;width:414.95pt;" filled="f" stroked="f" coordsize="21600,21600">
            <v:path/>
            <v:fill on="f" focussize="0,0"/>
            <v:stroke on="f"/>
            <v:imagedata r:id="rId68" o:title=""/>
            <o:lock v:ext="edit" aspectratio="t"/>
            <w10:wrap type="none"/>
            <w10:anchorlock/>
          </v:shape>
        </w:pict>
      </w:r>
      <w:r>
        <w:rPr>
          <w:color w:val="000000" w:themeColor="text1"/>
        </w:rPr>
        <w:pict>
          <v:shape id="_x0000_i1074" o:spt="75" type="#_x0000_t75" style="height:587pt;width:415pt;" filled="f" stroked="f" coordsize="21600,21600">
            <v:path/>
            <v:fill on="f" focussize="0,0"/>
            <v:stroke on="f"/>
            <v:imagedata r:id="rId69" o:title=""/>
            <o:lock v:ext="edit" aspectratio="t"/>
            <w10:wrap type="none"/>
            <w10:anchorlock/>
          </v:shape>
        </w:pict>
      </w:r>
    </w:p>
    <w:p w14:paraId="50BDA66C">
      <w:pPr>
        <w:pStyle w:val="2"/>
        <w:bidi w:val="0"/>
        <w:rPr>
          <w:rFonts w:hint="eastAsia" w:ascii="Times New Roman" w:hAnsi="Times New Roman" w:cs="Times New Roman"/>
          <w:b w:val="0"/>
          <w:bCs w:val="0"/>
          <w:color w:val="000000" w:themeColor="text1"/>
          <w:sz w:val="24"/>
          <w:szCs w:val="24"/>
          <w:lang w:val="en-US" w:eastAsia="zh-CN"/>
        </w:rPr>
      </w:pPr>
      <w:r>
        <w:rPr>
          <w:rFonts w:hint="eastAsia" w:ascii="Times New Roman" w:hAnsi="Times New Roman" w:cs="Times New Roman"/>
          <w:b w:val="0"/>
          <w:bCs w:val="0"/>
          <w:color w:val="000000" w:themeColor="text1"/>
          <w:sz w:val="24"/>
          <w:szCs w:val="24"/>
          <w:lang w:val="en-US" w:eastAsia="zh-CN"/>
        </w:rPr>
        <w:t>附件</w:t>
      </w:r>
      <w:r>
        <w:rPr>
          <w:rFonts w:hint="eastAsia" w:cs="Times New Roman"/>
          <w:b w:val="0"/>
          <w:bCs w:val="0"/>
          <w:color w:val="000000" w:themeColor="text1"/>
          <w:sz w:val="24"/>
          <w:szCs w:val="24"/>
          <w:lang w:val="en-US" w:eastAsia="zh-CN"/>
        </w:rPr>
        <w:t>9</w:t>
      </w:r>
      <w:r>
        <w:rPr>
          <w:rFonts w:hint="eastAsia" w:ascii="Times New Roman" w:hAnsi="Times New Roman" w:cs="Times New Roman"/>
          <w:b w:val="0"/>
          <w:bCs w:val="0"/>
          <w:color w:val="000000" w:themeColor="text1"/>
          <w:sz w:val="24"/>
          <w:szCs w:val="24"/>
          <w:lang w:val="en-US" w:eastAsia="zh-CN"/>
        </w:rPr>
        <w:t>：环氧树脂料安全技术说明书</w:t>
      </w:r>
    </w:p>
    <w:p w14:paraId="1753725E">
      <w:pPr>
        <w:pStyle w:val="157"/>
        <w:ind w:left="0" w:leftChars="0" w:firstLine="0" w:firstLineChars="0"/>
        <w:rPr>
          <w:color w:val="000000" w:themeColor="text1"/>
        </w:rPr>
        <w:sectPr>
          <w:pgSz w:w="11906" w:h="16838"/>
          <w:pgMar w:top="1440" w:right="1800" w:bottom="1440" w:left="1800" w:header="907" w:footer="992" w:gutter="0"/>
          <w:cols w:space="720" w:num="1"/>
          <w:docGrid w:type="lines" w:linePitch="326" w:charSpace="0"/>
        </w:sectPr>
      </w:pPr>
      <w:r>
        <w:rPr>
          <w:color w:val="000000" w:themeColor="text1"/>
        </w:rPr>
        <w:pict>
          <v:shape id="_x0000_i1075" o:spt="75" type="#_x0000_t75" style="height:572.25pt;width:402pt;" filled="f" o:preferrelative="t" stroked="f" coordsize="21600,21600">
            <v:path/>
            <v:fill on="f" focussize="0,0"/>
            <v:stroke on="f"/>
            <v:imagedata r:id="rId70" o:title=""/>
            <o:lock v:ext="edit" aspectratio="t"/>
            <w10:wrap type="none"/>
            <w10:anchorlock/>
          </v:shape>
        </w:pict>
      </w:r>
      <w:r>
        <w:rPr>
          <w:color w:val="000000" w:themeColor="text1"/>
        </w:rPr>
        <w:pict>
          <v:shape id="_x0000_i1076" o:spt="75" type="#_x0000_t75" style="height:586.5pt;width:422.7pt;" filled="f" o:preferrelative="t" stroked="f" coordsize="21600,21600">
            <v:path/>
            <v:fill on="f" focussize="0,0"/>
            <v:stroke on="f"/>
            <v:imagedata r:id="rId71" o:title=""/>
            <o:lock v:ext="edit" aspectratio="t"/>
            <w10:wrap type="none"/>
            <w10:anchorlock/>
          </v:shape>
        </w:pict>
      </w:r>
      <w:r>
        <w:rPr>
          <w:color w:val="000000" w:themeColor="text1"/>
        </w:rPr>
        <w:pict>
          <v:shape id="_x0000_i1077" o:spt="75" type="#_x0000_t75" style="height:576pt;width:413pt;" filled="f" o:preferrelative="t" stroked="f" coordsize="21600,21600">
            <v:path/>
            <v:fill on="f" focussize="0,0"/>
            <v:stroke on="f"/>
            <v:imagedata r:id="rId72" o:title=""/>
            <o:lock v:ext="edit" aspectratio="t"/>
            <w10:wrap type="none"/>
            <w10:anchorlock/>
          </v:shape>
        </w:pict>
      </w:r>
      <w:r>
        <w:rPr>
          <w:color w:val="000000" w:themeColor="text1"/>
        </w:rPr>
        <w:pict>
          <v:shape id="_x0000_i1078" o:spt="75" type="#_x0000_t75" style="height:621.35pt;width:437.5pt;" filled="f" o:preferrelative="t" stroked="f" coordsize="21600,21600">
            <v:path/>
            <v:fill on="f" focussize="0,0"/>
            <v:stroke on="f"/>
            <v:imagedata r:id="rId73" o:title=""/>
            <o:lock v:ext="edit" aspectratio="t"/>
            <w10:wrap type="none"/>
            <w10:anchorlock/>
          </v:shape>
        </w:pict>
      </w:r>
      <w:r>
        <w:rPr>
          <w:color w:val="000000" w:themeColor="text1"/>
        </w:rPr>
        <w:pict>
          <v:shape id="_x0000_i1079" o:spt="75" type="#_x0000_t75" style="height:579.7pt;width:426.95pt;" filled="f" o:preferrelative="t" stroked="f" coordsize="21600,21600">
            <v:path/>
            <v:fill on="f" focussize="0,0"/>
            <v:stroke on="f"/>
            <v:imagedata r:id="rId74" o:title=""/>
            <o:lock v:ext="edit" aspectratio="t"/>
            <w10:wrap type="none"/>
            <w10:anchorlock/>
          </v:shape>
        </w:pict>
      </w:r>
      <w:r>
        <w:rPr>
          <w:color w:val="000000" w:themeColor="text1"/>
        </w:rPr>
        <w:pict>
          <v:shape id="_x0000_i1080" o:spt="75" type="#_x0000_t75" style="height:614.65pt;width:434.6pt;" filled="f" o:preferrelative="t" stroked="f" coordsize="21600,21600">
            <v:path/>
            <v:fill on="f" focussize="0,0"/>
            <v:stroke on="f"/>
            <v:imagedata r:id="rId75" o:title=""/>
            <o:lock v:ext="edit" aspectratio="t"/>
            <w10:wrap type="none"/>
            <w10:anchorlock/>
          </v:shape>
        </w:pict>
      </w:r>
      <w:r>
        <w:rPr>
          <w:color w:val="000000" w:themeColor="text1"/>
        </w:rPr>
        <w:pict>
          <v:shape id="_x0000_i1081" o:spt="75" type="#_x0000_t75" style="height:625.1pt;width:440.65pt;" filled="f" o:preferrelative="t" stroked="f" coordsize="21600,21600">
            <v:path/>
            <v:fill on="f" focussize="0,0"/>
            <v:stroke on="f"/>
            <v:imagedata r:id="rId76" o:title=""/>
            <o:lock v:ext="edit" aspectratio="t"/>
            <w10:wrap type="none"/>
            <w10:anchorlock/>
          </v:shape>
        </w:pict>
      </w:r>
      <w:r>
        <w:rPr>
          <w:color w:val="000000" w:themeColor="text1"/>
        </w:rPr>
        <w:pict>
          <v:shape id="_x0000_i1082" o:spt="75" type="#_x0000_t75" style="height:620.2pt;width:444.55pt;" filled="f" o:preferrelative="t" stroked="f" coordsize="21600,21600">
            <v:path/>
            <v:fill on="f" focussize="0,0"/>
            <v:stroke on="f"/>
            <v:imagedata r:id="rId77" o:title=""/>
            <o:lock v:ext="edit" aspectratio="t"/>
            <w10:wrap type="none"/>
            <w10:anchorlock/>
          </v:shape>
        </w:pict>
      </w:r>
      <w:r>
        <w:rPr>
          <w:color w:val="000000" w:themeColor="text1"/>
        </w:rPr>
        <w:pict>
          <v:shape id="_x0000_i1083" o:spt="75" type="#_x0000_t75" style="height:613.9pt;width:439.05pt;" filled="f" o:preferrelative="t" stroked="f" coordsize="21600,21600">
            <v:path/>
            <v:fill on="f" focussize="0,0"/>
            <v:stroke on="f"/>
            <v:imagedata r:id="rId78" o:title=""/>
            <o:lock v:ext="edit" aspectratio="t"/>
            <w10:wrap type="none"/>
            <w10:anchorlock/>
          </v:shape>
        </w:pict>
      </w:r>
      <w:r>
        <w:rPr>
          <w:color w:val="000000" w:themeColor="text1"/>
        </w:rPr>
        <w:pict>
          <v:shape id="_x0000_i1084" o:spt="75" type="#_x0000_t75" style="height:635.95pt;width:454.1pt;" filled="f" o:preferrelative="t" stroked="f" coordsize="21600,21600">
            <v:path/>
            <v:fill on="f" focussize="0,0"/>
            <v:stroke on="f"/>
            <v:imagedata r:id="rId79" o:title=""/>
            <o:lock v:ext="edit" aspectratio="t"/>
            <w10:wrap type="none"/>
            <w10:anchorlock/>
          </v:shape>
        </w:pict>
      </w:r>
      <w:r>
        <w:rPr>
          <w:color w:val="000000" w:themeColor="text1"/>
        </w:rPr>
        <w:pict>
          <v:shape id="_x0000_i1085" o:spt="75" alt="" type="#_x0000_t75" style="height:614.1pt;width:453.3pt;" filled="f" o:preferrelative="t" stroked="f" coordsize="21600,21600">
            <v:path/>
            <v:fill on="f" focussize="0,0"/>
            <v:stroke on="f"/>
            <v:imagedata r:id="rId80" o:title=""/>
            <o:lock v:ext="edit" aspectratio="t"/>
            <w10:wrap type="none"/>
            <w10:anchorlock/>
          </v:shape>
        </w:pict>
      </w:r>
      <w:r>
        <w:rPr>
          <w:color w:val="000000" w:themeColor="text1"/>
        </w:rPr>
        <w:pict>
          <v:shape id="_x0000_i1086" o:spt="75" type="#_x0000_t75" style="height:640.7pt;width:448.85pt;" filled="f" o:preferrelative="t" stroked="f" coordsize="21600,21600">
            <v:path/>
            <v:fill on="f" focussize="0,0"/>
            <v:stroke on="f"/>
            <v:imagedata r:id="rId81" o:title=""/>
            <o:lock v:ext="edit" aspectratio="t"/>
            <w10:wrap type="none"/>
            <w10:anchorlock/>
          </v:shape>
        </w:pict>
      </w:r>
    </w:p>
    <w:p w14:paraId="2F1F99A3">
      <w:pPr>
        <w:pStyle w:val="2"/>
        <w:bidi w:val="0"/>
        <w:rPr>
          <w:rFonts w:hint="eastAsia" w:ascii="Times New Roman" w:hAnsi="Times New Roman" w:cs="Times New Roman"/>
          <w:b w:val="0"/>
          <w:bCs w:val="0"/>
          <w:color w:val="000000" w:themeColor="text1"/>
          <w:sz w:val="24"/>
          <w:szCs w:val="24"/>
          <w:lang w:val="en-US" w:eastAsia="zh-CN"/>
        </w:rPr>
      </w:pPr>
      <w:r>
        <w:rPr>
          <w:rFonts w:hint="eastAsia" w:ascii="Times New Roman" w:hAnsi="Times New Roman" w:cs="Times New Roman"/>
          <w:b w:val="0"/>
          <w:bCs w:val="0"/>
          <w:color w:val="000000" w:themeColor="text1"/>
          <w:sz w:val="24"/>
          <w:szCs w:val="24"/>
          <w:lang w:val="en-US" w:eastAsia="zh-CN"/>
        </w:rPr>
        <w:t>附件</w:t>
      </w:r>
      <w:r>
        <w:rPr>
          <w:rFonts w:hint="eastAsia" w:cs="Times New Roman"/>
          <w:b w:val="0"/>
          <w:bCs w:val="0"/>
          <w:color w:val="000000" w:themeColor="text1"/>
          <w:sz w:val="24"/>
          <w:szCs w:val="24"/>
          <w:lang w:val="en-US" w:eastAsia="zh-CN"/>
        </w:rPr>
        <w:t>10</w:t>
      </w:r>
      <w:r>
        <w:rPr>
          <w:rFonts w:hint="eastAsia" w:ascii="Times New Roman" w:hAnsi="Times New Roman" w:cs="Times New Roman"/>
          <w:b w:val="0"/>
          <w:bCs w:val="0"/>
          <w:color w:val="000000" w:themeColor="text1"/>
          <w:sz w:val="24"/>
          <w:szCs w:val="24"/>
          <w:lang w:val="en-US" w:eastAsia="zh-CN"/>
        </w:rPr>
        <w:t>：环氧树脂料VOCs检测报告</w:t>
      </w:r>
    </w:p>
    <w:p w14:paraId="662039C8">
      <w:pPr>
        <w:rPr>
          <w:rFonts w:hint="eastAsia" w:ascii="Times New Roman" w:hAnsi="Times New Roman" w:cs="Times New Roman"/>
          <w:b w:val="0"/>
          <w:bCs w:val="0"/>
          <w:color w:val="000000" w:themeColor="text1"/>
          <w:sz w:val="24"/>
          <w:szCs w:val="24"/>
          <w:lang w:val="en-US" w:eastAsia="zh-CN"/>
        </w:rPr>
      </w:pPr>
    </w:p>
    <w:p w14:paraId="0D39A3AA">
      <w:pPr>
        <w:rPr>
          <w:rFonts w:hint="default" w:ascii="Times New Roman" w:hAnsi="Times New Roman" w:cs="Times New Roman"/>
          <w:b w:val="0"/>
          <w:bCs w:val="0"/>
          <w:color w:val="000000" w:themeColor="text1"/>
          <w:sz w:val="24"/>
          <w:szCs w:val="24"/>
          <w:lang w:val="en-US" w:eastAsia="zh-CN"/>
        </w:rPr>
        <w:sectPr>
          <w:pgSz w:w="11906" w:h="16838"/>
          <w:pgMar w:top="1440" w:right="1800" w:bottom="1440" w:left="1800" w:header="907" w:footer="992" w:gutter="0"/>
          <w:cols w:space="720" w:num="1"/>
          <w:docGrid w:type="lines" w:linePitch="326" w:charSpace="0"/>
        </w:sectPr>
      </w:pPr>
      <w:r>
        <w:rPr>
          <w:color w:val="000000" w:themeColor="text1"/>
        </w:rPr>
        <w:pict>
          <v:shape id="_x0000_i1087" o:spt="75" type="#_x0000_t75" style="height:497.55pt;width:415.25pt;" filled="f" stroked="f" coordsize="21600,21600">
            <v:path/>
            <v:fill on="f" focussize="0,0"/>
            <v:stroke on="f"/>
            <v:imagedata r:id="rId82" o:title=""/>
            <o:lock v:ext="edit" aspectratio="t"/>
            <w10:wrap type="none"/>
            <w10:anchorlock/>
          </v:shape>
        </w:pict>
      </w:r>
      <w:r>
        <w:rPr>
          <w:color w:val="000000" w:themeColor="text1"/>
        </w:rPr>
        <w:pict>
          <v:shape id="_x0000_i1088" o:spt="75" type="#_x0000_t75" style="height:506.2pt;width:415pt;" filled="f" stroked="f" coordsize="21600,21600">
            <v:path/>
            <v:fill on="f" focussize="0,0"/>
            <v:stroke on="f"/>
            <v:imagedata r:id="rId83" o:title=""/>
            <o:lock v:ext="edit" aspectratio="t"/>
            <w10:wrap type="none"/>
            <w10:anchorlock/>
          </v:shape>
        </w:pict>
      </w:r>
      <w:r>
        <w:rPr>
          <w:color w:val="000000" w:themeColor="text1"/>
        </w:rPr>
        <w:pict>
          <v:shape id="_x0000_i1089" o:spt="75" type="#_x0000_t75" style="height:510.6pt;width:414.85pt;" filled="f" stroked="f" coordsize="21600,21600">
            <v:path/>
            <v:fill on="f" focussize="0,0"/>
            <v:stroke on="f"/>
            <v:imagedata r:id="rId84" o:title=""/>
            <o:lock v:ext="edit" aspectratio="t"/>
            <w10:wrap type="none"/>
            <w10:anchorlock/>
          </v:shape>
        </w:pict>
      </w:r>
      <w:r>
        <w:rPr>
          <w:color w:val="000000" w:themeColor="text1"/>
        </w:rPr>
        <w:pict>
          <v:shape id="_x0000_i1090" o:spt="75" type="#_x0000_t75" style="height:505.3pt;width:414.8pt;" filled="f" stroked="f" coordsize="21600,21600">
            <v:path/>
            <v:fill on="f" focussize="0,0"/>
            <v:stroke on="f"/>
            <v:imagedata r:id="rId85" o:title=""/>
            <o:lock v:ext="edit" aspectratio="t"/>
            <w10:wrap type="none"/>
            <w10:anchorlock/>
          </v:shape>
        </w:pict>
      </w:r>
      <w:r>
        <w:rPr>
          <w:color w:val="000000" w:themeColor="text1"/>
        </w:rPr>
        <w:pict>
          <v:shape id="_x0000_i1091" o:spt="75" type="#_x0000_t75" style="height:503.45pt;width:414.8pt;" filled="f" stroked="f" coordsize="21600,21600">
            <v:path/>
            <v:fill on="f" focussize="0,0"/>
            <v:stroke on="f"/>
            <v:imagedata r:id="rId86" o:title=""/>
            <o:lock v:ext="edit" aspectratio="t"/>
            <w10:wrap type="none"/>
            <w10:anchorlock/>
          </v:shape>
        </w:pict>
      </w:r>
    </w:p>
    <w:p w14:paraId="19ECC2DB">
      <w:pPr>
        <w:pStyle w:val="2"/>
        <w:bidi w:val="0"/>
        <w:rPr>
          <w:rFonts w:hint="default" w:ascii="Times New Roman" w:hAnsi="Times New Roman" w:cs="Times New Roman"/>
          <w:b w:val="0"/>
          <w:bCs w:val="0"/>
          <w:color w:val="000000" w:themeColor="text1"/>
          <w:sz w:val="24"/>
          <w:szCs w:val="24"/>
          <w:lang w:val="en-US" w:eastAsia="zh-CN"/>
        </w:rPr>
      </w:pPr>
      <w:r>
        <w:rPr>
          <w:rFonts w:hint="eastAsia" w:ascii="Times New Roman" w:hAnsi="Times New Roman" w:cs="Times New Roman"/>
          <w:b w:val="0"/>
          <w:bCs w:val="0"/>
          <w:color w:val="000000" w:themeColor="text1"/>
          <w:sz w:val="24"/>
          <w:szCs w:val="24"/>
          <w:lang w:val="en-US" w:eastAsia="zh-CN"/>
        </w:rPr>
        <w:t>附件1</w:t>
      </w:r>
      <w:r>
        <w:rPr>
          <w:rFonts w:hint="eastAsia" w:cs="Times New Roman"/>
          <w:b w:val="0"/>
          <w:bCs w:val="0"/>
          <w:color w:val="000000" w:themeColor="text1"/>
          <w:sz w:val="24"/>
          <w:szCs w:val="24"/>
          <w:lang w:val="en-US" w:eastAsia="zh-CN"/>
        </w:rPr>
        <w:t>1</w:t>
      </w:r>
      <w:r>
        <w:rPr>
          <w:rFonts w:hint="eastAsia" w:ascii="Times New Roman" w:hAnsi="Times New Roman" w:cs="Times New Roman"/>
          <w:b w:val="0"/>
          <w:bCs w:val="0"/>
          <w:color w:val="000000" w:themeColor="text1"/>
          <w:sz w:val="24"/>
          <w:szCs w:val="24"/>
          <w:lang w:val="en-US" w:eastAsia="zh-CN"/>
        </w:rPr>
        <w:t xml:space="preserve"> 变压器油检测报告</w:t>
      </w:r>
    </w:p>
    <w:p w14:paraId="61EDABED">
      <w:pPr>
        <w:pStyle w:val="157"/>
        <w:ind w:left="0" w:leftChars="0" w:firstLine="0" w:firstLineChars="0"/>
        <w:rPr>
          <w:rFonts w:hint="eastAsia" w:eastAsia="宋体"/>
          <w:color w:val="000000" w:themeColor="text1"/>
          <w:lang w:val="en-US" w:eastAsia="zh-CN"/>
        </w:rPr>
      </w:pPr>
      <w:r>
        <w:rPr>
          <w:rFonts w:hint="eastAsia" w:eastAsia="宋体"/>
          <w:color w:val="000000" w:themeColor="text1"/>
          <w:lang w:val="en-US" w:eastAsia="zh-CN"/>
        </w:rPr>
        <w:pict>
          <v:shape id="_x0000_i1092" o:spt="75" alt="变压器油" type="#_x0000_t75" style="height:581.65pt;width:434.15pt;" filled="f" o:preferrelative="t" stroked="f" coordsize="21600,21600">
            <v:path/>
            <v:fill on="f" focussize="0,0"/>
            <v:stroke on="f"/>
            <v:imagedata r:id="rId87" cropright="4516f" cropbottom="4230f" o:title="变压器油"/>
            <o:lock v:ext="edit" aspectratio="t"/>
            <w10:wrap type="none"/>
            <w10:anchorlock/>
          </v:shape>
        </w:pict>
      </w:r>
    </w:p>
    <w:p w14:paraId="26FF0287">
      <w:pPr>
        <w:pStyle w:val="157"/>
        <w:ind w:left="0" w:leftChars="0" w:firstLine="0" w:firstLineChars="0"/>
        <w:rPr>
          <w:rFonts w:hint="eastAsia" w:eastAsia="宋体"/>
          <w:color w:val="000000" w:themeColor="text1"/>
          <w:lang w:val="en-US" w:eastAsia="zh-CN"/>
        </w:rPr>
      </w:pPr>
    </w:p>
    <w:p w14:paraId="1B7AFD68">
      <w:pPr>
        <w:pStyle w:val="157"/>
        <w:ind w:left="0" w:leftChars="0" w:firstLine="0" w:firstLineChars="0"/>
        <w:rPr>
          <w:rFonts w:hint="eastAsia" w:eastAsia="宋体"/>
          <w:color w:val="000000" w:themeColor="text1"/>
          <w:lang w:val="en-US" w:eastAsia="zh-CN"/>
        </w:rPr>
      </w:pPr>
    </w:p>
    <w:p w14:paraId="4357E843">
      <w:pPr>
        <w:pStyle w:val="157"/>
        <w:ind w:left="0" w:leftChars="0" w:firstLine="0" w:firstLineChars="0"/>
        <w:rPr>
          <w:rFonts w:hint="eastAsia" w:eastAsia="宋体"/>
          <w:color w:val="000000" w:themeColor="text1"/>
          <w:lang w:val="en-US" w:eastAsia="zh-CN"/>
        </w:rPr>
      </w:pPr>
    </w:p>
    <w:p w14:paraId="22DDFA6C">
      <w:pPr>
        <w:pStyle w:val="157"/>
        <w:ind w:left="0" w:leftChars="0" w:firstLine="0" w:firstLineChars="0"/>
        <w:rPr>
          <w:rFonts w:hint="eastAsia" w:eastAsia="宋体"/>
          <w:color w:val="000000" w:themeColor="text1"/>
          <w:lang w:val="en-US" w:eastAsia="zh-CN"/>
        </w:rPr>
      </w:pPr>
    </w:p>
    <w:p w14:paraId="54B51C85">
      <w:pPr>
        <w:pStyle w:val="2"/>
        <w:bidi w:val="0"/>
        <w:rPr>
          <w:rFonts w:hint="default" w:ascii="Times New Roman" w:hAnsi="Times New Roman" w:cs="Times New Roman"/>
          <w:b w:val="0"/>
          <w:bCs w:val="0"/>
          <w:color w:val="000000" w:themeColor="text1"/>
          <w:sz w:val="24"/>
          <w:szCs w:val="24"/>
          <w:lang w:val="en-US" w:eastAsia="zh-CN"/>
        </w:rPr>
      </w:pPr>
      <w:r>
        <w:rPr>
          <w:rFonts w:hint="eastAsia" w:ascii="Times New Roman" w:hAnsi="Times New Roman" w:cs="Times New Roman"/>
          <w:b w:val="0"/>
          <w:bCs w:val="0"/>
          <w:color w:val="000000" w:themeColor="text1"/>
          <w:sz w:val="24"/>
          <w:szCs w:val="24"/>
          <w:lang w:val="en-US" w:eastAsia="zh-CN"/>
        </w:rPr>
        <w:t>附件1</w:t>
      </w:r>
      <w:r>
        <w:rPr>
          <w:rFonts w:hint="eastAsia" w:cs="Times New Roman"/>
          <w:b w:val="0"/>
          <w:bCs w:val="0"/>
          <w:color w:val="000000" w:themeColor="text1"/>
          <w:sz w:val="24"/>
          <w:szCs w:val="24"/>
          <w:lang w:val="en-US" w:eastAsia="zh-CN"/>
        </w:rPr>
        <w:t>2</w:t>
      </w:r>
      <w:r>
        <w:rPr>
          <w:rFonts w:hint="eastAsia" w:ascii="Times New Roman" w:hAnsi="Times New Roman" w:cs="Times New Roman"/>
          <w:b w:val="0"/>
          <w:bCs w:val="0"/>
          <w:color w:val="000000" w:themeColor="text1"/>
          <w:sz w:val="24"/>
          <w:szCs w:val="24"/>
          <w:lang w:val="en-US" w:eastAsia="zh-CN"/>
        </w:rPr>
        <w:t xml:space="preserve"> 脱模剂安全技术说明书</w:t>
      </w:r>
    </w:p>
    <w:p w14:paraId="46064598">
      <w:pPr>
        <w:pStyle w:val="157"/>
        <w:ind w:left="0" w:leftChars="0" w:firstLine="0" w:firstLineChars="0"/>
        <w:rPr>
          <w:color w:val="000000" w:themeColor="text1"/>
        </w:rPr>
      </w:pPr>
    </w:p>
    <w:p w14:paraId="041FC55D">
      <w:pPr>
        <w:pStyle w:val="157"/>
        <w:ind w:left="0" w:leftChars="0" w:firstLine="0" w:firstLineChars="0"/>
        <w:rPr>
          <w:color w:val="000000" w:themeColor="text1"/>
        </w:rPr>
        <w:sectPr>
          <w:pgSz w:w="11906" w:h="16838"/>
          <w:pgMar w:top="1440" w:right="1800" w:bottom="1440" w:left="1800" w:header="907" w:footer="992" w:gutter="0"/>
          <w:cols w:space="720" w:num="1"/>
          <w:docGrid w:type="lines" w:linePitch="326" w:charSpace="0"/>
        </w:sectPr>
      </w:pPr>
      <w:r>
        <w:rPr>
          <w:color w:val="000000" w:themeColor="text1"/>
        </w:rPr>
        <w:pict>
          <v:shape id="_x0000_i1093" o:spt="75" type="#_x0000_t75" style="height:579.15pt;width:443.95pt;" filled="f" o:preferrelative="t" stroked="f" coordsize="21600,21600">
            <v:path/>
            <v:fill on="f" focussize="0,0"/>
            <v:stroke on="f"/>
            <v:imagedata r:id="rId88" o:title=""/>
            <o:lock v:ext="edit" aspectratio="t"/>
            <w10:wrap type="none"/>
            <w10:anchorlock/>
          </v:shape>
        </w:pict>
      </w:r>
      <w:r>
        <w:rPr>
          <w:color w:val="000000" w:themeColor="text1"/>
        </w:rPr>
        <w:pict>
          <v:shape id="_x0000_i1094" o:spt="75" type="#_x0000_t75" style="height:588.75pt;width:456.1pt;" filled="f" o:preferrelative="t" stroked="f" coordsize="21600,21600">
            <v:path/>
            <v:fill on="f" focussize="0,0"/>
            <v:stroke on="f"/>
            <v:imagedata r:id="rId89" o:title=""/>
            <o:lock v:ext="edit" aspectratio="t"/>
            <w10:wrap type="none"/>
            <w10:anchorlock/>
          </v:shape>
        </w:pict>
      </w:r>
      <w:r>
        <w:rPr>
          <w:color w:val="000000" w:themeColor="text1"/>
        </w:rPr>
        <w:pict>
          <v:shape id="_x0000_i1095" o:spt="75" type="#_x0000_t75" style="height:565.05pt;width:469.95pt;" filled="f" o:preferrelative="t" stroked="f" coordsize="21600,21600">
            <v:path/>
            <v:fill on="f" focussize="0,0"/>
            <v:stroke on="f"/>
            <v:imagedata r:id="rId90" o:title=""/>
            <o:lock v:ext="edit" aspectratio="t"/>
            <w10:wrap type="none"/>
            <w10:anchorlock/>
          </v:shape>
        </w:pict>
      </w:r>
      <w:r>
        <w:rPr>
          <w:color w:val="000000" w:themeColor="text1"/>
        </w:rPr>
        <w:pict>
          <v:shape id="_x0000_i1096" o:spt="75" type="#_x0000_t75" style="height:592.75pt;width:477.3pt;" filled="f" o:preferrelative="t" stroked="f" coordsize="21600,21600">
            <v:path/>
            <v:fill on="f" focussize="0,0"/>
            <v:stroke on="f"/>
            <v:imagedata r:id="rId91" o:title=""/>
            <o:lock v:ext="edit" aspectratio="t"/>
            <w10:wrap type="none"/>
            <w10:anchorlock/>
          </v:shape>
        </w:pict>
      </w:r>
      <w:r>
        <w:rPr>
          <w:color w:val="000000" w:themeColor="text1"/>
        </w:rPr>
        <w:pict>
          <v:shape id="_x0000_i1097" o:spt="75" type="#_x0000_t75" style="height:555.5pt;width:427.8pt;" filled="f" o:preferrelative="t" stroked="f" coordsize="21600,21600">
            <v:path/>
            <v:fill on="f" focussize="0,0"/>
            <v:stroke on="f"/>
            <v:imagedata r:id="rId92" o:title=""/>
            <o:lock v:ext="edit" aspectratio="t"/>
            <w10:wrap type="none"/>
            <w10:anchorlock/>
          </v:shape>
        </w:pict>
      </w:r>
      <w:r>
        <w:rPr>
          <w:color w:val="000000" w:themeColor="text1"/>
        </w:rPr>
        <w:pict>
          <v:shape id="_x0000_i1098" o:spt="75" type="#_x0000_t75" style="height:537.55pt;width:416.1pt;" filled="f" o:preferrelative="t" stroked="f" coordsize="21600,21600">
            <v:path/>
            <v:fill on="f" focussize="0,0"/>
            <v:stroke on="f"/>
            <v:imagedata r:id="rId93" o:title=""/>
            <o:lock v:ext="edit" aspectratio="t"/>
            <w10:wrap type="none"/>
            <w10:anchorlock/>
          </v:shape>
        </w:pict>
      </w:r>
    </w:p>
    <w:p w14:paraId="5B237EA4">
      <w:pPr>
        <w:pStyle w:val="2"/>
        <w:bidi w:val="0"/>
        <w:rPr>
          <w:rFonts w:hint="eastAsia" w:ascii="Times New Roman" w:hAnsi="Times New Roman" w:cs="Times New Roman"/>
          <w:b w:val="0"/>
          <w:bCs w:val="0"/>
          <w:color w:val="000000" w:themeColor="text1"/>
          <w:sz w:val="24"/>
          <w:szCs w:val="24"/>
          <w:lang w:val="en-US" w:eastAsia="zh-CN"/>
        </w:rPr>
      </w:pPr>
      <w:r>
        <w:rPr>
          <w:rFonts w:hint="eastAsia" w:ascii="Times New Roman" w:hAnsi="Times New Roman" w:cs="Times New Roman"/>
          <w:b w:val="0"/>
          <w:bCs w:val="0"/>
          <w:color w:val="000000" w:themeColor="text1"/>
          <w:sz w:val="24"/>
          <w:szCs w:val="24"/>
          <w:lang w:val="en-US" w:eastAsia="zh-CN"/>
        </w:rPr>
        <w:t>附件1</w:t>
      </w:r>
      <w:r>
        <w:rPr>
          <w:rFonts w:hint="eastAsia" w:cs="Times New Roman"/>
          <w:b w:val="0"/>
          <w:bCs w:val="0"/>
          <w:color w:val="000000" w:themeColor="text1"/>
          <w:sz w:val="24"/>
          <w:szCs w:val="24"/>
          <w:lang w:val="en-US" w:eastAsia="zh-CN"/>
        </w:rPr>
        <w:t>3</w:t>
      </w:r>
      <w:r>
        <w:rPr>
          <w:rFonts w:hint="eastAsia" w:ascii="Times New Roman" w:hAnsi="Times New Roman" w:cs="Times New Roman"/>
          <w:b w:val="0"/>
          <w:bCs w:val="0"/>
          <w:color w:val="000000" w:themeColor="text1"/>
          <w:sz w:val="24"/>
          <w:szCs w:val="24"/>
          <w:lang w:val="en-US" w:eastAsia="zh-CN"/>
        </w:rPr>
        <w:t>：开发区规划审查意见</w:t>
      </w:r>
    </w:p>
    <w:p w14:paraId="1E11F65F">
      <w:pPr>
        <w:pStyle w:val="157"/>
        <w:ind w:left="0" w:leftChars="0" w:firstLine="0" w:firstLineChars="0"/>
        <w:rPr>
          <w:color w:val="000000" w:themeColor="text1"/>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color w:val="000000" w:themeColor="text1"/>
        </w:rPr>
        <w:pict>
          <v:shape id="_x0000_i1099" o:spt="75" type="#_x0000_t75" style="height:638.25pt;width:451.25pt;" filled="f" stroked="f" coordsize="21600,21600">
            <v:path/>
            <v:fill on="f" focussize="0,0"/>
            <v:stroke on="f"/>
            <v:imagedata r:id="rId94" o:title=""/>
            <o:lock v:ext="edit" aspectratio="t"/>
            <w10:wrap type="none"/>
            <w10:anchorlock/>
          </v:shape>
        </w:pict>
      </w:r>
      <w:r>
        <w:rPr>
          <w:color w:val="000000" w:themeColor="text1"/>
        </w:rPr>
        <w:pict>
          <v:shape id="_x0000_i1100" o:spt="75" type="#_x0000_t75" style="height:638.25pt;width:451.25pt;" filled="f" stroked="f" coordsize="21600,21600">
            <v:path/>
            <v:fill on="f" focussize="0,0"/>
            <v:stroke on="f"/>
            <v:imagedata r:id="rId95" o:title=""/>
            <o:lock v:ext="edit" aspectratio="t"/>
            <w10:wrap type="none"/>
            <w10:anchorlock/>
          </v:shape>
        </w:pict>
      </w:r>
      <w:r>
        <w:rPr>
          <w:color w:val="000000" w:themeColor="text1"/>
        </w:rPr>
        <w:pict>
          <v:shape id="_x0000_i1101" o:spt="75" type="#_x0000_t75" style="height:638.25pt;width:451.25pt;" filled="f" stroked="f" coordsize="21600,21600">
            <v:path/>
            <v:fill on="f" focussize="0,0"/>
            <v:stroke on="f"/>
            <v:imagedata r:id="rId96" o:title=""/>
            <o:lock v:ext="edit" aspectratio="t"/>
            <w10:wrap type="none"/>
            <w10:anchorlock/>
          </v:shape>
        </w:pict>
      </w:r>
      <w:r>
        <w:rPr>
          <w:color w:val="000000" w:themeColor="text1"/>
        </w:rPr>
        <w:pict>
          <v:shape id="_x0000_i1102" o:spt="75" type="#_x0000_t75" style="height:638.25pt;width:451.25pt;" filled="f" stroked="f" coordsize="21600,21600">
            <v:path/>
            <v:fill on="f" focussize="0,0"/>
            <v:stroke on="f"/>
            <v:imagedata r:id="rId97" o:title=""/>
            <o:lock v:ext="edit" aspectratio="t"/>
            <w10:wrap type="none"/>
            <w10:anchorlock/>
          </v:shape>
        </w:pict>
      </w:r>
      <w:r>
        <w:rPr>
          <w:color w:val="000000" w:themeColor="text1"/>
        </w:rPr>
        <w:pict>
          <v:shape id="_x0000_i1103" o:spt="75" type="#_x0000_t75" style="height:638.25pt;width:451.25pt;" filled="f" stroked="f" coordsize="21600,21600">
            <v:path/>
            <v:fill on="f" focussize="0,0"/>
            <v:stroke on="f"/>
            <v:imagedata r:id="rId98" o:title=""/>
            <o:lock v:ext="edit" aspectratio="t"/>
            <w10:wrap type="none"/>
            <w10:anchorlock/>
          </v:shape>
        </w:pict>
      </w:r>
      <w:r>
        <w:rPr>
          <w:color w:val="000000" w:themeColor="text1"/>
        </w:rPr>
        <w:pict>
          <v:shape id="_x0000_i1104" o:spt="75" type="#_x0000_t75" style="height:638.25pt;width:451.25pt;" filled="f" stroked="f" coordsize="21600,21600">
            <v:path/>
            <v:fill on="f" focussize="0,0"/>
            <v:stroke on="f"/>
            <v:imagedata r:id="rId99" o:title=""/>
            <o:lock v:ext="edit" aspectratio="t"/>
            <w10:wrap type="none"/>
            <w10:anchorlock/>
          </v:shape>
        </w:pict>
      </w:r>
      <w:r>
        <w:rPr>
          <w:color w:val="000000" w:themeColor="text1"/>
        </w:rPr>
        <w:pict>
          <v:shape id="_x0000_i1105" o:spt="75" type="#_x0000_t75" style="height:638.25pt;width:451.25pt;" filled="f" stroked="f" coordsize="21600,21600">
            <v:path/>
            <v:fill on="f" focussize="0,0"/>
            <v:stroke on="f"/>
            <v:imagedata r:id="rId100" o:title=""/>
            <o:lock v:ext="edit" aspectratio="t"/>
            <w10:wrap type="none"/>
            <w10:anchorlock/>
          </v:shape>
        </w:pict>
      </w:r>
      <w:r>
        <w:rPr>
          <w:color w:val="000000" w:themeColor="text1"/>
        </w:rPr>
        <w:pict>
          <v:shape id="_x0000_i1106" o:spt="75" type="#_x0000_t75" style="height:638.25pt;width:451.25pt;" filled="f" stroked="f" coordsize="21600,21600">
            <v:path/>
            <v:fill on="f" focussize="0,0"/>
            <v:stroke on="f"/>
            <v:imagedata r:id="rId101" o:title=""/>
            <o:lock v:ext="edit" aspectratio="t"/>
            <w10:wrap type="none"/>
            <w10:anchorlock/>
          </v:shape>
        </w:pict>
      </w:r>
      <w:r>
        <w:rPr>
          <w:color w:val="000000" w:themeColor="text1"/>
        </w:rPr>
        <w:pict>
          <v:shape id="_x0000_i1107" o:spt="75" type="#_x0000_t75" style="height:638.25pt;width:451.25pt;" filled="f" stroked="f" coordsize="21600,21600">
            <v:path/>
            <v:fill on="f" focussize="0,0"/>
            <v:stroke on="f"/>
            <v:imagedata r:id="rId102" o:title=""/>
            <o:lock v:ext="edit" aspectratio="t"/>
            <w10:wrap type="none"/>
            <w10:anchorlock/>
          </v:shape>
        </w:pict>
      </w:r>
      <w:r>
        <w:rPr>
          <w:color w:val="000000" w:themeColor="text1"/>
        </w:rPr>
        <w:pict>
          <v:shape id="_x0000_i1108" o:spt="75" type="#_x0000_t75" style="height:638.25pt;width:451.25pt;" filled="f" stroked="f" coordsize="21600,21600">
            <v:path/>
            <v:fill on="f" focussize="0,0"/>
            <v:stroke on="f"/>
            <v:imagedata r:id="rId103" o:title=""/>
            <o:lock v:ext="edit" aspectratio="t"/>
            <w10:wrap type="none"/>
            <w10:anchorlock/>
          </v:shape>
        </w:pict>
      </w:r>
    </w:p>
    <w:p w14:paraId="302CFBF4">
      <w:pPr>
        <w:pStyle w:val="2"/>
        <w:bidi w:val="0"/>
        <w:rPr>
          <w:rFonts w:hint="eastAsia" w:ascii="Times New Roman" w:hAnsi="Times New Roman" w:cs="Times New Roman"/>
          <w:b w:val="0"/>
          <w:bCs w:val="0"/>
          <w:color w:val="000000" w:themeColor="text1"/>
          <w:sz w:val="24"/>
          <w:szCs w:val="24"/>
          <w:lang w:val="en-US" w:eastAsia="zh-CN"/>
        </w:rPr>
      </w:pPr>
      <w:r>
        <w:rPr>
          <w:rFonts w:hint="eastAsia" w:ascii="Times New Roman" w:hAnsi="Times New Roman" w:cs="Times New Roman"/>
          <w:b w:val="0"/>
          <w:bCs w:val="0"/>
          <w:color w:val="000000" w:themeColor="text1"/>
          <w:sz w:val="24"/>
          <w:szCs w:val="24"/>
          <w:lang w:val="en-US" w:eastAsia="zh-CN"/>
        </w:rPr>
        <w:t>附件14：企业现有总量核定表</w:t>
      </w:r>
    </w:p>
    <w:p w14:paraId="0192A896">
      <w:p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pict>
          <v:shape id="_x0000_i1109" o:spt="75" type="#_x0000_t75" style="height:602.8pt;width:414.25pt;" filled="f" stroked="f" coordsize="21600,21600">
            <v:path/>
            <v:fill on="f" focussize="0,0"/>
            <v:stroke on="f"/>
            <v:imagedata r:id="rId104" o:title=""/>
            <o:lock v:ext="edit" aspectratio="t"/>
            <w10:wrap type="none"/>
            <w10:anchorlock/>
          </v:shape>
        </w:pict>
      </w:r>
      <w:r>
        <w:pict>
          <v:shape id="_x0000_i1110" o:spt="75" type="#_x0000_t75" style="height:602.9pt;width:413.9pt;" filled="f" stroked="f" coordsize="21600,21600">
            <v:path/>
            <v:fill on="f" focussize="0,0"/>
            <v:stroke on="f"/>
            <v:imagedata r:id="rId105" o:title=""/>
            <o:lock v:ext="edit" aspectratio="t"/>
            <w10:wrap type="none"/>
            <w10:anchorlock/>
          </v:shape>
        </w:pict>
      </w:r>
    </w:p>
    <w:p w14:paraId="5D40707B">
      <w:pPr>
        <w:pStyle w:val="2"/>
        <w:bidi w:val="0"/>
        <w:rPr>
          <w:rFonts w:hint="eastAsia" w:ascii="Times New Roman" w:hAnsi="Times New Roman" w:cs="Times New Roman"/>
          <w:b w:val="0"/>
          <w:bCs w:val="0"/>
          <w:color w:val="000000" w:themeColor="text1"/>
          <w:sz w:val="24"/>
          <w:szCs w:val="24"/>
          <w:lang w:val="en-US" w:eastAsia="zh-CN"/>
        </w:rPr>
      </w:pPr>
      <w:r>
        <w:rPr>
          <w:rFonts w:hint="eastAsia" w:ascii="Times New Roman" w:hAnsi="Times New Roman" w:cs="Times New Roman"/>
          <w:b w:val="0"/>
          <w:bCs w:val="0"/>
          <w:color w:val="000000" w:themeColor="text1"/>
          <w:sz w:val="24"/>
          <w:szCs w:val="24"/>
          <w:lang w:val="en-US" w:eastAsia="zh-CN"/>
        </w:rPr>
        <w:t>附件15：敏感点噪声监测报告</w:t>
      </w:r>
    </w:p>
    <w:p w14:paraId="5B829DF9">
      <w:pPr>
        <w:rPr>
          <w:rFonts w:hint="eastAsia" w:ascii="Times New Roman" w:hAnsi="Times New Roman" w:cs="Times New Roman"/>
          <w:b w:val="0"/>
          <w:bCs w:val="0"/>
          <w:color w:val="000000" w:themeColor="text1"/>
          <w:sz w:val="24"/>
          <w:szCs w:val="24"/>
          <w:lang w:val="en-US" w:eastAsia="zh-CN"/>
        </w:rPr>
      </w:pPr>
    </w:p>
    <w:p w14:paraId="0A49E0F5">
      <w:pPr>
        <w:rPr>
          <w:rFonts w:hint="default" w:ascii="Times New Roman" w:hAnsi="Times New Roman" w:cs="Times New Roman"/>
          <w:b w:val="0"/>
          <w:bCs w:val="0"/>
          <w:color w:val="000000" w:themeColor="text1"/>
          <w:sz w:val="24"/>
          <w:szCs w:val="24"/>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pict>
          <v:shape id="_x0000_i1150" o:spt="75" type="#_x0000_t75" style="height:586.05pt;width:415.25pt;" filled="f" stroked="f" coordsize="21600,21600">
            <v:path/>
            <v:fill on="f" focussize="0,0"/>
            <v:stroke on="f"/>
            <v:imagedata r:id="rId106" o:title=""/>
            <o:lock v:ext="edit" aspectratio="t"/>
            <w10:wrap type="none"/>
            <w10:anchorlock/>
          </v:shape>
        </w:pict>
      </w:r>
      <w:r>
        <w:pict>
          <v:shape id="_x0000_i1151" o:spt="75" type="#_x0000_t75" style="height:584.05pt;width:415pt;" filled="f" stroked="f" coordsize="21600,21600">
            <v:path/>
            <v:fill on="f" focussize="0,0"/>
            <v:stroke on="f"/>
            <v:imagedata r:id="rId107" o:title=""/>
            <o:lock v:ext="edit" aspectratio="t"/>
            <w10:wrap type="none"/>
            <w10:anchorlock/>
          </v:shape>
        </w:pict>
      </w:r>
      <w:r>
        <w:pict>
          <v:shape id="_x0000_i1152" o:spt="75" type="#_x0000_t75" style="height:594pt;width:415.15pt;" filled="f" stroked="f" coordsize="21600,21600">
            <v:path/>
            <v:fill on="f" focussize="0,0"/>
            <v:stroke on="f"/>
            <v:imagedata r:id="rId108" o:title=""/>
            <o:lock v:ext="edit" aspectratio="t"/>
            <w10:wrap type="none"/>
            <w10:anchorlock/>
          </v:shape>
        </w:pict>
      </w:r>
      <w:r>
        <w:pict>
          <v:shape id="_x0000_i1153" o:spt="75" type="#_x0000_t75" style="height:586.05pt;width:415.25pt;" filled="f" stroked="f" coordsize="21600,21600">
            <v:path/>
            <v:fill on="f" focussize="0,0"/>
            <v:stroke on="f"/>
            <v:imagedata r:id="rId109" o:title=""/>
            <o:lock v:ext="edit" aspectratio="t"/>
            <w10:wrap type="none"/>
            <w10:anchorlock/>
          </v:shape>
        </w:pict>
      </w:r>
      <w:r>
        <w:pict>
          <v:shape id="_x0000_i1154" o:spt="75" type="#_x0000_t75" style="height:589.95pt;width:414.9pt;" filled="f" stroked="f" coordsize="21600,21600">
            <v:path/>
            <v:fill on="f" focussize="0,0"/>
            <v:stroke on="f"/>
            <v:imagedata r:id="rId110" o:title=""/>
            <o:lock v:ext="edit" aspectratio="t"/>
            <w10:wrap type="none"/>
            <w10:anchorlock/>
          </v:shape>
        </w:pict>
      </w:r>
    </w:p>
    <w:p w14:paraId="6D9B3C0C">
      <w:pPr>
        <w:pStyle w:val="2"/>
        <w:bidi w:val="0"/>
        <w:rPr>
          <w:rFonts w:hint="eastAsia" w:ascii="Times New Roman" w:hAnsi="Times New Roman" w:cs="Times New Roman"/>
          <w:b w:val="0"/>
          <w:bCs w:val="0"/>
          <w:color w:val="000000" w:themeColor="text1"/>
          <w:sz w:val="24"/>
          <w:szCs w:val="24"/>
          <w:lang w:val="en-US" w:eastAsia="zh-CN"/>
        </w:rPr>
      </w:pPr>
      <w:r>
        <w:rPr>
          <w:rFonts w:hint="eastAsia" w:ascii="Times New Roman" w:hAnsi="Times New Roman" w:cs="Times New Roman"/>
          <w:b w:val="0"/>
          <w:bCs w:val="0"/>
          <w:color w:val="000000" w:themeColor="text1"/>
          <w:sz w:val="24"/>
          <w:szCs w:val="24"/>
          <w:lang w:val="en-US" w:eastAsia="zh-CN"/>
        </w:rPr>
        <w:t>附件16：“三线一单”管控要求查询报告</w:t>
      </w:r>
    </w:p>
    <w:p w14:paraId="52CC709D">
      <w:pPr>
        <w:rPr>
          <w:rFonts w:hint="eastAsia" w:ascii="Times New Roman" w:hAnsi="Times New Roman" w:eastAsia="宋体" w:cs="Times New Roman"/>
          <w:b w:val="0"/>
          <w:bCs w:val="0"/>
          <w:color w:val="000000" w:themeColor="text1"/>
          <w:kern w:val="2"/>
          <w:sz w:val="24"/>
          <w:szCs w:val="24"/>
          <w:lang w:val="en-US" w:eastAsia="zh-CN" w:bidi="ar-SA"/>
        </w:rPr>
      </w:pPr>
    </w:p>
    <w:p w14:paraId="1478EDD3">
      <w:pPr>
        <w:rPr>
          <w:rFonts w:hint="default"/>
          <w:lang w:val="en-US" w:eastAsia="zh-CN"/>
        </w:rPr>
      </w:pPr>
      <w:r>
        <w:pict>
          <v:shape id="_x0000_i1111" o:spt="75" type="#_x0000_t75" style="height:286.5pt;width:415pt;" filled="f" stroked="f" coordsize="21600,21600">
            <v:path/>
            <v:fill on="f" focussize="0,0"/>
            <v:stroke on="f"/>
            <v:imagedata r:id="rId111" o:title=""/>
            <o:lock v:ext="edit" aspectratio="t"/>
            <w10:wrap type="none"/>
            <w10:anchorlock/>
          </v:shape>
        </w:pict>
      </w:r>
      <w:r>
        <w:pict>
          <v:shape id="_x0000_i1112" o:spt="75" type="#_x0000_t75" style="height:193.3pt;width:414.7pt;" filled="f" stroked="f" coordsize="21600,21600">
            <v:path/>
            <v:fill on="f" focussize="0,0"/>
            <v:stroke on="f"/>
            <v:imagedata r:id="rId112" o:title=""/>
            <o:lock v:ext="edit" aspectratio="t"/>
            <w10:wrap type="none"/>
            <w10:anchorlock/>
          </v:shape>
        </w:pict>
      </w:r>
      <w:r>
        <w:pict>
          <v:shape id="_x0000_i1113" o:spt="75" type="#_x0000_t75" style="height:271.9pt;width:415.05pt;" filled="f" stroked="f" coordsize="21600,21600">
            <v:path/>
            <v:fill on="f" focussize="0,0"/>
            <v:stroke on="f"/>
            <v:imagedata r:id="rId113" o:title=""/>
            <o:lock v:ext="edit" aspectratio="t"/>
            <w10:wrap type="none"/>
            <w10:anchorlock/>
          </v:shape>
        </w:pict>
      </w:r>
      <w:r>
        <w:pict>
          <v:shape id="_x0000_i1114" o:spt="75" type="#_x0000_t75" style="height:213.3pt;width:414.6pt;" filled="f" stroked="f" coordsize="21600,21600">
            <v:path/>
            <v:fill on="f" focussize="0,0"/>
            <v:stroke on="f"/>
            <v:imagedata r:id="rId114" o:title=""/>
            <o:lock v:ext="edit" aspectratio="t"/>
            <w10:wrap type="none"/>
            <w10:anchorlock/>
          </v:shape>
        </w:pict>
      </w:r>
      <w:r>
        <w:pict>
          <v:shape id="_x0000_i1115" o:spt="75" type="#_x0000_t75" style="height:265.55pt;width:414.85pt;" filled="f" stroked="f" coordsize="21600,21600">
            <v:path/>
            <v:fill on="f" focussize="0,0"/>
            <v:stroke on="f"/>
            <v:imagedata r:id="rId115" o:title=""/>
            <o:lock v:ext="edit" aspectratio="t"/>
            <w10:wrap type="none"/>
            <w10:anchorlock/>
          </v:shape>
        </w:pict>
      </w:r>
      <w:r>
        <w:pict>
          <v:shape id="_x0000_i1116" o:spt="75" type="#_x0000_t75" style="height:278.2pt;width:415.2pt;" filled="f" stroked="f" coordsize="21600,21600">
            <v:path/>
            <v:fill on="f" focussize="0,0"/>
            <v:stroke on="f"/>
            <v:imagedata r:id="rId116" o:title=""/>
            <o:lock v:ext="edit" aspectratio="t"/>
            <w10:wrap type="none"/>
            <w10:anchorlock/>
          </v:shape>
        </w:pict>
      </w:r>
      <w:r>
        <w:pict>
          <v:shape id="_x0000_i1117" o:spt="75" type="#_x0000_t75" style="height:279pt;width:414.75pt;" filled="f" stroked="f" coordsize="21600,21600">
            <v:path/>
            <v:fill on="f" focussize="0,0"/>
            <v:stroke on="f"/>
            <v:imagedata r:id="rId117" o:title=""/>
            <o:lock v:ext="edit" aspectratio="t"/>
            <w10:wrap type="none"/>
            <w10:anchorlock/>
          </v:shape>
        </w:pict>
      </w:r>
      <w:r>
        <w:pict>
          <v:shape id="_x0000_i1118" o:spt="75" type="#_x0000_t75" style="height:282.05pt;width:414.95pt;" filled="f" stroked="f" coordsize="21600,21600">
            <v:path/>
            <v:fill on="f" focussize="0,0"/>
            <v:stroke on="f"/>
            <v:imagedata r:id="rId118" o:title=""/>
            <o:lock v:ext="edit" aspectratio="t"/>
            <w10:wrap type="none"/>
            <w10:anchorlock/>
          </v:shape>
        </w:pict>
      </w:r>
      <w:r>
        <w:pict>
          <v:shape id="_x0000_i1119" o:spt="75" type="#_x0000_t75" style="height:152.8pt;width:414.9pt;" filled="f" stroked="f" coordsize="21600,21600">
            <v:path/>
            <v:fill on="f" focussize="0,0"/>
            <v:stroke on="f"/>
            <v:imagedata r:id="rId119" o:title=""/>
            <o:lock v:ext="edit" aspectratio="t"/>
            <w10:wrap type="none"/>
            <w10:anchorlock/>
          </v:shape>
        </w:pict>
      </w:r>
      <w:r>
        <w:pict>
          <v:shape id="_x0000_i1120" o:spt="75" type="#_x0000_t75" style="height:287.05pt;width:414.35pt;" filled="f" stroked="f" coordsize="21600,21600">
            <v:path/>
            <v:fill on="f" focussize="0,0"/>
            <v:stroke on="f"/>
            <v:imagedata r:id="rId120" o:title=""/>
            <o:lock v:ext="edit" aspectratio="t"/>
            <w10:wrap type="none"/>
            <w10:anchorlock/>
          </v:shape>
        </w:pict>
      </w:r>
      <w:r>
        <w:pict>
          <v:shape id="_x0000_i1121" o:spt="75" type="#_x0000_t75" style="height:285.95pt;width:414.5pt;" filled="f" stroked="f" coordsize="21600,21600">
            <v:path/>
            <v:fill on="f" focussize="0,0"/>
            <v:stroke on="f"/>
            <v:imagedata r:id="rId121" o:title=""/>
            <o:lock v:ext="edit" aspectratio="t"/>
            <w10:wrap type="none"/>
            <w10:anchorlock/>
          </v:shape>
        </w:pict>
      </w:r>
      <w:r>
        <w:pict>
          <v:shape id="_x0000_i1122" o:spt="75" type="#_x0000_t75" style="height:294.3pt;width:414.4pt;" filled="f" stroked="f" coordsize="21600,21600">
            <v:path/>
            <v:fill on="f" focussize="0,0"/>
            <v:stroke on="f"/>
            <v:imagedata r:id="rId122" o:title=""/>
            <o:lock v:ext="edit" aspectratio="t"/>
            <w10:wrap type="none"/>
            <w10:anchorlock/>
          </v:shape>
        </w:pict>
      </w:r>
      <w:r>
        <w:pict>
          <v:shape id="_x0000_i1123" o:spt="75" type="#_x0000_t75" style="height:238.95pt;width:414.4pt;" filled="f" stroked="f" coordsize="21600,21600">
            <v:path/>
            <v:fill on="f" focussize="0,0"/>
            <v:stroke on="f"/>
            <v:imagedata r:id="rId123" o:title=""/>
            <o:lock v:ext="edit" aspectratio="t"/>
            <w10:wrap type="none"/>
            <w10:anchorlock/>
          </v:shape>
        </w:pict>
      </w:r>
      <w:r>
        <w:pict>
          <v:shape id="_x0000_i1124" o:spt="75" type="#_x0000_t75" style="height:235.55pt;width:414.95pt;" filled="f" stroked="f" coordsize="21600,21600">
            <v:path/>
            <v:fill on="f" focussize="0,0"/>
            <v:stroke on="f"/>
            <v:imagedata r:id="rId124" o:title=""/>
            <o:lock v:ext="edit" aspectratio="t"/>
            <w10:wrap type="none"/>
            <w10:anchorlock/>
          </v:shape>
        </w:pict>
      </w:r>
      <w:r>
        <w:pict>
          <v:shape id="_x0000_i1125" o:spt="75" type="#_x0000_t75" style="height:232.45pt;width:414.65pt;" filled="f" o:preferrelative="t" stroked="f" coordsize="21600,21600">
            <v:path/>
            <v:fill on="f" focussize="0,0"/>
            <v:stroke on="f"/>
            <v:imagedata r:id="rId125" o:title=""/>
            <o:lock v:ext="edit" aspectratio="t"/>
            <w10:wrap type="none"/>
            <w10:anchorlock/>
          </v:shape>
        </w:pict>
      </w:r>
      <w:r>
        <w:pict>
          <v:shape id="_x0000_i1126" o:spt="75" type="#_x0000_t75" style="height:258.65pt;width:415.05pt;" filled="f" stroked="f" coordsize="21600,21600">
            <v:path/>
            <v:fill on="f" focussize="0,0"/>
            <v:stroke on="f"/>
            <v:imagedata r:id="rId126" o:title=""/>
            <o:lock v:ext="edit" aspectratio="t"/>
            <w10:wrap type="none"/>
            <w10:anchorlock/>
          </v:shape>
        </w:pict>
      </w:r>
      <w:r>
        <w:pict>
          <v:shape id="_x0000_i1127" o:spt="75" type="#_x0000_t75" style="height:287.55pt;width:414.8pt;" filled="f" stroked="f" coordsize="21600,21600">
            <v:path/>
            <v:fill on="f" focussize="0,0"/>
            <v:stroke on="f"/>
            <v:imagedata r:id="rId127" o:title=""/>
            <o:lock v:ext="edit" aspectratio="t"/>
            <w10:wrap type="none"/>
            <w10:anchorlock/>
          </v:shape>
        </w:pict>
      </w:r>
      <w:r>
        <w:pict>
          <v:shape id="_x0000_i1128" o:spt="75" type="#_x0000_t75" style="height:285.95pt;width:414.85pt;" filled="f" stroked="f" coordsize="21600,21600">
            <v:path/>
            <v:fill on="f" focussize="0,0"/>
            <v:stroke on="f"/>
            <v:imagedata r:id="rId128" o:title=""/>
            <o:lock v:ext="edit" aspectratio="t"/>
            <w10:wrap type="none"/>
            <w10:anchorlock/>
          </v:shape>
        </w:pict>
      </w:r>
      <w:r>
        <w:pict>
          <v:shape id="_x0000_i1129" o:spt="75" type="#_x0000_t75" style="height:275.3pt;width:414.8pt;" filled="f" o:preferrelative="t" stroked="f" coordsize="21600,21600">
            <v:path/>
            <v:fill on="f" focussize="0,0"/>
            <v:stroke on="f"/>
            <v:imagedata r:id="rId129" o:title=""/>
            <o:lock v:ext="edit" aspectratio="t"/>
            <w10:wrap type="none"/>
            <w10:anchorlock/>
          </v:shape>
        </w:pict>
      </w:r>
      <w:r>
        <w:pict>
          <v:shape id="_x0000_i1130" o:spt="75" type="#_x0000_t75" style="height:285.4pt;width:415.15pt;" filled="f" stroked="f" coordsize="21600,21600">
            <v:path/>
            <v:fill on="f" focussize="0,0"/>
            <v:stroke on="f"/>
            <v:imagedata r:id="rId130" o:title=""/>
            <o:lock v:ext="edit" aspectratio="t"/>
            <w10:wrap type="none"/>
            <w10:anchorlock/>
          </v:shape>
        </w:pict>
      </w:r>
      <w:r>
        <w:pict>
          <v:shape id="_x0000_i1131" o:spt="75" type="#_x0000_t75" style="height:281.7pt;width:414.95pt;" filled="f" stroked="f" coordsize="21600,21600">
            <v:path/>
            <v:fill on="f" focussize="0,0"/>
            <v:stroke on="f"/>
            <v:imagedata r:id="rId131" o:title=""/>
            <o:lock v:ext="edit" aspectratio="t"/>
            <w10:wrap type="none"/>
            <w10:anchorlock/>
          </v:shape>
        </w:pict>
      </w:r>
      <w:r>
        <w:pict>
          <v:shape id="_x0000_i1132" o:spt="75" type="#_x0000_t75" style="height:284.45pt;width:415.15pt;" filled="f" stroked="f" coordsize="21600,21600">
            <v:path/>
            <v:fill on="f" focussize="0,0"/>
            <v:stroke on="f"/>
            <v:imagedata r:id="rId132" o:title=""/>
            <o:lock v:ext="edit" aspectratio="t"/>
            <w10:wrap type="none"/>
            <w10:anchorlock/>
          </v:shape>
        </w:pict>
      </w:r>
      <w:r>
        <w:pict>
          <v:shape id="_x0000_i1133" o:spt="75" type="#_x0000_t75" style="height:284.2pt;width:415.2pt;" filled="f" stroked="f" coordsize="21600,21600">
            <v:path/>
            <v:fill on="f" focussize="0,0"/>
            <v:stroke on="f"/>
            <v:imagedata r:id="rId133" o:title=""/>
            <o:lock v:ext="edit" aspectratio="t"/>
            <w10:wrap type="none"/>
            <w10:anchorlock/>
          </v:shape>
        </w:pict>
      </w:r>
      <w:r>
        <w:pict>
          <v:shape id="_x0000_i1134" o:spt="75" type="#_x0000_t75" style="height:289.65pt;width:415.05pt;" filled="f" stroked="f" coordsize="21600,21600">
            <v:path/>
            <v:fill on="f" focussize="0,0"/>
            <v:stroke on="f"/>
            <v:imagedata r:id="rId134" o:title=""/>
            <o:lock v:ext="edit" aspectratio="t"/>
            <w10:wrap type="none"/>
            <w10:anchorlock/>
          </v:shape>
        </w:pict>
      </w:r>
      <w:r>
        <w:pict>
          <v:shape id="_x0000_i1135" o:spt="75" type="#_x0000_t75" style="height:293.8pt;width:414.8pt;" filled="f" stroked="f" coordsize="21600,21600">
            <v:path/>
            <v:fill on="f" focussize="0,0"/>
            <v:stroke on="f"/>
            <v:imagedata r:id="rId135" o:title=""/>
            <o:lock v:ext="edit" aspectratio="t"/>
            <w10:wrap type="none"/>
            <w10:anchorlock/>
          </v:shape>
        </w:pict>
      </w:r>
      <w:r>
        <w:pict>
          <v:shape id="_x0000_i1136" o:spt="75" type="#_x0000_t75" style="height:263.95pt;width:414.9pt;" filled="f" stroked="f" coordsize="21600,21600">
            <v:path/>
            <v:fill on="f" focussize="0,0"/>
            <v:stroke on="f"/>
            <v:imagedata r:id="rId136" o:title=""/>
            <o:lock v:ext="edit" aspectratio="t"/>
            <w10:wrap type="none"/>
            <w10:anchorlock/>
          </v:shape>
        </w:pict>
      </w:r>
    </w:p>
    <w:p w14:paraId="66E80754">
      <w:pPr>
        <w:pStyle w:val="2"/>
        <w:bidi w:val="0"/>
        <w:rPr>
          <w:rFonts w:hint="default" w:ascii="Times New Roman" w:hAnsi="Times New Roman" w:cs="Times New Roman"/>
          <w:b w:val="0"/>
          <w:bCs w:val="0"/>
          <w:color w:val="000000" w:themeColor="text1"/>
          <w:sz w:val="24"/>
          <w:szCs w:val="24"/>
          <w:lang w:val="en-US" w:eastAsia="zh-CN"/>
        </w:rPr>
      </w:pPr>
      <w:r>
        <w:rPr>
          <w:rFonts w:hint="eastAsia" w:ascii="仿宋_GB2312" w:eastAsia="仿宋_GB2312"/>
          <w:color w:val="000000"/>
          <w:sz w:val="32"/>
          <w:szCs w:val="32"/>
        </w:rPr>
        <w:br w:type="page"/>
      </w:r>
      <w:r>
        <w:rPr>
          <w:rFonts w:hint="default" w:ascii="Times New Roman" w:hAnsi="Times New Roman" w:cs="Times New Roman"/>
          <w:b w:val="0"/>
          <w:bCs w:val="0"/>
          <w:color w:val="000000" w:themeColor="text1"/>
          <w:sz w:val="24"/>
          <w:szCs w:val="24"/>
          <w:lang w:val="en-US" w:eastAsia="zh-CN"/>
        </w:rPr>
        <w:t>附图一 项目地理位置图</w:t>
      </w:r>
    </w:p>
    <w:p w14:paraId="087C414D">
      <w:pPr>
        <w:rPr>
          <w:rFonts w:hint="default" w:ascii="Times New Roman" w:hAnsi="Times New Roman" w:cs="Times New Roman"/>
          <w:b w:val="0"/>
          <w:bCs w:val="0"/>
          <w:color w:val="000000" w:themeColor="text1"/>
          <w:sz w:val="24"/>
          <w:szCs w:val="24"/>
          <w:lang w:val="en-US" w:eastAsia="zh-CN"/>
        </w:rPr>
      </w:pPr>
      <w:r>
        <w:rPr>
          <w:rFonts w:hint="default" w:ascii="Times New Roman" w:hAnsi="Times New Roman" w:eastAsia="黑体" w:cs="Times New Roman"/>
          <w:color w:val="000000" w:themeColor="text1"/>
        </w:rPr>
        <w:pict>
          <v:shape id="圆角矩形标注 77" o:spid="_x0000_s1052" o:spt="62" type="#_x0000_t62" style="position:absolute;left:0pt;flip:x y;margin-left:149.35pt;margin-top:404.3pt;height:27.85pt;width:69.75pt;z-index:251665408;mso-width-relative:page;mso-height-relative:page;" fillcolor="#FFFFFF" filled="t" stroked="t" coordsize="21600,21600" o:gfxdata="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Dnx1aPcAAAACwEAAA8AAAAAAAAAAQAgAAAAIgAAAGRycy9k&#10;b3ducmV2LnhtbFBLAQIUABQAAAAIAIdO4kCD7vQQcAIAAPIEAAAOAAAAAAAAAAEAIAAAACsBAABk&#10;cnMvZTJvRG9jLnhtbFBLBQYAAAAABgAGAFkBAAANBgAAAAA=&#10;" adj="22870,-10275,14400">
            <v:path/>
            <v:fill on="t" opacity="27525f" focussize="0,0"/>
            <v:stroke color="#000000" joinstyle="miter"/>
            <v:imagedata o:title=""/>
            <o:lock v:ext="edit" aspectratio="f"/>
            <v:textbox>
              <w:txbxContent>
                <w:p w14:paraId="1C212A76">
                  <w:pPr>
                    <w:rPr>
                      <w:b/>
                      <w:bCs/>
                      <w:sz w:val="24"/>
                    </w:rPr>
                  </w:pPr>
                  <w:r>
                    <w:rPr>
                      <w:rFonts w:hint="eastAsia"/>
                      <w:b/>
                      <w:bCs/>
                      <w:sz w:val="24"/>
                    </w:rPr>
                    <w:t>项目位置</w:t>
                  </w:r>
                </w:p>
              </w:txbxContent>
            </v:textbox>
          </v:shape>
        </w:pict>
      </w:r>
      <w:r>
        <w:rPr>
          <w:rFonts w:hint="default" w:ascii="Times New Roman" w:hAnsi="Times New Roman" w:cs="Times New Roman"/>
          <w:color w:val="000000" w:themeColor="text1"/>
          <w:sz w:val="21"/>
        </w:rPr>
        <w:pict>
          <v:shape id="五角星 62" o:spid="_x0000_s1046" style="position:absolute;left:0pt;margin-left:137.75pt;margin-top:444.25pt;height:6pt;width:6.4pt;z-index:251670528;v-text-anchor:middle;mso-width-relative:page;mso-height-relative:page;" fillcolor="#FF0000" filled="t" stroked="t" coordsize="181610,142875" o:gfxdata="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&#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CzN7eDaAAAACwEAAA8AAAAAAAAAAQAgAAAAIgAAAGRy&#10;cy9kb3ducmV2LnhtbFBLAQIUABQAAAAIAIdO4kCE2BtWdQIAAO4EAAAOAAAAAAAAAAEAIAAAACkB&#10;AABkcnMvZTJvRG9jLnhtbFBLBQYAAAAABgAGAFkBAAAQBgAAAAA=&#10;" path="m0,54573l69369,54573,90805,0,112240,54573,181609,54573,125488,88301,146925,142874,90805,109146,34684,142874,56121,88301xe">
            <v:path o:connectlocs="90805,0;0,54573;34684,142874;146925,142874;181609,54573" o:connectangles="247,164,82,82,0"/>
            <v:fill on="t" color2="#FFFFFF" focussize="0,0"/>
            <v:stroke weight="2pt" color="#FF0000" joinstyle="round"/>
            <v:imagedata o:title=""/>
            <o:lock v:ext="edit" aspectratio="f"/>
          </v:shape>
        </w:pict>
      </w:r>
      <w:r>
        <w:rPr>
          <w:rFonts w:hint="default" w:ascii="Times New Roman" w:hAnsi="Times New Roman" w:cs="Times New Roman"/>
          <w:color w:val="000000" w:themeColor="text1"/>
        </w:rPr>
        <w:pict>
          <v:shape id="_x0000_i1137" o:spt="75" type="#_x0000_t75" style="height:560.45pt;width:415.25pt;" filled="f" o:preferrelative="t" stroked="f" coordsize="21600,21600">
            <v:path/>
            <v:fill on="f" focussize="0,0"/>
            <v:stroke on="f"/>
            <v:imagedata r:id="rId137" o:title=""/>
            <o:lock v:ext="edit" aspectratio="t"/>
            <w10:wrap type="none"/>
            <w10:anchorlock/>
          </v:shape>
        </w:pict>
      </w:r>
    </w:p>
    <w:p w14:paraId="38834408">
      <w:pPr>
        <w:rPr>
          <w:rFonts w:hint="default" w:ascii="Times New Roman" w:hAnsi="Times New Roman" w:cs="Times New Roman"/>
          <w:b w:val="0"/>
          <w:bCs w:val="0"/>
          <w:color w:val="000000" w:themeColor="text1"/>
          <w:sz w:val="24"/>
          <w:szCs w:val="24"/>
          <w:lang w:val="en-US" w:eastAsia="zh-CN"/>
        </w:rPr>
      </w:pPr>
    </w:p>
    <w:p w14:paraId="347E4E46">
      <w:pPr>
        <w:rPr>
          <w:rFonts w:hint="default" w:ascii="Times New Roman" w:hAnsi="Times New Roman" w:cs="Times New Roman"/>
          <w:b w:val="0"/>
          <w:bCs w:val="0"/>
          <w:color w:val="000000" w:themeColor="text1"/>
          <w:sz w:val="24"/>
          <w:szCs w:val="24"/>
          <w:lang w:val="en-US" w:eastAsia="zh-CN"/>
        </w:rPr>
      </w:pPr>
    </w:p>
    <w:p w14:paraId="681F9F09">
      <w:pPr>
        <w:bidi w:val="0"/>
        <w:jc w:val="center"/>
        <w:rPr>
          <w:rFonts w:hint="default" w:ascii="Times New Roman" w:hAnsi="Times New Roman" w:cs="Times New Roman"/>
          <w:color w:val="000000" w:themeColor="text1"/>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74D595EA">
      <w:pPr>
        <w:pStyle w:val="2"/>
        <w:bidi w:val="0"/>
        <w:rPr>
          <w:rFonts w:hint="default" w:ascii="Times New Roman" w:hAnsi="Times New Roman" w:cs="Times New Roman"/>
          <w:color w:val="000000" w:themeColor="text1"/>
        </w:rPr>
      </w:pPr>
      <w:r>
        <w:rPr>
          <w:rFonts w:hint="default" w:ascii="Times New Roman" w:hAnsi="Times New Roman" w:cs="Times New Roman"/>
          <w:b w:val="0"/>
          <w:bCs w:val="0"/>
          <w:color w:val="000000" w:themeColor="text1"/>
          <w:sz w:val="24"/>
          <w:szCs w:val="24"/>
          <w:lang w:val="en-US" w:eastAsia="zh-CN"/>
        </w:rPr>
        <w:t>附图</w:t>
      </w:r>
      <w:r>
        <w:rPr>
          <w:rFonts w:hint="eastAsia" w:ascii="Times New Roman" w:hAnsi="Times New Roman" w:cs="Times New Roman"/>
          <w:b w:val="0"/>
          <w:bCs w:val="0"/>
          <w:color w:val="000000" w:themeColor="text1"/>
          <w:sz w:val="24"/>
          <w:szCs w:val="24"/>
          <w:lang w:val="en-US" w:eastAsia="zh-CN"/>
        </w:rPr>
        <w:t>二</w:t>
      </w:r>
      <w:r>
        <w:rPr>
          <w:rFonts w:hint="default" w:ascii="Times New Roman" w:hAnsi="Times New Roman" w:cs="Times New Roman"/>
          <w:b w:val="0"/>
          <w:bCs w:val="0"/>
          <w:color w:val="000000" w:themeColor="text1"/>
          <w:sz w:val="24"/>
          <w:szCs w:val="24"/>
          <w:lang w:val="en-US" w:eastAsia="zh-CN"/>
        </w:rPr>
        <w:t xml:space="preserve"> 项目环境保护目标分布图</w:t>
      </w:r>
    </w:p>
    <w:p w14:paraId="21C33DD7">
      <w:pPr>
        <w:pStyle w:val="12"/>
        <w:ind w:left="0" w:leftChars="0"/>
        <w:jc w:val="center"/>
        <w:outlineLvl w:val="9"/>
        <w:rPr>
          <w:rFonts w:hint="default" w:ascii="Times New Roman" w:hAnsi="Times New Roman" w:cs="Times New Roman"/>
          <w:color w:val="000000" w:themeColor="text1"/>
        </w:rPr>
      </w:pPr>
      <w:r>
        <w:rPr>
          <w:rFonts w:hint="default" w:ascii="Times New Roman" w:hAnsi="Times New Roman" w:cs="Times New Roman"/>
          <w:color w:val="000000" w:themeColor="text1"/>
        </w:rPr>
        <w:pict>
          <v:shape id="图片 76" o:spid="_x0000_s1057" o:spt="75" alt="北" type="#_x0000_t75" style="position:absolute;left:0pt;margin-left:533.35pt;margin-top:1.25pt;height:56.2pt;width:49.2pt;z-index:251671552;mso-width-relative:page;mso-height-relative:page;" filled="f" o:preferrelative="t" stroked="t" coordsize="21600,21600">
            <v:path/>
            <v:fill on="f" focussize="0,0"/>
            <v:stroke color="#000000" joinstyle="miter"/>
            <v:imagedata r:id="rId138" cropright="4492f" o:title=""/>
            <o:lock v:ext="edit" aspectratio="t"/>
          </v:shape>
        </w:pict>
      </w:r>
      <w:r>
        <w:rPr>
          <w:rFonts w:hint="default" w:ascii="Times New Roman" w:hAnsi="Times New Roman" w:cs="Times New Roman"/>
          <w:color w:val="000000" w:themeColor="text1"/>
          <w:sz w:val="21"/>
        </w:rPr>
        <w:pict>
          <v:shape id="矩形标注 79" o:spid="_x0000_s1056" o:spt="61" type="#_x0000_t61" style="position:absolute;left:0pt;margin-left:215.15pt;margin-top:214.4pt;height:34.8pt;width:74.9pt;z-index:251672576;v-text-anchor:middle;mso-width-relative:page;mso-height-relative:page;" fillcolor="#FFFFFF" filled="t" stroked="t" coordsize="21600,21600" adj="28117,-13902">
            <v:path/>
            <v:fill on="t" color2="#FFFFFF" focussize="0,0"/>
            <v:stroke weight="2pt" color="#000000" joinstyle="round"/>
            <v:imagedata o:title=""/>
            <o:lock v:ext="edit" aspectratio="f"/>
            <v:textbox>
              <w:txbxContent>
                <w:p w14:paraId="227CBD07">
                  <w:pPr>
                    <w:jc w:val="center"/>
                    <w:rPr>
                      <w:rFonts w:hint="eastAsia" w:eastAsia="宋体"/>
                      <w:color w:val="auto"/>
                      <w:sz w:val="21"/>
                      <w:lang w:eastAsia="zh-CN"/>
                    </w:rPr>
                  </w:pPr>
                  <w:r>
                    <w:rPr>
                      <w:rFonts w:hint="eastAsia"/>
                      <w:color w:val="auto"/>
                      <w:sz w:val="21"/>
                      <w:lang w:eastAsia="zh-CN"/>
                    </w:rPr>
                    <w:t>本项目所在位置</w:t>
                  </w:r>
                </w:p>
              </w:txbxContent>
            </v:textbox>
          </v:shape>
        </w:pict>
      </w:r>
      <w:r>
        <w:pict>
          <v:shape id="_x0000_i1138" o:spt="75" type="#_x0000_t75" style="height:409.6pt;width:493.65pt;" filled="f" o:preferrelative="t" stroked="f" coordsize="21600,21600">
            <v:path/>
            <v:fill on="f" focussize="0,0"/>
            <v:stroke on="f"/>
            <v:imagedata r:id="rId139" o:title=""/>
            <o:lock v:ext="edit" aspectratio="t"/>
            <w10:wrap type="none"/>
            <w10:anchorlock/>
          </v:shape>
        </w:pict>
      </w:r>
    </w:p>
    <w:p w14:paraId="5BD8FD12">
      <w:pPr>
        <w:pStyle w:val="12"/>
        <w:jc w:val="center"/>
        <w:outlineLvl w:val="0"/>
        <w:rPr>
          <w:rFonts w:hint="default" w:ascii="Times New Roman" w:hAnsi="Times New Roman" w:eastAsia="黑体" w:cs="Times New Roman"/>
          <w:color w:val="000000" w:themeColor="text1"/>
          <w:szCs w:val="24"/>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506FDCCC">
      <w:pPr>
        <w:pStyle w:val="2"/>
        <w:bidi w:val="0"/>
        <w:rPr>
          <w:rFonts w:hint="eastAsia" w:ascii="Times New Roman" w:hAnsi="Times New Roman" w:cs="Times New Roman"/>
          <w:b w:val="0"/>
          <w:bCs w:val="0"/>
          <w:color w:val="000000" w:themeColor="text1"/>
          <w:sz w:val="24"/>
          <w:szCs w:val="24"/>
          <w:lang w:val="en-US" w:eastAsia="zh-CN"/>
        </w:rPr>
      </w:pPr>
      <w:r>
        <w:rPr>
          <w:rFonts w:hint="default" w:ascii="Times New Roman" w:hAnsi="Times New Roman" w:cs="Times New Roman"/>
          <w:b w:val="0"/>
          <w:bCs w:val="0"/>
          <w:color w:val="000000" w:themeColor="text1"/>
          <w:sz w:val="24"/>
          <w:szCs w:val="24"/>
          <w:lang w:val="en-US" w:eastAsia="zh-CN"/>
        </w:rPr>
        <w:t>附图</w:t>
      </w:r>
      <w:r>
        <w:rPr>
          <w:rFonts w:hint="eastAsia" w:ascii="Times New Roman" w:hAnsi="Times New Roman" w:cs="Times New Roman"/>
          <w:b w:val="0"/>
          <w:bCs w:val="0"/>
          <w:color w:val="000000" w:themeColor="text1"/>
          <w:sz w:val="24"/>
          <w:szCs w:val="24"/>
          <w:lang w:val="en-US" w:eastAsia="zh-CN"/>
        </w:rPr>
        <w:t>三</w:t>
      </w:r>
      <w:r>
        <w:rPr>
          <w:rFonts w:hint="default" w:ascii="Times New Roman" w:hAnsi="Times New Roman" w:cs="Times New Roman"/>
          <w:b w:val="0"/>
          <w:bCs w:val="0"/>
          <w:color w:val="000000" w:themeColor="text1"/>
          <w:sz w:val="24"/>
          <w:szCs w:val="24"/>
          <w:lang w:val="en-US" w:eastAsia="zh-CN"/>
        </w:rPr>
        <w:t xml:space="preserve"> 项目</w:t>
      </w:r>
      <w:r>
        <w:rPr>
          <w:rFonts w:hint="eastAsia" w:ascii="Times New Roman" w:hAnsi="Times New Roman" w:cs="Times New Roman"/>
          <w:b w:val="0"/>
          <w:bCs w:val="0"/>
          <w:color w:val="000000" w:themeColor="text1"/>
          <w:sz w:val="24"/>
          <w:szCs w:val="24"/>
          <w:lang w:val="en-US" w:eastAsia="zh-CN"/>
        </w:rPr>
        <w:t>在厂区内的位置</w:t>
      </w:r>
    </w:p>
    <w:p w14:paraId="4E6DF363">
      <w:pPr>
        <w:pStyle w:val="13"/>
        <w:rPr>
          <w:rFonts w:hint="default"/>
        </w:rPr>
      </w:pPr>
    </w:p>
    <w:p w14:paraId="5D87D64D">
      <w:pPr>
        <w:pStyle w:val="14"/>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textAlignment w:val="auto"/>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pict>
          <v:shape id="_x0000_i1156" o:spt="75" alt="" type="#_x0000_t75" style="height:431.4pt;width:458.6pt;" filled="f" o:preferrelative="t" stroked="f" coordsize="21600,21600">
            <v:path/>
            <v:fill on="f" focussize="0,0"/>
            <v:stroke on="f"/>
            <v:imagedata r:id="rId140" cropleft="5152f" o:title=""/>
            <o:lock v:ext="edit" aspectratio="t"/>
            <w10:wrap type="none"/>
            <w10:anchorlock/>
          </v:shape>
        </w:pict>
      </w:r>
    </w:p>
    <w:p w14:paraId="24623537">
      <w:pPr>
        <w:pStyle w:val="2"/>
        <w:bidi w:val="0"/>
        <w:rPr>
          <w:rFonts w:hint="default" w:ascii="Times New Roman" w:hAnsi="Times New Roman" w:cs="Times New Roman"/>
          <w:b w:val="0"/>
          <w:bCs w:val="0"/>
          <w:color w:val="000000" w:themeColor="text1"/>
          <w:sz w:val="24"/>
          <w:szCs w:val="24"/>
          <w:lang w:val="en-US" w:eastAsia="zh-CN"/>
        </w:rPr>
      </w:pPr>
      <w:r>
        <w:rPr>
          <w:rFonts w:hint="default" w:ascii="Times New Roman" w:hAnsi="Times New Roman" w:cs="Times New Roman"/>
          <w:b w:val="0"/>
          <w:bCs w:val="0"/>
          <w:color w:val="000000" w:themeColor="text1"/>
          <w:sz w:val="24"/>
          <w:szCs w:val="24"/>
          <w:lang w:val="en-US" w:eastAsia="zh-CN"/>
        </w:rPr>
        <w:t>附图</w:t>
      </w:r>
      <w:r>
        <w:rPr>
          <w:rFonts w:hint="eastAsia" w:ascii="Times New Roman" w:hAnsi="Times New Roman" w:cs="Times New Roman"/>
          <w:b w:val="0"/>
          <w:bCs w:val="0"/>
          <w:color w:val="000000" w:themeColor="text1"/>
          <w:sz w:val="24"/>
          <w:szCs w:val="24"/>
          <w:lang w:val="en-US" w:eastAsia="zh-CN"/>
        </w:rPr>
        <w:t>四</w:t>
      </w:r>
      <w:r>
        <w:rPr>
          <w:rFonts w:hint="default" w:ascii="Times New Roman" w:hAnsi="Times New Roman" w:cs="Times New Roman"/>
          <w:b w:val="0"/>
          <w:bCs w:val="0"/>
          <w:color w:val="000000" w:themeColor="text1"/>
          <w:sz w:val="24"/>
          <w:szCs w:val="24"/>
          <w:lang w:val="en-US" w:eastAsia="zh-CN"/>
        </w:rPr>
        <w:t xml:space="preserve"> </w:t>
      </w:r>
      <w:r>
        <w:rPr>
          <w:rFonts w:hint="eastAsia" w:ascii="Times New Roman" w:hAnsi="Times New Roman" w:cs="Times New Roman"/>
          <w:b w:val="0"/>
          <w:bCs w:val="0"/>
          <w:color w:val="000000" w:themeColor="text1"/>
          <w:sz w:val="24"/>
          <w:szCs w:val="24"/>
          <w:lang w:val="en-US" w:eastAsia="zh-CN"/>
        </w:rPr>
        <w:t>厂区雨污管网分布图</w:t>
      </w:r>
    </w:p>
    <w:p w14:paraId="4D030775">
      <w:pPr>
        <w:rPr>
          <w:rFonts w:hint="default"/>
        </w:rPr>
      </w:pPr>
    </w:p>
    <w:p w14:paraId="03AC5593">
      <w:pPr>
        <w:rPr>
          <w:rFonts w:hint="default"/>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sz w:val="28"/>
        </w:rPr>
        <w:pict>
          <v:group id="_x0000_s1323" o:spid="_x0000_s1323" o:spt="203" style="position:absolute;left:0pt;margin-left:326.05pt;margin-top:446.45pt;height:73.9pt;width:174.1pt;z-index:251713536;mso-width-relative:page;mso-height-relative:page;" coordorigin="11519,2663362" coordsize="3482,1478">
            <o:lock v:ext="edit" aspectratio="f"/>
            <v:shape id="_x0000_s1324" o:spid="_x0000_s1324" o:spt="202" type="#_x0000_t202" style="position:absolute;left:11519;top:2663362;height:1479;width:3483;" fillcolor="#FFFFFF" filled="t" stroked="t" coordsize="21600,21600">
              <v:path/>
              <v:fill on="t" color2="#FFFFFF" focussize="0,0"/>
              <v:stroke color="#000000" joinstyle="miter"/>
              <v:imagedata o:title=""/>
              <o:lock v:ext="edit" aspectratio="f"/>
              <v:textbox>
                <w:txbxContent>
                  <w:p w14:paraId="2F5DE5B2">
                    <w:pPr>
                      <w:jc w:val="center"/>
                      <w:rPr>
                        <w:rFonts w:hint="eastAsia" w:eastAsia="宋体"/>
                        <w:b/>
                        <w:bCs/>
                        <w:sz w:val="28"/>
                        <w:szCs w:val="28"/>
                        <w:lang w:val="en-US" w:eastAsia="zh-CN"/>
                      </w:rPr>
                    </w:pPr>
                    <w:r>
                      <w:rPr>
                        <w:rFonts w:hint="eastAsia"/>
                        <w:b/>
                        <w:bCs/>
                        <w:sz w:val="28"/>
                        <w:szCs w:val="28"/>
                        <w:lang w:val="en-US" w:eastAsia="zh-CN"/>
                      </w:rPr>
                      <w:t>图  例</w:t>
                    </w:r>
                  </w:p>
                </w:txbxContent>
              </v:textbox>
            </v:shape>
            <v:line id="_x0000_s1325" o:spid="_x0000_s1325" o:spt="20" style="position:absolute;left:11565;top:2664128;height:1;width:892;" filled="f" stroked="t" coordsize="21600,21600">
              <v:path arrowok="t"/>
              <v:fill on="f" focussize="0,0"/>
              <v:stroke weight="1pt" color="#00B0F0" endarrow="block"/>
              <v:imagedata o:title=""/>
              <o:lock v:ext="edit" aspectratio="f"/>
            </v:line>
            <v:shape id="_x0000_s1326" o:spid="_x0000_s1326" o:spt="202" type="#_x0000_t202" style="position:absolute;left:12733;top:2663886;height:421;width:2140;" filled="f" stroked="f" coordsize="21600,21600">
              <v:path/>
              <v:fill on="f" focussize="0,0"/>
              <v:stroke on="f"/>
              <v:imagedata o:title=""/>
              <o:lock v:ext="edit" aspectratio="f"/>
              <v:textbox>
                <w:txbxContent>
                  <w:p w14:paraId="72C6D23F">
                    <w:pPr>
                      <w:rPr>
                        <w:rFonts w:hint="default" w:eastAsia="宋体"/>
                        <w:lang w:val="en-US" w:eastAsia="zh-CN"/>
                      </w:rPr>
                    </w:pPr>
                    <w:r>
                      <w:rPr>
                        <w:rFonts w:hint="eastAsia"/>
                        <w:lang w:val="en-US" w:eastAsia="zh-CN"/>
                      </w:rPr>
                      <w:t>雨水管网</w:t>
                    </w:r>
                  </w:p>
                </w:txbxContent>
              </v:textbox>
            </v:shape>
            <v:line id="_x0000_s1327" o:spid="_x0000_s1327" o:spt="20" style="position:absolute;left:11581;top:2664512;height:1;width:892;" filled="f" stroked="t" coordsize="21600,21600">
              <v:path arrowok="t"/>
              <v:fill on="f" focussize="0,0"/>
              <v:stroke weight="1pt" color="#FF0000" endarrow="block"/>
              <v:imagedata o:title=""/>
              <o:lock v:ext="edit" aspectratio="f"/>
            </v:line>
            <v:shape id="_x0000_s1328" o:spid="_x0000_s1328" o:spt="202" type="#_x0000_t202" style="position:absolute;left:12731;top:2664272;height:421;width:2140;" filled="f" stroked="f" coordsize="21600,21600">
              <v:path/>
              <v:fill on="f" focussize="0,0"/>
              <v:stroke on="f"/>
              <v:imagedata o:title=""/>
              <o:lock v:ext="edit" aspectratio="f"/>
              <v:textbox>
                <w:txbxContent>
                  <w:p w14:paraId="5BD3057C">
                    <w:pPr>
                      <w:rPr>
                        <w:rFonts w:hint="default" w:eastAsia="宋体"/>
                        <w:lang w:val="en-US" w:eastAsia="zh-CN"/>
                      </w:rPr>
                    </w:pPr>
                    <w:r>
                      <w:rPr>
                        <w:rFonts w:hint="eastAsia"/>
                        <w:lang w:val="en-US" w:eastAsia="zh-CN"/>
                      </w:rPr>
                      <w:t>污水管网</w:t>
                    </w:r>
                  </w:p>
                </w:txbxContent>
              </v:textbox>
            </v:shape>
          </v:group>
        </w:pict>
      </w:r>
      <w:r>
        <w:rPr>
          <w:color w:val="000000" w:themeColor="text1"/>
          <w:sz w:val="28"/>
        </w:rPr>
        <w:pict>
          <v:shape id="_x0000_s1321" o:spid="_x0000_s1321" o:spt="202" type="#_x0000_t202" style="position:absolute;left:0pt;margin-left:311.35pt;margin-top:423.65pt;height:23.45pt;width:119.15pt;z-index:251712512;mso-width-relative:page;mso-height-relative:page;" filled="f" stroked="f" coordsize="21600,21600">
            <v:path/>
            <v:fill on="f" focussize="0,0"/>
            <v:stroke on="f"/>
            <v:imagedata o:title=""/>
            <o:lock v:ext="edit" aspectratio="f"/>
            <v:textbox>
              <w:txbxContent>
                <w:p w14:paraId="47AC9A29">
                  <w:pPr>
                    <w:rPr>
                      <w:rFonts w:hint="default" w:eastAsia="宋体"/>
                      <w:color w:val="FF0000"/>
                      <w:sz w:val="24"/>
                      <w:szCs w:val="24"/>
                      <w:lang w:val="en-US" w:eastAsia="zh-CN"/>
                    </w:rPr>
                  </w:pPr>
                  <w:r>
                    <w:rPr>
                      <w:rFonts w:hint="eastAsia"/>
                      <w:color w:val="FF0000"/>
                      <w:sz w:val="24"/>
                      <w:szCs w:val="24"/>
                      <w:lang w:val="en-US" w:eastAsia="zh-CN"/>
                    </w:rPr>
                    <w:t>外接污水管网</w:t>
                  </w:r>
                </w:p>
              </w:txbxContent>
            </v:textbox>
          </v:shape>
        </w:pict>
      </w:r>
      <w:r>
        <w:rPr>
          <w:sz w:val="28"/>
        </w:rPr>
        <w:pict>
          <v:line id="_x0000_s1320" o:spid="_x0000_s1320" o:spt="20" style="position:absolute;left:0pt;margin-left:344.95pt;margin-top:339.55pt;height:88.35pt;width:0.05pt;z-index:251711488;mso-width-relative:page;mso-height-relative:page;" fillcolor="#FFFFFF" filled="t" stroked="t" coordsize="21600,21600">
            <v:path arrowok="t"/>
            <v:fill on="t" color2="#FFFFFF" focussize="0,0"/>
            <v:stroke weight="1pt" color="#FF0000" endarrow="block"/>
            <v:imagedata o:title=""/>
            <o:lock v:ext="edit" aspectratio="f"/>
          </v:line>
        </w:pict>
      </w:r>
      <w:r>
        <w:rPr>
          <w:color w:val="000000" w:themeColor="text1"/>
          <w:sz w:val="28"/>
        </w:rPr>
        <w:pict>
          <v:shape id="_x0000_s1319" o:spid="_x0000_s1319" o:spt="202" type="#_x0000_t202" style="position:absolute;left:0pt;margin-left:407pt;margin-top:206.2pt;height:24.35pt;width:101.35pt;z-index:251710464;mso-width-relative:page;mso-height-relative:page;" filled="f" stroked="f" coordsize="21600,21600">
            <v:path/>
            <v:fill on="f" focussize="0,0"/>
            <v:stroke on="f"/>
            <v:imagedata o:title=""/>
            <o:lock v:ext="edit" aspectratio="f"/>
            <v:textbox>
              <w:txbxContent>
                <w:p w14:paraId="710FF47D">
                  <w:pPr>
                    <w:rPr>
                      <w:rFonts w:hint="default" w:eastAsia="宋体"/>
                      <w:b/>
                      <w:bCs/>
                      <w:color w:val="00B0F0"/>
                      <w:sz w:val="22"/>
                      <w:szCs w:val="22"/>
                      <w:lang w:val="en-US" w:eastAsia="zh-CN"/>
                    </w:rPr>
                  </w:pPr>
                  <w:r>
                    <w:rPr>
                      <w:rFonts w:hint="eastAsia"/>
                      <w:b/>
                      <w:bCs/>
                      <w:color w:val="00B0F0"/>
                      <w:sz w:val="22"/>
                      <w:szCs w:val="22"/>
                      <w:lang w:val="en-US" w:eastAsia="zh-CN"/>
                    </w:rPr>
                    <w:t>外接雨水管网</w:t>
                  </w:r>
                </w:p>
              </w:txbxContent>
            </v:textbox>
          </v:shape>
        </w:pict>
      </w:r>
      <w:r>
        <w:rPr>
          <w:sz w:val="21"/>
        </w:rPr>
        <w:pict>
          <v:line id="_x0000_s1318" o:spid="_x0000_s1318" o:spt="20" style="position:absolute;left:0pt;margin-left:337.8pt;margin-top:65.85pt;height:147.85pt;width:0.05pt;z-index:251709440;mso-width-relative:page;mso-height-relative:page;" fillcolor="#FFFFFF" filled="t" stroked="t" coordsize="21600,21600">
            <v:path arrowok="t"/>
            <v:fill on="t" color2="#FFFFFF" focussize="0,0"/>
            <v:stroke weight="1pt" color="#00B0F0"/>
            <v:imagedata o:title=""/>
            <o:lock v:ext="edit" aspectratio="f"/>
          </v:line>
        </w:pict>
      </w:r>
      <w:r>
        <w:rPr>
          <w:sz w:val="21"/>
        </w:rPr>
        <w:pict>
          <v:line id="_x0000_s1317" o:spid="_x0000_s1317" o:spt="20" style="position:absolute;left:0pt;flip:y;margin-left:37.45pt;margin-top:66.2pt;height:147.15pt;width:0.05pt;z-index:251708416;mso-width-relative:page;mso-height-relative:page;" fillcolor="#FFFFFF" filled="t" stroked="t" coordsize="21600,21600">
            <v:path arrowok="t"/>
            <v:fill on="t" color2="#FFFFFF" focussize="0,0"/>
            <v:stroke weight="1pt" color="#00B0F0"/>
            <v:imagedata o:title=""/>
            <o:lock v:ext="edit" aspectratio="f"/>
          </v:line>
        </w:pict>
      </w:r>
      <w:r>
        <w:rPr>
          <w:sz w:val="21"/>
        </w:rPr>
        <w:pict>
          <v:line id="_x0000_s1315" o:spid="_x0000_s1315" o:spt="20" style="position:absolute;left:0pt;flip:y;margin-left:217.8pt;margin-top:213.8pt;height:171.3pt;width:0.05pt;z-index:251706368;mso-width-relative:page;mso-height-relative:page;" fillcolor="#FFFFFF" filled="t" stroked="t" coordsize="21600,21600">
            <v:path arrowok="t"/>
            <v:fill on="t" color2="#FFFFFF" focussize="0,0"/>
            <v:stroke weight="1pt" color="#00B0F0"/>
            <v:imagedata o:title=""/>
            <o:lock v:ext="edit" aspectratio="f"/>
          </v:line>
        </w:pict>
      </w:r>
      <w:r>
        <w:pict>
          <v:shape id="_x0000_i1159" o:spt="75" type="#_x0000_t75" style="height:431.4pt;width:458.6pt;" filled="f" o:preferrelative="t" stroked="f" coordsize="21600,21600">
            <v:path/>
            <v:fill on="f" focussize="0,0"/>
            <v:stroke on="f"/>
            <v:imagedata r:id="rId140" cropleft="5152f" o:title=""/>
            <o:lock v:ext="edit" aspectratio="t"/>
            <w10:wrap type="none"/>
            <w10:anchorlock/>
          </v:shape>
        </w:pict>
      </w:r>
      <w:r>
        <w:rPr>
          <w:sz w:val="21"/>
        </w:rPr>
        <w:pict>
          <v:line id="_x0000_s1316" o:spid="_x0000_s1316" o:spt="20" style="position:absolute;left:0pt;margin-left:37.8pt;margin-top:213.3pt;height:0.4pt;width:374.3pt;z-index:251707392;mso-width-relative:page;mso-height-relative:page;" fillcolor="#FFFFFF" filled="t" stroked="t" coordsize="21600,21600">
            <v:path arrowok="t"/>
            <v:fill on="t" color2="#FFFFFF" focussize="0,0"/>
            <v:stroke weight="1pt" color="#00B0F0" endarrow="block"/>
            <v:imagedata o:title=""/>
            <o:lock v:ext="edit" aspectratio="f"/>
          </v:line>
        </w:pict>
      </w:r>
    </w:p>
    <w:p w14:paraId="4BCA2697">
      <w:pPr>
        <w:pStyle w:val="2"/>
        <w:bidi w:val="0"/>
        <w:rPr>
          <w:rFonts w:hint="default" w:ascii="Times New Roman" w:hAnsi="Times New Roman" w:eastAsia="黑体" w:cs="Times New Roman"/>
          <w:b w:val="0"/>
          <w:bCs w:val="0"/>
          <w:color w:val="000000" w:themeColor="text1"/>
          <w:kern w:val="44"/>
          <w:sz w:val="24"/>
          <w:szCs w:val="24"/>
          <w:lang w:val="en-US" w:eastAsia="zh-CN" w:bidi="ar-SA"/>
        </w:rPr>
      </w:pPr>
      <w:r>
        <w:rPr>
          <w:rFonts w:hint="eastAsia" w:ascii="Times New Roman" w:hAnsi="Times New Roman" w:eastAsia="黑体" w:cs="Times New Roman"/>
          <w:b w:val="0"/>
          <w:bCs w:val="0"/>
          <w:color w:val="000000" w:themeColor="text1"/>
          <w:kern w:val="44"/>
          <w:sz w:val="24"/>
          <w:szCs w:val="24"/>
          <w:lang w:val="en-US" w:eastAsia="zh-CN" w:bidi="ar-SA"/>
        </w:rPr>
        <w:t>附图五：项目车间平面布置</w:t>
      </w:r>
      <w:r>
        <w:rPr>
          <w:rFonts w:hint="eastAsia" w:ascii="Times New Roman" w:hAnsi="Times New Roman" w:cs="Times New Roman"/>
          <w:b w:val="0"/>
          <w:bCs w:val="0"/>
          <w:color w:val="000000" w:themeColor="text1"/>
          <w:kern w:val="44"/>
          <w:sz w:val="24"/>
          <w:szCs w:val="24"/>
          <w:lang w:val="en-US" w:eastAsia="zh-CN" w:bidi="ar-SA"/>
        </w:rPr>
        <w:t>及废气收集管线</w:t>
      </w:r>
      <w:r>
        <w:rPr>
          <w:rFonts w:hint="eastAsia" w:ascii="Times New Roman" w:hAnsi="Times New Roman" w:eastAsia="黑体" w:cs="Times New Roman"/>
          <w:b w:val="0"/>
          <w:bCs w:val="0"/>
          <w:color w:val="000000" w:themeColor="text1"/>
          <w:kern w:val="44"/>
          <w:sz w:val="24"/>
          <w:szCs w:val="24"/>
          <w:lang w:val="en-US" w:eastAsia="zh-CN" w:bidi="ar-SA"/>
        </w:rPr>
        <w:t>图</w:t>
      </w:r>
    </w:p>
    <w:p w14:paraId="074A4BCD">
      <w:pPr>
        <w:pStyle w:val="11"/>
        <w:jc w:val="center"/>
        <w:rPr>
          <w:rFonts w:hint="eastAsia" w:eastAsia="宋体"/>
          <w:color w:val="000000" w:themeColor="text1"/>
          <w:lang w:eastAsia="zh-CN"/>
        </w:rPr>
      </w:pPr>
      <w:r>
        <w:rPr>
          <w:color w:val="000000" w:themeColor="text1"/>
          <w:sz w:val="28"/>
        </w:rPr>
        <w:pict>
          <v:line id="_x0000_s1278" o:spid="_x0000_s1278" o:spt="20" style="position:absolute;left:0pt;margin-left:620.45pt;margin-top:446.45pt;height:0.05pt;width:50.5pt;z-index:251679744;mso-width-relative:page;mso-height-relative:page;" fillcolor="#FFFFFF" filled="t" stroked="t" coordsize="21600,21600">
            <v:path arrowok="t"/>
            <v:fill on="t" color2="#FFFFFF" focussize="0,0"/>
            <v:stroke weight="1pt" color="#FF0000"/>
            <v:imagedata o:title=""/>
            <o:lock v:ext="edit" aspectratio="f"/>
          </v:line>
        </w:pict>
      </w:r>
      <w:r>
        <w:rPr>
          <w:color w:val="000000" w:themeColor="text1"/>
          <w:sz w:val="18"/>
        </w:rPr>
        <w:pict>
          <v:shape id="_x0000_s1279" o:spid="_x0000_s1279" o:spt="202" type="#_x0000_t202" style="position:absolute;left:0pt;margin-left:667.25pt;margin-top:434.9pt;height:27.05pt;width:90.75pt;z-index:251680768;mso-width-relative:page;mso-height-relative:page;" filled="f" stroked="f" coordsize="21600,21600">
            <v:path/>
            <v:fill on="f" focussize="0,0"/>
            <v:stroke on="f"/>
            <v:imagedata o:title=""/>
            <o:lock v:ext="edit" aspectratio="f"/>
            <v:textbox>
              <w:txbxContent>
                <w:p w14:paraId="40085914">
                  <w:pPr>
                    <w:rPr>
                      <w:rFonts w:hint="default" w:eastAsia="宋体"/>
                      <w:color w:val="FF0000"/>
                      <w:lang w:val="en-US" w:eastAsia="zh-CN"/>
                    </w:rPr>
                  </w:pPr>
                  <w:r>
                    <w:rPr>
                      <w:rFonts w:hint="eastAsia"/>
                      <w:color w:val="FF0000"/>
                      <w:lang w:val="en-US" w:eastAsia="zh-CN"/>
                    </w:rPr>
                    <w:t>废气收集管线</w:t>
                  </w:r>
                </w:p>
              </w:txbxContent>
            </v:textbox>
          </v:shape>
        </w:pict>
      </w:r>
      <w:r>
        <w:rPr>
          <w:color w:val="000000" w:themeColor="text1"/>
          <w:sz w:val="18"/>
        </w:rPr>
        <w:pict>
          <v:shape id="_x0000_i1162" o:spt="75" alt="车间布置图" type="#_x0000_t75" style="height:436.55pt;width:768.45pt;" filled="f" o:preferrelative="t" stroked="f" coordsize="21600,21600">
            <v:path/>
            <v:fill on="f" focussize="0,0"/>
            <v:stroke on="f"/>
            <v:imagedata r:id="rId141" croptop="15028f" cropbottom="6872f" o:title="车间布置图"/>
            <o:lock v:ext="edit" aspectratio="t"/>
            <w10:wrap type="none"/>
            <w10:anchorlock/>
          </v:shape>
        </w:pict>
      </w:r>
    </w:p>
    <w:p w14:paraId="21F70164">
      <w:pPr>
        <w:pStyle w:val="46"/>
        <w:rPr>
          <w:rFonts w:hint="eastAsia"/>
          <w:color w:val="000000" w:themeColor="text1"/>
          <w:lang w:val="en-US" w:eastAsia="zh-CN"/>
        </w:rPr>
      </w:pPr>
    </w:p>
    <w:p w14:paraId="7F342CFC">
      <w:pPr>
        <w:pStyle w:val="2"/>
        <w:bidi w:val="0"/>
        <w:rPr>
          <w:rFonts w:hint="default" w:ascii="Times New Roman" w:hAnsi="Times New Roman" w:eastAsia="黑体" w:cs="Times New Roman"/>
          <w:b w:val="0"/>
          <w:bCs w:val="0"/>
          <w:color w:val="000000" w:themeColor="text1"/>
          <w:kern w:val="44"/>
          <w:sz w:val="24"/>
          <w:szCs w:val="24"/>
          <w:lang w:val="en-US" w:eastAsia="zh-CN" w:bidi="ar-SA"/>
        </w:rPr>
      </w:pPr>
      <w:r>
        <w:rPr>
          <w:rFonts w:hint="eastAsia" w:ascii="Times New Roman" w:hAnsi="Times New Roman" w:eastAsia="黑体" w:cs="Times New Roman"/>
          <w:b w:val="0"/>
          <w:bCs w:val="0"/>
          <w:color w:val="000000" w:themeColor="text1"/>
          <w:kern w:val="44"/>
          <w:sz w:val="24"/>
          <w:szCs w:val="24"/>
          <w:lang w:val="en-US" w:eastAsia="zh-CN" w:bidi="ar-SA"/>
        </w:rPr>
        <w:t xml:space="preserve">附图六  </w:t>
      </w:r>
      <w:r>
        <w:rPr>
          <w:rFonts w:hint="default" w:ascii="Times New Roman" w:hAnsi="Times New Roman" w:eastAsia="黑体" w:cs="Times New Roman"/>
          <w:b w:val="0"/>
          <w:bCs w:val="0"/>
          <w:color w:val="000000" w:themeColor="text1"/>
          <w:kern w:val="44"/>
          <w:sz w:val="24"/>
          <w:szCs w:val="24"/>
          <w:lang w:val="en-US" w:eastAsia="zh-CN" w:bidi="ar-SA"/>
        </w:rPr>
        <w:t>项目分区防渗图</w:t>
      </w:r>
    </w:p>
    <w:p w14:paraId="745C4431">
      <w:pPr>
        <w:pStyle w:val="46"/>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color w:val="000000" w:themeColor="text1"/>
          <w:lang w:eastAsia="zh-CN"/>
        </w:rPr>
        <w:sectPr>
          <w:pgSz w:w="16838" w:h="11906" w:orient="landscape"/>
          <w:pgMar w:top="720" w:right="720" w:bottom="720" w:left="72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sz w:val="28"/>
        </w:rPr>
        <w:pict>
          <v:rect id="_x0000_s1335" o:spid="_x0000_s1335" o:spt="1" style="position:absolute;left:0pt;margin-left:80.7pt;margin-top:337.65pt;height:56.55pt;width:152.6pt;z-index:251718656;mso-width-relative:page;mso-height-relative:page;" fillcolor="#E46C0A" filled="t" stroked="t" coordsize="21600,21600">
            <v:path/>
            <v:fill on="t" color2="#FFFFFF" opacity="32768f" focussize="0,0"/>
            <v:stroke color="#E46C0A" joinstyle="miter"/>
            <v:imagedata o:title=""/>
            <o:lock v:ext="edit" aspectratio="f"/>
          </v:rect>
        </w:pict>
      </w:r>
      <w:r>
        <w:rPr>
          <w:sz w:val="28"/>
        </w:rPr>
        <w:pict>
          <v:rect id="_x0000_s1334" o:spid="_x0000_s1334" o:spt="1" style="position:absolute;left:0pt;margin-left:287.3pt;margin-top:23.95pt;height:79.65pt;width:87.4pt;z-index:251717632;mso-width-relative:page;mso-height-relative:page;" fillcolor="#E46C0A" filled="t" stroked="t" coordsize="21600,21600">
            <v:path/>
            <v:fill on="t" color2="#FFFFFF" opacity="32768f" focussize="0,0"/>
            <v:stroke color="#E46C0A" joinstyle="miter"/>
            <v:imagedata o:title=""/>
            <o:lock v:ext="edit" aspectratio="f"/>
          </v:rect>
        </w:pict>
      </w:r>
      <w:r>
        <w:rPr>
          <w:sz w:val="28"/>
        </w:rPr>
        <w:pict>
          <v:rect id="_x0000_s1333" o:spid="_x0000_s1333" o:spt="1" style="position:absolute;left:0pt;margin-left:536.7pt;margin-top:23.95pt;height:37.7pt;width:54.8pt;z-index:251716608;mso-width-relative:page;mso-height-relative:page;" fillcolor="#E46C0A" filled="t" stroked="t" coordsize="21600,21600">
            <v:path/>
            <v:fill on="t" color2="#FFFFFF" opacity="32768f" focussize="0,0"/>
            <v:stroke color="#E46C0A" joinstyle="miter"/>
            <v:imagedata o:title=""/>
            <o:lock v:ext="edit" aspectratio="f"/>
          </v:rect>
        </w:pict>
      </w:r>
      <w:r>
        <w:rPr>
          <w:sz w:val="28"/>
        </w:rPr>
        <w:pict>
          <v:rect id="_x0000_s1332" o:spid="_x0000_s1332" o:spt="1" style="position:absolute;left:0pt;margin-left:18.1pt;margin-top:331.65pt;height:32.55pt;width:25.75pt;z-index:251715584;mso-width-relative:page;mso-height-relative:page;" fillcolor="#E46C0A" filled="t" stroked="t" coordsize="21600,21600">
            <v:path/>
            <v:fill on="t" color2="#FFFFFF" opacity="32768f" focussize="0,0"/>
            <v:stroke color="#E46C0A" joinstyle="miter"/>
            <v:imagedata o:title=""/>
            <o:lock v:ext="edit" aspectratio="f"/>
          </v:rect>
        </w:pict>
      </w:r>
      <w:r>
        <w:rPr>
          <w:sz w:val="28"/>
        </w:rPr>
        <w:pict>
          <v:rect id="_x0000_s1331" o:spid="_x0000_s1331" o:spt="1" style="position:absolute;left:0pt;margin-left:313pt;margin-top:71.95pt;height:32.55pt;width:44.6pt;z-index:251714560;mso-width-relative:page;mso-height-relative:page;" fillcolor="#E46C0A" filled="t" stroked="t" coordsize="21600,21600">
            <v:path/>
            <v:fill on="t" color2="#FFFFFF" opacity="32768f" focussize="0,0"/>
            <v:stroke color="#E46C0A"/>
            <v:imagedata o:title=""/>
            <o:lock v:ext="edit" aspectratio="f"/>
          </v:rect>
        </w:pict>
      </w:r>
      <w:r>
        <w:rPr>
          <w:color w:val="000000" w:themeColor="text1"/>
          <w:sz w:val="28"/>
        </w:rPr>
        <w:pict>
          <v:shape id="_x0000_s1163" o:spid="_x0000_s1163" o:spt="202" type="#_x0000_t202" style="position:absolute;left:0pt;margin-left:103.35pt;margin-top:438.1pt;height:45.25pt;width:100.35pt;z-index:251674624;mso-width-relative:page;mso-height-relative:page;" filled="f" stroked="f" coordsize="21600,21600">
            <v:path/>
            <v:fill on="f" focussize="0,0"/>
            <v:stroke on="f"/>
            <v:imagedata o:title=""/>
            <o:lock v:ext="edit" aspectratio="f"/>
            <v:textbox>
              <w:txbxContent>
                <w:p w14:paraId="5B18AED7">
                  <w:pPr>
                    <w:rPr>
                      <w:rFonts w:hint="eastAsia" w:eastAsia="宋体"/>
                      <w:sz w:val="24"/>
                      <w:szCs w:val="24"/>
                      <w:lang w:val="en-US" w:eastAsia="zh-CN"/>
                    </w:rPr>
                  </w:pPr>
                  <w:r>
                    <w:rPr>
                      <w:rFonts w:hint="eastAsia"/>
                      <w:sz w:val="24"/>
                      <w:szCs w:val="24"/>
                      <w:lang w:val="en-US" w:eastAsia="zh-CN"/>
                    </w:rPr>
                    <w:t>重点防渗区</w:t>
                  </w:r>
                </w:p>
              </w:txbxContent>
            </v:textbox>
          </v:shape>
        </w:pict>
      </w:r>
      <w:r>
        <w:rPr>
          <w:color w:val="000000" w:themeColor="text1"/>
          <w:sz w:val="28"/>
        </w:rPr>
        <w:pict>
          <v:rect id="_x0000_s1162" o:spid="_x0000_s1162" o:spt="1" style="position:absolute;left:0pt;margin-left:59.1pt;margin-top:435.65pt;height:23.5pt;width:47.05pt;z-index:251673600;mso-width-relative:page;mso-height-relative:page;" fillcolor="#F79646" filled="t" stroked="t" coordsize="21600,21600">
            <v:path/>
            <v:fill on="t" color2="#FFFFFF" focussize="0,0"/>
            <v:stroke color="#000000"/>
            <v:imagedata o:title=""/>
            <o:lock v:ext="edit" aspectratio="f"/>
          </v:rect>
        </w:pict>
      </w:r>
      <w:r>
        <w:rPr>
          <w:color w:val="000000" w:themeColor="text1"/>
          <w:sz w:val="28"/>
        </w:rPr>
        <w:pict>
          <v:shape id="_x0000_s1167" o:spid="_x0000_s1167" o:spt="202" type="#_x0000_t202" style="position:absolute;left:0pt;margin-left:226.7pt;margin-top:436.55pt;height:45.25pt;width:100.35pt;z-index:251678720;mso-width-relative:page;mso-height-relative:page;" filled="f" stroked="f" coordsize="21600,21600">
            <v:path/>
            <v:fill on="f" focussize="0,0"/>
            <v:stroke on="f"/>
            <v:imagedata o:title=""/>
            <o:lock v:ext="edit" aspectratio="f"/>
            <v:textbox>
              <w:txbxContent>
                <w:p w14:paraId="79DD172B">
                  <w:pPr>
                    <w:rPr>
                      <w:rFonts w:hint="eastAsia" w:eastAsia="宋体"/>
                      <w:sz w:val="24"/>
                      <w:szCs w:val="24"/>
                      <w:lang w:val="en-US" w:eastAsia="zh-CN"/>
                    </w:rPr>
                  </w:pPr>
                  <w:r>
                    <w:rPr>
                      <w:rFonts w:hint="eastAsia"/>
                      <w:sz w:val="24"/>
                      <w:szCs w:val="24"/>
                      <w:lang w:val="en-US" w:eastAsia="zh-CN"/>
                    </w:rPr>
                    <w:t>一般防渗区</w:t>
                  </w:r>
                </w:p>
              </w:txbxContent>
            </v:textbox>
          </v:shape>
        </w:pict>
      </w:r>
      <w:r>
        <w:rPr>
          <w:color w:val="000000" w:themeColor="text1"/>
          <w:sz w:val="28"/>
        </w:rPr>
        <w:pict>
          <v:rect id="_x0000_s1166" o:spid="_x0000_s1166" o:spt="1" style="position:absolute;left:0pt;margin-left:180.7pt;margin-top:435.95pt;height:23.5pt;width:47.05pt;z-index:251677696;mso-width-relative:page;mso-height-relative:page;" filled="f" stroked="t" coordsize="21600,21600">
            <v:path/>
            <v:fill on="f" focussize="0,0"/>
            <v:stroke color="#000000" joinstyle="miter"/>
            <v:imagedata o:title=""/>
            <o:lock v:ext="edit" aspectratio="f"/>
          </v:rect>
        </w:pict>
      </w:r>
      <w:r>
        <w:rPr>
          <w:color w:val="000000" w:themeColor="text1"/>
          <w:sz w:val="18"/>
        </w:rPr>
        <w:pict>
          <v:shape id="_x0000_i1163" o:spt="75" alt="车间布置图" type="#_x0000_t75" style="height:436.55pt;width:768.45pt;" filled="f" o:preferrelative="t" stroked="f" coordsize="21600,21600">
            <v:path/>
            <v:fill on="f" focussize="0,0"/>
            <v:stroke on="f"/>
            <v:imagedata r:id="rId141" croptop="15028f" cropbottom="6872f" o:title="车间布置图"/>
            <o:lock v:ext="edit" aspectratio="t"/>
            <w10:wrap type="none"/>
            <w10:anchorlock/>
          </v:shape>
        </w:pict>
      </w:r>
      <w:bookmarkStart w:id="5" w:name="_GoBack"/>
      <w:bookmarkEnd w:id="5"/>
    </w:p>
    <w:p w14:paraId="691684D6">
      <w:pPr>
        <w:pStyle w:val="2"/>
        <w:bidi w:val="0"/>
        <w:rPr>
          <w:rFonts w:hint="default" w:ascii="Times New Roman" w:hAnsi="Times New Roman" w:cs="Times New Roman"/>
          <w:b w:val="0"/>
          <w:bCs w:val="0"/>
          <w:color w:val="000000" w:themeColor="text1"/>
          <w:sz w:val="24"/>
          <w:szCs w:val="24"/>
          <w:lang w:val="en-US" w:eastAsia="zh-CN"/>
        </w:rPr>
      </w:pPr>
      <w:r>
        <w:rPr>
          <w:rFonts w:hint="default" w:ascii="Times New Roman" w:hAnsi="Times New Roman" w:cs="Times New Roman"/>
          <w:b w:val="0"/>
          <w:bCs w:val="0"/>
          <w:color w:val="000000" w:themeColor="text1"/>
          <w:sz w:val="24"/>
          <w:szCs w:val="24"/>
          <w:lang w:val="en-US" w:eastAsia="zh-CN"/>
        </w:rPr>
        <w:t>附图七 淮北市生态保护红线分布图</w:t>
      </w:r>
    </w:p>
    <w:p w14:paraId="5222791D">
      <w:pPr>
        <w:bidi w:val="0"/>
        <w:jc w:val="both"/>
        <w:rPr>
          <w:rFonts w:hint="default" w:ascii="Times New Roman" w:hAnsi="Times New Roman" w:cs="Times New Roman"/>
          <w:color w:val="000000" w:themeColor="text1"/>
        </w:rPr>
      </w:pPr>
      <w:r>
        <w:rPr>
          <w:rFonts w:hint="default" w:ascii="Times New Roman" w:hAnsi="Times New Roman" w:cs="Times New Roman"/>
          <w:color w:val="000000" w:themeColor="text1"/>
        </w:rPr>
        <w:pict>
          <v:shape id="矩形标注 48" o:spid="_x0000_s1058" o:spt="61" type="#_x0000_t61" style="position:absolute;left:0pt;margin-left:204.65pt;margin-top:141.7pt;height:17.85pt;width:68.2pt;z-index:251669504;mso-width-relative:page;mso-height-relative:page;" filled="f" stroked="t" coordsize="21600,21600" o:gfxdata="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FH8EazbAAAACwEAAA8AAAAAAAAAAQAgAAAA&#10;IgAAAGRycy9kb3ducmV2LnhtbFBLAQIUABQAAAAIAIdO4kDJnLcSQQIAAIsEAAAOAAAAAAAAAAEA&#10;IAAAACoBAABkcnMvZTJvRG9jLnhtbFBLBQYAAAAABgAGAFkBAADdBQAAAAA=&#10;" adj="2154,54635">
            <v:path/>
            <v:fill on="f" focussize="0,0"/>
            <v:stroke weight="1.5pt" color="#000000" joinstyle="miter"/>
            <v:imagedata o:title=""/>
            <o:lock v:ext="edit" aspectratio="f"/>
            <v:textbox inset="0mm,0mm,0mm,0mm">
              <w:txbxContent>
                <w:p w14:paraId="3D44E2BD">
                  <w:pPr>
                    <w:ind w:firstLine="0" w:firstLineChars="0"/>
                    <w:rPr>
                      <w:rFonts w:hint="eastAsia" w:ascii="黑体" w:hAnsi="黑体" w:eastAsia="黑体" w:cs="黑体"/>
                      <w:sz w:val="24"/>
                      <w:szCs w:val="32"/>
                    </w:rPr>
                  </w:pPr>
                  <w:r>
                    <w:rPr>
                      <w:rFonts w:hint="eastAsia" w:ascii="黑体" w:hAnsi="黑体" w:eastAsia="黑体" w:cs="黑体"/>
                      <w:sz w:val="21"/>
                      <w:szCs w:val="21"/>
                    </w:rPr>
                    <w:t>项目所在地</w:t>
                  </w:r>
                </w:p>
              </w:txbxContent>
            </v:textbox>
          </v:shape>
        </w:pict>
      </w:r>
      <w:r>
        <w:rPr>
          <w:rFonts w:hint="default" w:ascii="Times New Roman" w:hAnsi="Times New Roman" w:eastAsia="仿宋_GB2312" w:cs="Times New Roman"/>
          <w:color w:val="000000" w:themeColor="text1"/>
          <w:kern w:val="0"/>
          <w:sz w:val="28"/>
          <w:szCs w:val="20"/>
          <w:lang w:val="en-US" w:eastAsia="zh-CN" w:bidi="ar-SA"/>
        </w:rPr>
        <w:pict>
          <v:shape id="_x0000_i1141" o:spt="75" alt="C:\Users\lv\Desktop\淮北评审后成果\更新成果表与图\图件\05淮北市生态保护红线分布图.jpg" type="#_x0000_t75" style="height:656.8pt;width:420pt;" filled="f" o:preferrelative="t" stroked="f" coordsize="21600,21600">
            <v:path/>
            <v:fill on="f" focussize="0,0"/>
            <v:stroke on="f"/>
            <v:imagedata r:id="rId142" o:title=""/>
            <o:lock v:ext="edit" aspectratio="t"/>
            <w10:wrap type="none"/>
            <w10:anchorlock/>
          </v:shape>
        </w:pict>
      </w:r>
    </w:p>
    <w:p w14:paraId="4C5D1CF7">
      <w:pPr>
        <w:pStyle w:val="2"/>
        <w:bidi w:val="0"/>
        <w:rPr>
          <w:rFonts w:hint="default" w:ascii="Times New Roman" w:hAnsi="Times New Roman" w:cs="Times New Roman"/>
          <w:b w:val="0"/>
          <w:bCs w:val="0"/>
          <w:color w:val="000000" w:themeColor="text1"/>
          <w:sz w:val="24"/>
          <w:szCs w:val="24"/>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15332C2E">
      <w:pPr>
        <w:pStyle w:val="2"/>
        <w:bidi w:val="0"/>
        <w:rPr>
          <w:rFonts w:hint="eastAsia" w:ascii="Times New Roman" w:hAnsi="Times New Roman" w:cs="Times New Roman"/>
          <w:b w:val="0"/>
          <w:bCs w:val="0"/>
          <w:color w:val="000000" w:themeColor="text1"/>
          <w:sz w:val="24"/>
          <w:szCs w:val="24"/>
          <w:lang w:val="en-US" w:eastAsia="zh-CN"/>
        </w:rPr>
      </w:pPr>
      <w:r>
        <w:rPr>
          <w:rFonts w:hint="eastAsia" w:ascii="Times New Roman" w:hAnsi="Times New Roman" w:cs="Times New Roman"/>
          <w:b w:val="0"/>
          <w:bCs w:val="0"/>
          <w:color w:val="000000" w:themeColor="text1"/>
          <w:sz w:val="24"/>
          <w:szCs w:val="24"/>
          <w:lang w:val="en-US" w:eastAsia="zh-CN"/>
        </w:rPr>
        <w:t>附图八 项目在安徽省环境管控单元图中的位置</w:t>
      </w:r>
    </w:p>
    <w:p w14:paraId="1EF0616A">
      <w:pPr>
        <w:pStyle w:val="2"/>
        <w:bidi w:val="0"/>
        <w:rPr>
          <w:rFonts w:hint="default" w:ascii="Times New Roman" w:hAnsi="Times New Roman" w:cs="Times New Roman"/>
          <w:b w:val="0"/>
          <w:bCs w:val="0"/>
          <w:color w:val="000000" w:themeColor="text1"/>
          <w:sz w:val="24"/>
          <w:szCs w:val="24"/>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color w:val="000000" w:themeColor="text1"/>
          <w:sz w:val="28"/>
        </w:rPr>
        <w:pict>
          <v:line id="_x0000_s1165" o:spid="_x0000_s1165" o:spt="20" style="position:absolute;left:0pt;margin-left:72.95pt;margin-top:69.1pt;height:53.6pt;width:55.85pt;z-index:251675648;mso-width-relative:page;mso-height-relative:page;" filled="f" stroked="t" coordsize="21600,21600">
            <v:path arrowok="t"/>
            <v:fill on="f" focussize="0,0"/>
            <v:stroke weight="1.5pt" color="#FF0000" endarrow="block"/>
            <v:imagedata o:title=""/>
            <o:lock v:ext="edit" aspectratio="f"/>
          </v:line>
        </w:pict>
      </w:r>
      <w:r>
        <w:rPr>
          <w:color w:val="000000" w:themeColor="text1"/>
          <w:sz w:val="28"/>
        </w:rPr>
        <w:pict>
          <v:shape id="_x0000_s1164" o:spid="_x0000_s1164" o:spt="202" type="#_x0000_t202" style="position:absolute;left:0pt;margin-left:33.3pt;margin-top:39.3pt;height:31pt;width:79.6pt;z-index:251676672;mso-width-relative:page;mso-height-relative:page;" filled="f" stroked="f" coordsize="21600,21600">
            <v:path/>
            <v:fill on="f" focussize="0,0"/>
            <v:stroke on="f"/>
            <v:imagedata o:title=""/>
            <o:lock v:ext="edit" aspectratio="f"/>
            <v:textbox>
              <w:txbxContent>
                <w:p w14:paraId="4F1532F2">
                  <w:pPr>
                    <w:rPr>
                      <w:rFonts w:hint="default" w:eastAsia="宋体"/>
                      <w:color w:val="FF0000"/>
                      <w:sz w:val="28"/>
                      <w:szCs w:val="28"/>
                      <w:lang w:val="en-US" w:eastAsia="zh-CN"/>
                    </w:rPr>
                  </w:pPr>
                  <w:r>
                    <w:rPr>
                      <w:rFonts w:hint="eastAsia"/>
                      <w:color w:val="FF0000"/>
                      <w:sz w:val="28"/>
                      <w:szCs w:val="28"/>
                      <w:lang w:val="en-US" w:eastAsia="zh-CN"/>
                    </w:rPr>
                    <w:t>项目位置</w:t>
                  </w:r>
                </w:p>
              </w:txbxContent>
            </v:textbox>
          </v:shape>
        </w:pict>
      </w:r>
      <w:r>
        <w:pict>
          <v:shape id="_x0000_i1142" o:spt="75" type="#_x0000_t75" style="height:266pt;width:415.15pt;" filled="f" stroked="f" coordsize="21600,21600">
            <v:path/>
            <v:fill on="f" focussize="0,0"/>
            <v:stroke on="f"/>
            <v:imagedata r:id="rId143" o:title=""/>
            <o:lock v:ext="edit" aspectratio="t"/>
            <w10:wrap type="none"/>
            <w10:anchorlock/>
          </v:shape>
        </w:pict>
      </w:r>
    </w:p>
    <w:p w14:paraId="221A1901">
      <w:pPr>
        <w:pStyle w:val="2"/>
        <w:bidi w:val="0"/>
        <w:rPr>
          <w:rFonts w:hint="default" w:ascii="Times New Roman" w:hAnsi="Times New Roman" w:cs="Times New Roman"/>
          <w:b w:val="0"/>
          <w:bCs w:val="0"/>
          <w:color w:val="000000" w:themeColor="text1"/>
          <w:sz w:val="24"/>
          <w:szCs w:val="24"/>
          <w:lang w:val="en-US" w:eastAsia="zh-CN"/>
        </w:rPr>
      </w:pPr>
      <w:r>
        <w:rPr>
          <w:rFonts w:hint="default" w:ascii="Times New Roman" w:hAnsi="Times New Roman" w:cs="Times New Roman"/>
          <w:b w:val="0"/>
          <w:bCs w:val="0"/>
          <w:color w:val="000000" w:themeColor="text1"/>
          <w:sz w:val="24"/>
          <w:szCs w:val="24"/>
          <w:lang w:val="en-US" w:eastAsia="zh-CN"/>
        </w:rPr>
        <w:t>附图</w:t>
      </w:r>
      <w:r>
        <w:rPr>
          <w:rFonts w:hint="eastAsia" w:ascii="Times New Roman" w:hAnsi="Times New Roman" w:cs="Times New Roman"/>
          <w:b w:val="0"/>
          <w:bCs w:val="0"/>
          <w:color w:val="000000" w:themeColor="text1"/>
          <w:sz w:val="24"/>
          <w:szCs w:val="24"/>
          <w:lang w:val="en-US" w:eastAsia="zh-CN"/>
        </w:rPr>
        <w:t>九</w:t>
      </w:r>
      <w:r>
        <w:rPr>
          <w:rFonts w:hint="default" w:ascii="Times New Roman" w:hAnsi="Times New Roman" w:cs="Times New Roman"/>
          <w:b w:val="0"/>
          <w:bCs w:val="0"/>
          <w:color w:val="000000" w:themeColor="text1"/>
          <w:sz w:val="24"/>
          <w:szCs w:val="24"/>
          <w:lang w:val="en-US" w:eastAsia="zh-CN"/>
        </w:rPr>
        <w:t xml:space="preserve"> 淮北市水环境分区管控图</w:t>
      </w:r>
    </w:p>
    <w:p w14:paraId="0E51FC5E">
      <w:pPr>
        <w:pStyle w:val="46"/>
        <w:ind w:left="0" w:leftChars="0" w:firstLine="0" w:firstLineChars="0"/>
        <w:rPr>
          <w:rFonts w:hint="default" w:ascii="Times New Roman" w:hAnsi="Times New Roman" w:cs="Times New Roman"/>
          <w:color w:val="000000" w:themeColor="text1"/>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cs="Times New Roman"/>
          <w:color w:val="000000" w:themeColor="text1"/>
        </w:rPr>
        <w:pict>
          <v:shape id="矩形标注 16" o:spid="_x0000_s1060" o:spt="61" type="#_x0000_t61" style="position:absolute;left:0pt;margin-left:218.85pt;margin-top:128.15pt;height:16.3pt;width:50.2pt;z-index:251666432;mso-width-relative:page;mso-height-relative:page;" filled="f" stroked="t" coordsize="21600,21600" o:gfxdata="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mtagl2QAAAAsBAAAPAAAAAAAAAAEAIAAAACIA&#10;AABkcnMvZG93bnJldi54bWxQSwECFAAUAAAACACHTuJATLf8TEECAACLBAAADgAAAAAAAAABACAA&#10;AAAoAQAAZHJzL2Uyb0RvYy54bWxQSwUGAAAAAAYABgBZAQAA2wUAAAAA&#10;" adj="-2880,46769">
            <v:path/>
            <v:fill on="f" focussize="0,0"/>
            <v:stroke weight="1.5pt" color="#000000" joinstyle="miter"/>
            <v:imagedata o:title=""/>
            <o:lock v:ext="edit" aspectratio="f"/>
            <v:textbox inset="0mm,0mm,0mm,0mm">
              <w:txbxContent>
                <w:p w14:paraId="6BFBB30C">
                  <w:pPr>
                    <w:ind w:firstLine="0" w:firstLineChars="0"/>
                    <w:rPr>
                      <w:rFonts w:hint="eastAsia" w:ascii="黑体" w:hAnsi="黑体" w:eastAsia="黑体" w:cs="黑体"/>
                    </w:rPr>
                  </w:pPr>
                  <w:r>
                    <w:rPr>
                      <w:rFonts w:hint="eastAsia" w:ascii="黑体" w:hAnsi="黑体" w:eastAsia="黑体" w:cs="黑体"/>
                      <w:sz w:val="18"/>
                      <w:szCs w:val="18"/>
                    </w:rPr>
                    <w:t>项目所在地</w:t>
                  </w:r>
                </w:p>
              </w:txbxContent>
            </v:textbox>
          </v:shape>
        </w:pict>
      </w:r>
      <w:r>
        <w:rPr>
          <w:rFonts w:hint="default" w:ascii="Times New Roman" w:hAnsi="Times New Roman" w:cs="Times New Roman"/>
          <w:color w:val="000000" w:themeColor="text1"/>
        </w:rPr>
        <w:pict>
          <v:shape id="_x0000_i1143" o:spt="75" alt="C:\Users\lv\Desktop\淮北评审后成果\更新成果表与图\图件\17淮北市水环境分区管控图.jpg" type="#_x0000_t75" style="height:586.85pt;width:415.3pt;" filled="f" o:preferrelative="t" stroked="f" coordsize="21600,21600">
            <v:path/>
            <v:fill on="f" focussize="0,0"/>
            <v:stroke on="f"/>
            <v:imagedata r:id="rId144" o:title=""/>
            <o:lock v:ext="edit" aspectratio="t"/>
            <w10:wrap type="none"/>
            <w10:anchorlock/>
          </v:shape>
        </w:pict>
      </w:r>
    </w:p>
    <w:p w14:paraId="3781FF75">
      <w:pPr>
        <w:pStyle w:val="2"/>
        <w:bidi w:val="0"/>
        <w:rPr>
          <w:rFonts w:hint="default" w:ascii="Times New Roman" w:hAnsi="Times New Roman" w:cs="Times New Roman"/>
          <w:b w:val="0"/>
          <w:bCs w:val="0"/>
          <w:color w:val="000000" w:themeColor="text1"/>
          <w:sz w:val="24"/>
          <w:szCs w:val="24"/>
          <w:lang w:val="en-US" w:eastAsia="zh-CN"/>
        </w:rPr>
      </w:pPr>
      <w:r>
        <w:rPr>
          <w:rFonts w:hint="default" w:ascii="Times New Roman" w:hAnsi="Times New Roman" w:cs="Times New Roman"/>
          <w:b w:val="0"/>
          <w:bCs w:val="0"/>
          <w:color w:val="000000" w:themeColor="text1"/>
          <w:sz w:val="24"/>
          <w:szCs w:val="24"/>
          <w:lang w:val="en-US" w:eastAsia="zh-CN"/>
        </w:rPr>
        <w:t>附图</w:t>
      </w:r>
      <w:r>
        <w:rPr>
          <w:rFonts w:hint="eastAsia" w:ascii="Times New Roman" w:hAnsi="Times New Roman" w:cs="Times New Roman"/>
          <w:b w:val="0"/>
          <w:bCs w:val="0"/>
          <w:color w:val="000000" w:themeColor="text1"/>
          <w:sz w:val="24"/>
          <w:szCs w:val="24"/>
          <w:lang w:val="en-US" w:eastAsia="zh-CN"/>
        </w:rPr>
        <w:t>十</w:t>
      </w:r>
      <w:r>
        <w:rPr>
          <w:rFonts w:hint="default" w:ascii="Times New Roman" w:hAnsi="Times New Roman" w:cs="Times New Roman"/>
          <w:b w:val="0"/>
          <w:bCs w:val="0"/>
          <w:color w:val="000000" w:themeColor="text1"/>
          <w:sz w:val="24"/>
          <w:szCs w:val="24"/>
          <w:lang w:val="en-US" w:eastAsia="zh-CN"/>
        </w:rPr>
        <w:t xml:space="preserve"> 淮北市大气环境分区管控图</w:t>
      </w:r>
    </w:p>
    <w:p w14:paraId="3E3A70FA">
      <w:pPr>
        <w:bidi w:val="0"/>
        <w:jc w:val="center"/>
        <w:rPr>
          <w:rFonts w:hint="default" w:ascii="Times New Roman" w:hAnsi="Times New Roman" w:cs="Times New Roman"/>
          <w:color w:val="000000" w:themeColor="text1"/>
        </w:rPr>
      </w:pPr>
      <w:r>
        <w:rPr>
          <w:rFonts w:hint="default" w:ascii="Times New Roman" w:hAnsi="Times New Roman" w:cs="Times New Roman"/>
          <w:color w:val="000000" w:themeColor="text1"/>
        </w:rPr>
        <w:pict>
          <v:shape id="矩形标注 29" o:spid="_x0000_s1059" o:spt="61" type="#_x0000_t61" style="position:absolute;left:0pt;margin-left:219.05pt;margin-top:131.45pt;height:15.55pt;width:50.2pt;z-index:251668480;mso-width-relative:page;mso-height-relative:page;" filled="f" stroked="t" coordsize="21600,21600" o:gfxdata="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wSvME9kAAAALAQAADwAAAAAAAAABACAAAAAi&#10;AAAAZHJzL2Rvd25yZXYueG1sUEsBAhQAFAAAAAgAh07iQNP6rIxCAgAAiwQAAA4AAAAAAAAAAQAg&#10;AAAAKAEAAGRycy9lMm9Eb2MueG1sUEsFBgAAAAAGAAYAWQEAANwFAAAAAA==&#10;" adj="-2880,46769">
            <v:path/>
            <v:fill on="f" focussize="0,0"/>
            <v:stroke weight="1.5pt" color="#000000" joinstyle="miter"/>
            <v:imagedata o:title=""/>
            <o:lock v:ext="edit" aspectratio="f"/>
            <v:textbox inset="0mm,0mm,0mm,0mm">
              <w:txbxContent>
                <w:p w14:paraId="5E41E466">
                  <w:pPr>
                    <w:ind w:firstLine="0" w:firstLineChars="0"/>
                    <w:rPr>
                      <w:rFonts w:hint="eastAsia" w:ascii="黑体" w:hAnsi="黑体" w:eastAsia="黑体" w:cs="黑体"/>
                    </w:rPr>
                  </w:pPr>
                  <w:r>
                    <w:rPr>
                      <w:rFonts w:hint="eastAsia" w:ascii="黑体" w:hAnsi="黑体" w:eastAsia="黑体" w:cs="黑体"/>
                      <w:sz w:val="18"/>
                      <w:szCs w:val="18"/>
                    </w:rPr>
                    <w:t>项目所在地</w:t>
                  </w:r>
                </w:p>
              </w:txbxContent>
            </v:textbox>
          </v:shape>
        </w:pict>
      </w:r>
      <w:r>
        <w:rPr>
          <w:rFonts w:hint="default" w:ascii="Times New Roman" w:hAnsi="Times New Roman" w:cs="Times New Roman"/>
          <w:color w:val="000000" w:themeColor="text1"/>
        </w:rPr>
        <w:pict>
          <v:shape id="_x0000_i1144" o:spt="75" alt="C:\Users\lv\Desktop\淮北评审后成果\更新成果表与图\图件\31淮北市大气环境分区管控图.jpg" type="#_x0000_t75" style="height:586.85pt;width:415.3pt;" filled="f" o:preferrelative="t" stroked="f" coordsize="21600,21600">
            <v:path/>
            <v:fill on="f" focussize="0,0"/>
            <v:stroke on="f"/>
            <v:imagedata r:id="rId145" o:title=""/>
            <o:lock v:ext="edit" aspectratio="t"/>
            <w10:wrap type="none"/>
            <w10:anchorlock/>
          </v:shape>
        </w:pict>
      </w:r>
    </w:p>
    <w:p w14:paraId="0E3FFA45">
      <w:pPr>
        <w:bidi w:val="0"/>
        <w:jc w:val="left"/>
        <w:rPr>
          <w:rFonts w:hint="default" w:ascii="Times New Roman" w:hAnsi="Times New Roman" w:eastAsia="宋体" w:cs="Times New Roman"/>
          <w:color w:val="000000" w:themeColor="text1"/>
          <w:kern w:val="2"/>
          <w:sz w:val="21"/>
          <w:szCs w:val="24"/>
          <w:lang w:val="en-US" w:eastAsia="zh-CN" w:bidi="ar-SA"/>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20E694EF">
      <w:pPr>
        <w:pStyle w:val="2"/>
        <w:bidi w:val="0"/>
        <w:rPr>
          <w:rFonts w:hint="default" w:ascii="Times New Roman" w:hAnsi="Times New Roman" w:cs="Times New Roman"/>
          <w:b w:val="0"/>
          <w:bCs w:val="0"/>
          <w:color w:val="000000" w:themeColor="text1"/>
          <w:sz w:val="24"/>
          <w:szCs w:val="24"/>
          <w:lang w:val="en-US" w:eastAsia="zh-CN"/>
        </w:rPr>
      </w:pPr>
      <w:r>
        <w:rPr>
          <w:rFonts w:hint="default" w:ascii="Times New Roman" w:hAnsi="Times New Roman" w:cs="Times New Roman"/>
          <w:b w:val="0"/>
          <w:bCs w:val="0"/>
          <w:color w:val="000000" w:themeColor="text1"/>
          <w:sz w:val="24"/>
          <w:szCs w:val="24"/>
          <w:lang w:val="en-US" w:eastAsia="zh-CN"/>
        </w:rPr>
        <w:t>附图十</w:t>
      </w:r>
      <w:r>
        <w:rPr>
          <w:rFonts w:hint="eastAsia" w:ascii="Times New Roman" w:hAnsi="Times New Roman" w:cs="Times New Roman"/>
          <w:b w:val="0"/>
          <w:bCs w:val="0"/>
          <w:color w:val="000000" w:themeColor="text1"/>
          <w:sz w:val="24"/>
          <w:szCs w:val="24"/>
          <w:lang w:val="en-US" w:eastAsia="zh-CN"/>
        </w:rPr>
        <w:t xml:space="preserve">一 </w:t>
      </w:r>
      <w:r>
        <w:rPr>
          <w:rFonts w:hint="default" w:ascii="Times New Roman" w:hAnsi="Times New Roman" w:cs="Times New Roman"/>
          <w:b w:val="0"/>
          <w:bCs w:val="0"/>
          <w:color w:val="000000" w:themeColor="text1"/>
          <w:sz w:val="24"/>
          <w:szCs w:val="24"/>
          <w:lang w:val="en-US" w:eastAsia="zh-CN"/>
        </w:rPr>
        <w:t xml:space="preserve"> 淮北市土壤环境风险分区防控图</w:t>
      </w:r>
    </w:p>
    <w:p w14:paraId="518905BD">
      <w:pPr>
        <w:bidi w:val="0"/>
        <w:jc w:val="center"/>
        <w:rPr>
          <w:rFonts w:hint="default" w:ascii="Times New Roman" w:hAnsi="Times New Roman" w:cs="Times New Roman"/>
          <w:color w:val="000000" w:themeColor="text1"/>
          <w:lang w:eastAsia="zh-CN"/>
        </w:rPr>
      </w:pPr>
      <w:r>
        <w:rPr>
          <w:rFonts w:hint="default" w:ascii="Times New Roman" w:hAnsi="Times New Roman" w:eastAsia="黑体" w:cs="Times New Roman"/>
          <w:b w:val="0"/>
          <w:bCs w:val="0"/>
          <w:color w:val="000000" w:themeColor="text1"/>
          <w:kern w:val="44"/>
          <w:sz w:val="24"/>
          <w:szCs w:val="24"/>
          <w:lang w:val="en-US" w:eastAsia="zh-CN" w:bidi="ar-SA"/>
        </w:rPr>
        <w:pict>
          <v:shape id="矩形标注 42" o:spid="_x0000_s1061" o:spt="61" type="#_x0000_t61" style="position:absolute;left:0pt;margin-left:218.45pt;margin-top:132.75pt;height:15.55pt;width:50.2pt;z-index:251667456;mso-width-relative:page;mso-height-relative:page;" filled="f" stroked="t" coordsize="21600,21600" o:gfxdata="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AnoIQ9gAAAALAQAADwAAAAAAAAABACAAAAAi&#10;AAAAZHJzL2Rvd25yZXYueG1sUEsBAhQAFAAAAAgAh07iQIGj8ApDAgAAiwQAAA4AAAAAAAAAAQAg&#10;AAAAJwEAAGRycy9lMm9Eb2MueG1sUEsFBgAAAAAGAAYAWQEAANwFAAAAAA==&#10;" adj="-2880,46769">
            <v:path/>
            <v:fill on="f" focussize="0,0"/>
            <v:stroke weight="1.5pt" color="#000000" joinstyle="miter"/>
            <v:imagedata o:title=""/>
            <o:lock v:ext="edit" aspectratio="f"/>
            <v:textbox inset="0mm,0mm,0mm,0mm">
              <w:txbxContent>
                <w:p w14:paraId="3CCBB171">
                  <w:pPr>
                    <w:ind w:firstLine="0" w:firstLineChars="0"/>
                    <w:rPr>
                      <w:rFonts w:hint="eastAsia" w:ascii="黑体" w:hAnsi="黑体" w:eastAsia="黑体" w:cs="黑体"/>
                    </w:rPr>
                  </w:pPr>
                  <w:r>
                    <w:rPr>
                      <w:rFonts w:hint="eastAsia" w:ascii="黑体" w:hAnsi="黑体" w:eastAsia="黑体" w:cs="黑体"/>
                      <w:sz w:val="18"/>
                      <w:szCs w:val="18"/>
                    </w:rPr>
                    <w:t>项目所在地</w:t>
                  </w:r>
                </w:p>
              </w:txbxContent>
            </v:textbox>
          </v:shape>
        </w:pict>
      </w:r>
      <w:r>
        <w:rPr>
          <w:rFonts w:hint="default" w:ascii="Times New Roman" w:hAnsi="Times New Roman" w:cs="Times New Roman"/>
          <w:color w:val="000000" w:themeColor="text1"/>
        </w:rPr>
        <w:pict>
          <v:shape id="_x0000_i1145" o:spt="75" alt="C:\Users\lv\Desktop\淮北评审后成果\更新成果表与图\图件\32淮北市土壤污染风险分区管控图.jpg" type="#_x0000_t75" style="height:586.85pt;width:415.3pt;" filled="f" o:preferrelative="t" stroked="f" coordsize="21600,21600">
            <v:path/>
            <v:fill on="f" focussize="0,0"/>
            <v:stroke on="f"/>
            <v:imagedata r:id="rId146" o:title=""/>
            <o:lock v:ext="edit" aspectratio="t"/>
            <w10:wrap type="none"/>
            <w10:anchorlock/>
          </v:shape>
        </w:pict>
      </w:r>
    </w:p>
    <w:p w14:paraId="2353AB6C">
      <w:pPr>
        <w:pStyle w:val="11"/>
        <w:rPr>
          <w:rFonts w:hint="default" w:ascii="Times New Roman" w:hAnsi="Times New Roman" w:cs="Times New Roman"/>
          <w:color w:val="000000" w:themeColor="text1"/>
          <w:lang w:val="en-US" w:eastAsia="zh-CN"/>
        </w:rPr>
      </w:pPr>
    </w:p>
    <w:p w14:paraId="3CC21A1F">
      <w:pPr>
        <w:pStyle w:val="157"/>
        <w:ind w:left="0" w:leftChars="0" w:firstLine="0" w:firstLineChars="0"/>
        <w:rPr>
          <w:rFonts w:hint="default"/>
          <w:color w:val="000000" w:themeColor="text1"/>
          <w:lang w:val="en-US" w:eastAsia="zh-CN"/>
        </w:rPr>
      </w:pPr>
    </w:p>
    <w:sectPr>
      <w:pgSz w:w="11906" w:h="16838"/>
      <w:pgMar w:top="1440" w:right="1800" w:bottom="1440" w:left="1800" w:header="907" w:footer="992" w:gutter="0"/>
      <w:cols w:space="720" w:num="1"/>
      <w:docGrid w:type="lines"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2"/>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等线 Light">
    <w:panose1 w:val="02010600030101010101"/>
    <w:charset w:val="86"/>
    <w:family w:val="auto"/>
    <w:pitch w:val="default"/>
    <w:sig w:usb0="A00002BF" w:usb1="38CF7CFA" w:usb2="00000016" w:usb3="00000000" w:csb0="0004000F" w:csb1="0000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Arial Black">
    <w:panose1 w:val="020B0A04020102020204"/>
    <w:charset w:val="00"/>
    <w:family w:val="swiss"/>
    <w:pitch w:val="default"/>
    <w:sig w:usb0="A00002AF" w:usb1="400078FB" w:usb2="00000000" w:usb3="00000000" w:csb0="6000009F" w:csb1="DFD70000"/>
  </w:font>
  <w:font w:name="monospace">
    <w:altName w:val="Segoe Print"/>
    <w:panose1 w:val="00000000000000000000"/>
    <w:charset w:val="00"/>
    <w:family w:val="auto"/>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Arial Unicode MS">
    <w:altName w:val="宋体"/>
    <w:panose1 w:val="020B0604020202020204"/>
    <w:charset w:val="86"/>
    <w:family w:val="swiss"/>
    <w:pitch w:val="default"/>
    <w:sig w:usb0="00000000" w:usb1="00000000" w:usb2="0000003F" w:usb3="00000000" w:csb0="603F01FF" w:csb1="FFFF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Tahoma">
    <w:panose1 w:val="020B0604030504040204"/>
    <w:charset w:val="00"/>
    <w:family w:val="swiss"/>
    <w:pitch w:val="default"/>
    <w:sig w:usb0="E1002EFF" w:usb1="C000605B" w:usb2="00000029" w:usb3="00000000" w:csb0="200101FF" w:csb1="20280000"/>
  </w:font>
  <w:font w:name="Wingdings 2">
    <w:panose1 w:val="05020102010507070707"/>
    <w:charset w:val="02"/>
    <w:family w:val="roman"/>
    <w:pitch w:val="default"/>
    <w:sig w:usb0="00000000" w:usb1="00000000" w:usb2="00000000" w:usb3="00000000" w:csb0="80000000"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4327BB">
    <w:pPr>
      <w:tabs>
        <w:tab w:val="center" w:pos="4153"/>
        <w:tab w:val="right" w:pos="8306"/>
      </w:tabs>
    </w:pPr>
    <w:r>
      <w:pict>
        <v:shape id="文本框 1031" o:spid="_x0000_s2049"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zql5uc8AAAAFAQAADwAAAAAAAAABACAAAAAiAAAAZHJzL2Rvd25yZXYu&#10;eG1sUEsBAhQAFAAAAAgAh07iQN7erhzLAQAAnQMAAA4AAAAAAAAAAQAgAAAAHgEAAGRycy9lMm9E&#10;b2MueG1sUEsFBgAAAAAGAAYAWQEAAFsFAAAAAA==&#10;">
          <v:path/>
          <v:fill on="f" focussize="0,0"/>
          <v:stroke on="f" joinstyle="miter"/>
          <v:imagedata o:title=""/>
          <o:lock v:ext="edit"/>
          <v:textbox inset="0mm,0mm,0mm,0mm" style="mso-fit-shape-to-text:t;">
            <w:txbxContent>
              <w:p w14:paraId="7DE6BD55">
                <w:pPr>
                  <w:tabs>
                    <w:tab w:val="center" w:pos="4153"/>
                    <w:tab w:val="right" w:pos="8306"/>
                  </w:tabs>
                </w:pPr>
                <w:r>
                  <w:fldChar w:fldCharType="begin"/>
                </w:r>
                <w:r>
                  <w:instrText xml:space="preserve"> PAGE  \* MERGEFORMAT </w:instrText>
                </w:r>
                <w:r>
                  <w:fldChar w:fldCharType="separate"/>
                </w:r>
                <w:r>
                  <w:t>69</w:t>
                </w:r>
                <w:r>
                  <w:fldChar w:fldCharType="end"/>
                </w:r>
              </w:p>
            </w:txbxContent>
          </v:textbox>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FAFF77">
    <w:pPr>
      <w:tabs>
        <w:tab w:val="center" w:pos="4153"/>
        <w:tab w:val="right" w:pos="8306"/>
      </w:tabs>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011A5B">
    <w:pPr>
      <w:tabs>
        <w:tab w:val="center" w:pos="4153"/>
        <w:tab w:val="right" w:pos="8306"/>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5914FCF"/>
    <w:multiLevelType w:val="singleLevel"/>
    <w:tmpl w:val="85914FCF"/>
    <w:lvl w:ilvl="0" w:tentative="0">
      <w:start w:val="2"/>
      <w:numFmt w:val="chineseCounting"/>
      <w:suff w:val="nothing"/>
      <w:lvlText w:val="%1、"/>
      <w:lvlJc w:val="left"/>
      <w:rPr>
        <w:rFonts w:hint="eastAsia"/>
      </w:rPr>
    </w:lvl>
  </w:abstractNum>
  <w:abstractNum w:abstractNumId="1">
    <w:nsid w:val="41862CA9"/>
    <w:multiLevelType w:val="multilevel"/>
    <w:tmpl w:val="41862CA9"/>
    <w:lvl w:ilvl="0" w:tentative="0">
      <w:start w:val="1"/>
      <w:numFmt w:val="decimal"/>
      <w:suff w:val="space"/>
      <w:lvlText w:val="%1"/>
      <w:lvlJc w:val="left"/>
      <w:pPr>
        <w:ind w:left="0" w:firstLine="0"/>
      </w:pPr>
      <w:rPr>
        <w:rFonts w:hint="eastAsia"/>
        <w:sz w:val="30"/>
        <w:szCs w:val="30"/>
      </w:rPr>
    </w:lvl>
    <w:lvl w:ilvl="1" w:tentative="0">
      <w:start w:val="1"/>
      <w:numFmt w:val="decimal"/>
      <w:pStyle w:val="51"/>
      <w:suff w:val="space"/>
      <w:lvlText w:val="%1.%2"/>
      <w:lvlJc w:val="left"/>
      <w:pPr>
        <w:ind w:left="1140" w:firstLine="0"/>
      </w:pPr>
      <w:rPr>
        <w:rFonts w:hint="default" w:ascii="Arial" w:hAnsi="Arial"/>
      </w:rPr>
    </w:lvl>
    <w:lvl w:ilvl="2" w:tentative="0">
      <w:start w:val="1"/>
      <w:numFmt w:val="decimal"/>
      <w:suff w:val="space"/>
      <w:lvlText w:val="%1.%2.%3"/>
      <w:lvlJc w:val="left"/>
      <w:pPr>
        <w:ind w:left="994" w:hanging="426"/>
      </w:pPr>
      <w:rPr>
        <w:rFonts w:hint="default" w:ascii="Arial" w:hAnsi="Arial"/>
      </w:rPr>
    </w:lvl>
    <w:lvl w:ilvl="3" w:tentative="0">
      <w:start w:val="1"/>
      <w:numFmt w:val="decimal"/>
      <w:suff w:val="nothing"/>
      <w:lvlText w:val="%1.%2.%3.%4"/>
      <w:lvlJc w:val="left"/>
      <w:pPr>
        <w:ind w:left="851" w:hanging="851"/>
      </w:pPr>
      <w:rPr>
        <w:rFonts w:hint="eastAsia" w:ascii="Arial" w:hAnsi="Arial"/>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2">
    <w:nsid w:val="5DBAA073"/>
    <w:multiLevelType w:val="singleLevel"/>
    <w:tmpl w:val="5DBAA073"/>
    <w:lvl w:ilvl="0" w:tentative="0">
      <w:start w:val="3"/>
      <w:numFmt w:val="decimal"/>
      <w:suff w:val="nothing"/>
      <w:lvlText w:val="（%1）"/>
      <w:lvlJc w:val="left"/>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0"/>
  <w:bordersDoNotSurroundFooter w:val="0"/>
  <w:hideSpellingErrors/>
  <w:doNotTrackMoves/>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docVars>
    <w:docVar w:name="commondata" w:val="eyJoZGlkIjoiOTkwZDNkOWQwMjI0ODExZTUxMGUxYWVkMTI4N2U2ZjEifQ=="/>
  </w:docVars>
  <w:rsids>
    <w:rsidRoot w:val="00A14947"/>
    <w:rsid w:val="00003758"/>
    <w:rsid w:val="000060B3"/>
    <w:rsid w:val="000140D3"/>
    <w:rsid w:val="0001529E"/>
    <w:rsid w:val="000172BE"/>
    <w:rsid w:val="00023BB2"/>
    <w:rsid w:val="00025565"/>
    <w:rsid w:val="00025CB6"/>
    <w:rsid w:val="000311E1"/>
    <w:rsid w:val="000364F4"/>
    <w:rsid w:val="00040478"/>
    <w:rsid w:val="00041EAB"/>
    <w:rsid w:val="0004364B"/>
    <w:rsid w:val="0004685D"/>
    <w:rsid w:val="00061B1F"/>
    <w:rsid w:val="000628CC"/>
    <w:rsid w:val="00071CF5"/>
    <w:rsid w:val="000733C4"/>
    <w:rsid w:val="00074783"/>
    <w:rsid w:val="00074E9B"/>
    <w:rsid w:val="000805E1"/>
    <w:rsid w:val="0008070B"/>
    <w:rsid w:val="000810AC"/>
    <w:rsid w:val="00081A02"/>
    <w:rsid w:val="00082231"/>
    <w:rsid w:val="00083E7B"/>
    <w:rsid w:val="00087F94"/>
    <w:rsid w:val="00090DD2"/>
    <w:rsid w:val="00092D38"/>
    <w:rsid w:val="0009377B"/>
    <w:rsid w:val="000A20C9"/>
    <w:rsid w:val="000A3BC1"/>
    <w:rsid w:val="000B058F"/>
    <w:rsid w:val="000B1B77"/>
    <w:rsid w:val="000B4467"/>
    <w:rsid w:val="000B4DB9"/>
    <w:rsid w:val="000C09AC"/>
    <w:rsid w:val="000C767F"/>
    <w:rsid w:val="000D4F12"/>
    <w:rsid w:val="000D5A44"/>
    <w:rsid w:val="000E3ED2"/>
    <w:rsid w:val="000E7994"/>
    <w:rsid w:val="000F692D"/>
    <w:rsid w:val="000F7B37"/>
    <w:rsid w:val="00111DB4"/>
    <w:rsid w:val="00113C48"/>
    <w:rsid w:val="00117071"/>
    <w:rsid w:val="001206BB"/>
    <w:rsid w:val="00130741"/>
    <w:rsid w:val="0013144C"/>
    <w:rsid w:val="00131F42"/>
    <w:rsid w:val="001357F1"/>
    <w:rsid w:val="00140FA8"/>
    <w:rsid w:val="00142284"/>
    <w:rsid w:val="00142AC7"/>
    <w:rsid w:val="00142FEB"/>
    <w:rsid w:val="00143A2D"/>
    <w:rsid w:val="00145A41"/>
    <w:rsid w:val="00147F40"/>
    <w:rsid w:val="00151675"/>
    <w:rsid w:val="00154A86"/>
    <w:rsid w:val="00157435"/>
    <w:rsid w:val="00160E2A"/>
    <w:rsid w:val="00162B9F"/>
    <w:rsid w:val="00171552"/>
    <w:rsid w:val="0017404D"/>
    <w:rsid w:val="0017504D"/>
    <w:rsid w:val="0017671A"/>
    <w:rsid w:val="00177422"/>
    <w:rsid w:val="001815BB"/>
    <w:rsid w:val="00184590"/>
    <w:rsid w:val="001870D1"/>
    <w:rsid w:val="0018781E"/>
    <w:rsid w:val="0019262D"/>
    <w:rsid w:val="001A1B35"/>
    <w:rsid w:val="001A2841"/>
    <w:rsid w:val="001A48A2"/>
    <w:rsid w:val="001A6CCE"/>
    <w:rsid w:val="001A6F61"/>
    <w:rsid w:val="001B1D66"/>
    <w:rsid w:val="001B2676"/>
    <w:rsid w:val="001B72B8"/>
    <w:rsid w:val="001C69B3"/>
    <w:rsid w:val="001D3D6A"/>
    <w:rsid w:val="001D5595"/>
    <w:rsid w:val="001D71CF"/>
    <w:rsid w:val="001D7874"/>
    <w:rsid w:val="001D7F22"/>
    <w:rsid w:val="001E42F6"/>
    <w:rsid w:val="001F0F17"/>
    <w:rsid w:val="001F23D3"/>
    <w:rsid w:val="001F3347"/>
    <w:rsid w:val="001F69E4"/>
    <w:rsid w:val="001F73FF"/>
    <w:rsid w:val="00204593"/>
    <w:rsid w:val="002062AF"/>
    <w:rsid w:val="002125B4"/>
    <w:rsid w:val="00212794"/>
    <w:rsid w:val="002137D6"/>
    <w:rsid w:val="002155B8"/>
    <w:rsid w:val="002158A0"/>
    <w:rsid w:val="00215CBE"/>
    <w:rsid w:val="00216630"/>
    <w:rsid w:val="002173C2"/>
    <w:rsid w:val="002173FF"/>
    <w:rsid w:val="00220597"/>
    <w:rsid w:val="00224839"/>
    <w:rsid w:val="002249B2"/>
    <w:rsid w:val="00226574"/>
    <w:rsid w:val="002278EC"/>
    <w:rsid w:val="00232177"/>
    <w:rsid w:val="0023280E"/>
    <w:rsid w:val="00236577"/>
    <w:rsid w:val="002377D1"/>
    <w:rsid w:val="00237D18"/>
    <w:rsid w:val="0024173B"/>
    <w:rsid w:val="002506BC"/>
    <w:rsid w:val="00254345"/>
    <w:rsid w:val="00264557"/>
    <w:rsid w:val="00264634"/>
    <w:rsid w:val="00267D86"/>
    <w:rsid w:val="00274BAA"/>
    <w:rsid w:val="00276674"/>
    <w:rsid w:val="002805AB"/>
    <w:rsid w:val="002814E8"/>
    <w:rsid w:val="00284204"/>
    <w:rsid w:val="0028587C"/>
    <w:rsid w:val="00287AEA"/>
    <w:rsid w:val="00291773"/>
    <w:rsid w:val="00293B07"/>
    <w:rsid w:val="002944DF"/>
    <w:rsid w:val="00294BD3"/>
    <w:rsid w:val="0029758A"/>
    <w:rsid w:val="002979FD"/>
    <w:rsid w:val="002A168C"/>
    <w:rsid w:val="002A18D1"/>
    <w:rsid w:val="002A217F"/>
    <w:rsid w:val="002A28AF"/>
    <w:rsid w:val="002A3DC7"/>
    <w:rsid w:val="002A774B"/>
    <w:rsid w:val="002B01F2"/>
    <w:rsid w:val="002B3319"/>
    <w:rsid w:val="002B49E2"/>
    <w:rsid w:val="002B7B00"/>
    <w:rsid w:val="002B7C44"/>
    <w:rsid w:val="002C1071"/>
    <w:rsid w:val="002C27C5"/>
    <w:rsid w:val="002C2B17"/>
    <w:rsid w:val="002C3A6B"/>
    <w:rsid w:val="002C653F"/>
    <w:rsid w:val="002D113D"/>
    <w:rsid w:val="002D3DD0"/>
    <w:rsid w:val="002D5607"/>
    <w:rsid w:val="002D787F"/>
    <w:rsid w:val="002D789C"/>
    <w:rsid w:val="002E1F3A"/>
    <w:rsid w:val="002E298A"/>
    <w:rsid w:val="002E4234"/>
    <w:rsid w:val="002E522F"/>
    <w:rsid w:val="002F220B"/>
    <w:rsid w:val="002F772B"/>
    <w:rsid w:val="00301978"/>
    <w:rsid w:val="00302B3B"/>
    <w:rsid w:val="0030332C"/>
    <w:rsid w:val="00303C41"/>
    <w:rsid w:val="003051C2"/>
    <w:rsid w:val="00306C86"/>
    <w:rsid w:val="003100A5"/>
    <w:rsid w:val="00312296"/>
    <w:rsid w:val="00314F0E"/>
    <w:rsid w:val="00321D8E"/>
    <w:rsid w:val="0032287E"/>
    <w:rsid w:val="00323CB6"/>
    <w:rsid w:val="00325928"/>
    <w:rsid w:val="003273F5"/>
    <w:rsid w:val="00331E7C"/>
    <w:rsid w:val="00332863"/>
    <w:rsid w:val="003340A0"/>
    <w:rsid w:val="0033684D"/>
    <w:rsid w:val="00337B42"/>
    <w:rsid w:val="00340957"/>
    <w:rsid w:val="00341B42"/>
    <w:rsid w:val="0034348F"/>
    <w:rsid w:val="00353B38"/>
    <w:rsid w:val="00356653"/>
    <w:rsid w:val="0035743F"/>
    <w:rsid w:val="00357717"/>
    <w:rsid w:val="00357BE2"/>
    <w:rsid w:val="0036170C"/>
    <w:rsid w:val="00366E0F"/>
    <w:rsid w:val="0037155F"/>
    <w:rsid w:val="00372FE7"/>
    <w:rsid w:val="003759BD"/>
    <w:rsid w:val="00381A72"/>
    <w:rsid w:val="00384676"/>
    <w:rsid w:val="00390857"/>
    <w:rsid w:val="00391566"/>
    <w:rsid w:val="003924BD"/>
    <w:rsid w:val="00393998"/>
    <w:rsid w:val="00394B0E"/>
    <w:rsid w:val="003A4425"/>
    <w:rsid w:val="003A4BF3"/>
    <w:rsid w:val="003A4FD0"/>
    <w:rsid w:val="003B420D"/>
    <w:rsid w:val="003C0B2B"/>
    <w:rsid w:val="003C6C16"/>
    <w:rsid w:val="003D794D"/>
    <w:rsid w:val="003E0FDC"/>
    <w:rsid w:val="003E3058"/>
    <w:rsid w:val="003E76A9"/>
    <w:rsid w:val="003F0809"/>
    <w:rsid w:val="003F1448"/>
    <w:rsid w:val="003F339A"/>
    <w:rsid w:val="003F6A8C"/>
    <w:rsid w:val="003F755C"/>
    <w:rsid w:val="00406F01"/>
    <w:rsid w:val="00416D50"/>
    <w:rsid w:val="00416FD5"/>
    <w:rsid w:val="00417772"/>
    <w:rsid w:val="00420E6A"/>
    <w:rsid w:val="00425A9E"/>
    <w:rsid w:val="00426D6B"/>
    <w:rsid w:val="00431E6C"/>
    <w:rsid w:val="00433CE7"/>
    <w:rsid w:val="004357C3"/>
    <w:rsid w:val="0044102E"/>
    <w:rsid w:val="004422D7"/>
    <w:rsid w:val="00452738"/>
    <w:rsid w:val="00456091"/>
    <w:rsid w:val="00457068"/>
    <w:rsid w:val="00461093"/>
    <w:rsid w:val="00464BB8"/>
    <w:rsid w:val="00466321"/>
    <w:rsid w:val="00476D1B"/>
    <w:rsid w:val="00477981"/>
    <w:rsid w:val="00481EAD"/>
    <w:rsid w:val="00484B9B"/>
    <w:rsid w:val="004855F6"/>
    <w:rsid w:val="0048661E"/>
    <w:rsid w:val="00492BD9"/>
    <w:rsid w:val="00494670"/>
    <w:rsid w:val="004A3823"/>
    <w:rsid w:val="004A4E88"/>
    <w:rsid w:val="004A6A25"/>
    <w:rsid w:val="004A7FC4"/>
    <w:rsid w:val="004B2D5C"/>
    <w:rsid w:val="004B6D9A"/>
    <w:rsid w:val="004C20C8"/>
    <w:rsid w:val="004C55B5"/>
    <w:rsid w:val="004C5696"/>
    <w:rsid w:val="004C666D"/>
    <w:rsid w:val="004D5B5F"/>
    <w:rsid w:val="004E0F99"/>
    <w:rsid w:val="004E177C"/>
    <w:rsid w:val="004E6946"/>
    <w:rsid w:val="004E6DD1"/>
    <w:rsid w:val="004F1AD8"/>
    <w:rsid w:val="004F496D"/>
    <w:rsid w:val="004F513B"/>
    <w:rsid w:val="00500F06"/>
    <w:rsid w:val="005039CB"/>
    <w:rsid w:val="0050558F"/>
    <w:rsid w:val="00506286"/>
    <w:rsid w:val="00510813"/>
    <w:rsid w:val="00511990"/>
    <w:rsid w:val="00511DE0"/>
    <w:rsid w:val="00514870"/>
    <w:rsid w:val="00514B9B"/>
    <w:rsid w:val="00517CAC"/>
    <w:rsid w:val="00517F02"/>
    <w:rsid w:val="00520700"/>
    <w:rsid w:val="00520F3E"/>
    <w:rsid w:val="00522117"/>
    <w:rsid w:val="00524303"/>
    <w:rsid w:val="005258A2"/>
    <w:rsid w:val="00525CBD"/>
    <w:rsid w:val="00533B98"/>
    <w:rsid w:val="005401AE"/>
    <w:rsid w:val="00541CCC"/>
    <w:rsid w:val="00542E07"/>
    <w:rsid w:val="00543A8C"/>
    <w:rsid w:val="00545424"/>
    <w:rsid w:val="0054585F"/>
    <w:rsid w:val="00545C11"/>
    <w:rsid w:val="0055421D"/>
    <w:rsid w:val="00554A7B"/>
    <w:rsid w:val="0055572C"/>
    <w:rsid w:val="00556E25"/>
    <w:rsid w:val="0056106A"/>
    <w:rsid w:val="00565A4E"/>
    <w:rsid w:val="0056631F"/>
    <w:rsid w:val="005720AE"/>
    <w:rsid w:val="005853F3"/>
    <w:rsid w:val="00587929"/>
    <w:rsid w:val="00594D77"/>
    <w:rsid w:val="005952DC"/>
    <w:rsid w:val="005969E4"/>
    <w:rsid w:val="005A06B7"/>
    <w:rsid w:val="005A0D4E"/>
    <w:rsid w:val="005A1759"/>
    <w:rsid w:val="005A1F53"/>
    <w:rsid w:val="005A68A7"/>
    <w:rsid w:val="005B66E5"/>
    <w:rsid w:val="005C6C02"/>
    <w:rsid w:val="005D0091"/>
    <w:rsid w:val="005D2E7A"/>
    <w:rsid w:val="005D36AB"/>
    <w:rsid w:val="005E1EBD"/>
    <w:rsid w:val="005F438E"/>
    <w:rsid w:val="00602AC0"/>
    <w:rsid w:val="00605F72"/>
    <w:rsid w:val="00612E5C"/>
    <w:rsid w:val="00617CC3"/>
    <w:rsid w:val="006255AC"/>
    <w:rsid w:val="006306B3"/>
    <w:rsid w:val="00632DE6"/>
    <w:rsid w:val="0063325E"/>
    <w:rsid w:val="00637256"/>
    <w:rsid w:val="006377A6"/>
    <w:rsid w:val="00637A3D"/>
    <w:rsid w:val="006411EF"/>
    <w:rsid w:val="00641DF1"/>
    <w:rsid w:val="00646D74"/>
    <w:rsid w:val="00661674"/>
    <w:rsid w:val="00665B99"/>
    <w:rsid w:val="006748B8"/>
    <w:rsid w:val="006775C3"/>
    <w:rsid w:val="0068119A"/>
    <w:rsid w:val="00683111"/>
    <w:rsid w:val="0069290A"/>
    <w:rsid w:val="006929F1"/>
    <w:rsid w:val="0069775A"/>
    <w:rsid w:val="00697813"/>
    <w:rsid w:val="006A17CE"/>
    <w:rsid w:val="006A3EE8"/>
    <w:rsid w:val="006A72BF"/>
    <w:rsid w:val="006A72D8"/>
    <w:rsid w:val="006B03F2"/>
    <w:rsid w:val="006B0BB6"/>
    <w:rsid w:val="006B37DC"/>
    <w:rsid w:val="006B4F68"/>
    <w:rsid w:val="006B5E61"/>
    <w:rsid w:val="006B6762"/>
    <w:rsid w:val="006C0592"/>
    <w:rsid w:val="006C272E"/>
    <w:rsid w:val="006C3F1D"/>
    <w:rsid w:val="006C5479"/>
    <w:rsid w:val="006D13B5"/>
    <w:rsid w:val="006D6AF4"/>
    <w:rsid w:val="006E12FF"/>
    <w:rsid w:val="006E191C"/>
    <w:rsid w:val="006E5F68"/>
    <w:rsid w:val="006E607E"/>
    <w:rsid w:val="00700391"/>
    <w:rsid w:val="00706C5D"/>
    <w:rsid w:val="00721E31"/>
    <w:rsid w:val="00722E95"/>
    <w:rsid w:val="00725A2C"/>
    <w:rsid w:val="00727293"/>
    <w:rsid w:val="00732922"/>
    <w:rsid w:val="0075162E"/>
    <w:rsid w:val="00751DD4"/>
    <w:rsid w:val="00752D71"/>
    <w:rsid w:val="00754034"/>
    <w:rsid w:val="00756556"/>
    <w:rsid w:val="00757976"/>
    <w:rsid w:val="007618C4"/>
    <w:rsid w:val="00767980"/>
    <w:rsid w:val="00770B19"/>
    <w:rsid w:val="00773D23"/>
    <w:rsid w:val="0077463F"/>
    <w:rsid w:val="007836EA"/>
    <w:rsid w:val="00784CDA"/>
    <w:rsid w:val="007863D7"/>
    <w:rsid w:val="007900D5"/>
    <w:rsid w:val="007906C4"/>
    <w:rsid w:val="007940EA"/>
    <w:rsid w:val="007967E8"/>
    <w:rsid w:val="007A215E"/>
    <w:rsid w:val="007A2170"/>
    <w:rsid w:val="007A22BF"/>
    <w:rsid w:val="007A3323"/>
    <w:rsid w:val="007B67A5"/>
    <w:rsid w:val="007B6BC7"/>
    <w:rsid w:val="007B72B8"/>
    <w:rsid w:val="007B7A58"/>
    <w:rsid w:val="007C1741"/>
    <w:rsid w:val="007C21B5"/>
    <w:rsid w:val="007D0FC1"/>
    <w:rsid w:val="007D3348"/>
    <w:rsid w:val="007D3898"/>
    <w:rsid w:val="007E1902"/>
    <w:rsid w:val="007E4BD2"/>
    <w:rsid w:val="007F039E"/>
    <w:rsid w:val="00801393"/>
    <w:rsid w:val="00802F88"/>
    <w:rsid w:val="008032EC"/>
    <w:rsid w:val="00805C99"/>
    <w:rsid w:val="00806B7C"/>
    <w:rsid w:val="0081293E"/>
    <w:rsid w:val="00815465"/>
    <w:rsid w:val="00817E9A"/>
    <w:rsid w:val="008306BD"/>
    <w:rsid w:val="00831A80"/>
    <w:rsid w:val="00833743"/>
    <w:rsid w:val="0083389D"/>
    <w:rsid w:val="008340A4"/>
    <w:rsid w:val="008367B5"/>
    <w:rsid w:val="00837B5E"/>
    <w:rsid w:val="008412E7"/>
    <w:rsid w:val="008423C4"/>
    <w:rsid w:val="0084691C"/>
    <w:rsid w:val="0085028C"/>
    <w:rsid w:val="00866C4B"/>
    <w:rsid w:val="00866F48"/>
    <w:rsid w:val="0087135F"/>
    <w:rsid w:val="00872D94"/>
    <w:rsid w:val="00873543"/>
    <w:rsid w:val="00880364"/>
    <w:rsid w:val="008838F9"/>
    <w:rsid w:val="00886A3F"/>
    <w:rsid w:val="008876EB"/>
    <w:rsid w:val="00891592"/>
    <w:rsid w:val="00891E9E"/>
    <w:rsid w:val="008A2F68"/>
    <w:rsid w:val="008B1417"/>
    <w:rsid w:val="008B4FA6"/>
    <w:rsid w:val="008B5282"/>
    <w:rsid w:val="008B5F86"/>
    <w:rsid w:val="008B7C17"/>
    <w:rsid w:val="008C04A5"/>
    <w:rsid w:val="008C2D01"/>
    <w:rsid w:val="008C40E6"/>
    <w:rsid w:val="008D0F7A"/>
    <w:rsid w:val="008D1A04"/>
    <w:rsid w:val="008D262A"/>
    <w:rsid w:val="008D68E4"/>
    <w:rsid w:val="008E0506"/>
    <w:rsid w:val="008E0CFF"/>
    <w:rsid w:val="008E5D6B"/>
    <w:rsid w:val="008E76F0"/>
    <w:rsid w:val="008F0E73"/>
    <w:rsid w:val="008F15FE"/>
    <w:rsid w:val="008F20D7"/>
    <w:rsid w:val="008F2D29"/>
    <w:rsid w:val="008F5187"/>
    <w:rsid w:val="008F60D8"/>
    <w:rsid w:val="00902727"/>
    <w:rsid w:val="0090312B"/>
    <w:rsid w:val="0091736D"/>
    <w:rsid w:val="00923BF0"/>
    <w:rsid w:val="009264D9"/>
    <w:rsid w:val="0093037A"/>
    <w:rsid w:val="0093164B"/>
    <w:rsid w:val="0094154D"/>
    <w:rsid w:val="0095155F"/>
    <w:rsid w:val="0095316C"/>
    <w:rsid w:val="00954429"/>
    <w:rsid w:val="009563CE"/>
    <w:rsid w:val="00957CB0"/>
    <w:rsid w:val="00957D08"/>
    <w:rsid w:val="00967291"/>
    <w:rsid w:val="009716B4"/>
    <w:rsid w:val="0097207F"/>
    <w:rsid w:val="00976328"/>
    <w:rsid w:val="0097680D"/>
    <w:rsid w:val="00976AD2"/>
    <w:rsid w:val="00982438"/>
    <w:rsid w:val="0098404C"/>
    <w:rsid w:val="0098511F"/>
    <w:rsid w:val="00985283"/>
    <w:rsid w:val="00995265"/>
    <w:rsid w:val="00995992"/>
    <w:rsid w:val="009A03E5"/>
    <w:rsid w:val="009A0F3B"/>
    <w:rsid w:val="009A1BB4"/>
    <w:rsid w:val="009A2437"/>
    <w:rsid w:val="009A2628"/>
    <w:rsid w:val="009A286F"/>
    <w:rsid w:val="009A3200"/>
    <w:rsid w:val="009A633F"/>
    <w:rsid w:val="009B0897"/>
    <w:rsid w:val="009B12F4"/>
    <w:rsid w:val="009B2013"/>
    <w:rsid w:val="009B7BD9"/>
    <w:rsid w:val="009C7DD5"/>
    <w:rsid w:val="009E227D"/>
    <w:rsid w:val="009E5019"/>
    <w:rsid w:val="009E6451"/>
    <w:rsid w:val="009E78EB"/>
    <w:rsid w:val="009F25AC"/>
    <w:rsid w:val="00A04F1B"/>
    <w:rsid w:val="00A0501B"/>
    <w:rsid w:val="00A079CB"/>
    <w:rsid w:val="00A07C92"/>
    <w:rsid w:val="00A14947"/>
    <w:rsid w:val="00A17E8B"/>
    <w:rsid w:val="00A17EDB"/>
    <w:rsid w:val="00A21F9D"/>
    <w:rsid w:val="00A31120"/>
    <w:rsid w:val="00A312FE"/>
    <w:rsid w:val="00A31B67"/>
    <w:rsid w:val="00A32A83"/>
    <w:rsid w:val="00A368DB"/>
    <w:rsid w:val="00A369A0"/>
    <w:rsid w:val="00A423AA"/>
    <w:rsid w:val="00A44E97"/>
    <w:rsid w:val="00A51F37"/>
    <w:rsid w:val="00A53EC6"/>
    <w:rsid w:val="00A54533"/>
    <w:rsid w:val="00A54A56"/>
    <w:rsid w:val="00A54D8B"/>
    <w:rsid w:val="00A55C0F"/>
    <w:rsid w:val="00A55D63"/>
    <w:rsid w:val="00A635E5"/>
    <w:rsid w:val="00A65C45"/>
    <w:rsid w:val="00A67D91"/>
    <w:rsid w:val="00A7091A"/>
    <w:rsid w:val="00A73B1E"/>
    <w:rsid w:val="00A73BD3"/>
    <w:rsid w:val="00A7767C"/>
    <w:rsid w:val="00A80316"/>
    <w:rsid w:val="00A8048F"/>
    <w:rsid w:val="00A8713F"/>
    <w:rsid w:val="00A90BA1"/>
    <w:rsid w:val="00A911A9"/>
    <w:rsid w:val="00A94843"/>
    <w:rsid w:val="00A950EC"/>
    <w:rsid w:val="00A97A9A"/>
    <w:rsid w:val="00AA0671"/>
    <w:rsid w:val="00AA2531"/>
    <w:rsid w:val="00AA6BAB"/>
    <w:rsid w:val="00AB1E09"/>
    <w:rsid w:val="00AB5330"/>
    <w:rsid w:val="00AB6465"/>
    <w:rsid w:val="00AB67AE"/>
    <w:rsid w:val="00AB7747"/>
    <w:rsid w:val="00AC14CE"/>
    <w:rsid w:val="00AC1F6B"/>
    <w:rsid w:val="00AC257B"/>
    <w:rsid w:val="00AC2A56"/>
    <w:rsid w:val="00AC2BEB"/>
    <w:rsid w:val="00AC36E0"/>
    <w:rsid w:val="00AD0290"/>
    <w:rsid w:val="00AD055E"/>
    <w:rsid w:val="00AD0824"/>
    <w:rsid w:val="00AD47A7"/>
    <w:rsid w:val="00AD53C3"/>
    <w:rsid w:val="00AD6EF8"/>
    <w:rsid w:val="00AE2428"/>
    <w:rsid w:val="00AE5816"/>
    <w:rsid w:val="00AF0CBF"/>
    <w:rsid w:val="00AF257F"/>
    <w:rsid w:val="00AF33CF"/>
    <w:rsid w:val="00AF4D50"/>
    <w:rsid w:val="00AF59D2"/>
    <w:rsid w:val="00AF6179"/>
    <w:rsid w:val="00AF79F3"/>
    <w:rsid w:val="00B1295A"/>
    <w:rsid w:val="00B179A0"/>
    <w:rsid w:val="00B20A45"/>
    <w:rsid w:val="00B22C5C"/>
    <w:rsid w:val="00B23A30"/>
    <w:rsid w:val="00B23EC7"/>
    <w:rsid w:val="00B24F30"/>
    <w:rsid w:val="00B26EFD"/>
    <w:rsid w:val="00B31ABF"/>
    <w:rsid w:val="00B33BE3"/>
    <w:rsid w:val="00B348AA"/>
    <w:rsid w:val="00B3490B"/>
    <w:rsid w:val="00B401AD"/>
    <w:rsid w:val="00B50541"/>
    <w:rsid w:val="00B53B5D"/>
    <w:rsid w:val="00B6055E"/>
    <w:rsid w:val="00B6317D"/>
    <w:rsid w:val="00B7723F"/>
    <w:rsid w:val="00B80534"/>
    <w:rsid w:val="00B807E8"/>
    <w:rsid w:val="00B82255"/>
    <w:rsid w:val="00B8433C"/>
    <w:rsid w:val="00B86413"/>
    <w:rsid w:val="00B87491"/>
    <w:rsid w:val="00BA29E9"/>
    <w:rsid w:val="00BA6E5A"/>
    <w:rsid w:val="00BA7142"/>
    <w:rsid w:val="00BB237C"/>
    <w:rsid w:val="00BB35EB"/>
    <w:rsid w:val="00BB41A3"/>
    <w:rsid w:val="00BB4464"/>
    <w:rsid w:val="00BB5E4F"/>
    <w:rsid w:val="00BC32DC"/>
    <w:rsid w:val="00BC35B6"/>
    <w:rsid w:val="00BC67AD"/>
    <w:rsid w:val="00BC7177"/>
    <w:rsid w:val="00BD1B51"/>
    <w:rsid w:val="00BD420C"/>
    <w:rsid w:val="00BD4596"/>
    <w:rsid w:val="00BE0754"/>
    <w:rsid w:val="00BE0FAE"/>
    <w:rsid w:val="00BE1405"/>
    <w:rsid w:val="00BE312D"/>
    <w:rsid w:val="00BE3153"/>
    <w:rsid w:val="00BE47B9"/>
    <w:rsid w:val="00BF1C20"/>
    <w:rsid w:val="00BF6159"/>
    <w:rsid w:val="00BF6ED8"/>
    <w:rsid w:val="00BF7C74"/>
    <w:rsid w:val="00C05AA3"/>
    <w:rsid w:val="00C10578"/>
    <w:rsid w:val="00C1197F"/>
    <w:rsid w:val="00C12A83"/>
    <w:rsid w:val="00C135BC"/>
    <w:rsid w:val="00C15C95"/>
    <w:rsid w:val="00C1610C"/>
    <w:rsid w:val="00C202DE"/>
    <w:rsid w:val="00C21459"/>
    <w:rsid w:val="00C2596A"/>
    <w:rsid w:val="00C2651E"/>
    <w:rsid w:val="00C27537"/>
    <w:rsid w:val="00C30399"/>
    <w:rsid w:val="00C30B92"/>
    <w:rsid w:val="00C328FE"/>
    <w:rsid w:val="00C33507"/>
    <w:rsid w:val="00C3487A"/>
    <w:rsid w:val="00C374BF"/>
    <w:rsid w:val="00C40D66"/>
    <w:rsid w:val="00C4409D"/>
    <w:rsid w:val="00C44E72"/>
    <w:rsid w:val="00C44F11"/>
    <w:rsid w:val="00C45A06"/>
    <w:rsid w:val="00C47E5B"/>
    <w:rsid w:val="00C50DDA"/>
    <w:rsid w:val="00C60890"/>
    <w:rsid w:val="00C61E4B"/>
    <w:rsid w:val="00C64BFF"/>
    <w:rsid w:val="00C704E9"/>
    <w:rsid w:val="00C744D0"/>
    <w:rsid w:val="00C763C9"/>
    <w:rsid w:val="00C80057"/>
    <w:rsid w:val="00C81CB1"/>
    <w:rsid w:val="00C82232"/>
    <w:rsid w:val="00C82913"/>
    <w:rsid w:val="00C854CD"/>
    <w:rsid w:val="00C87D68"/>
    <w:rsid w:val="00C93B94"/>
    <w:rsid w:val="00C94BBF"/>
    <w:rsid w:val="00C972B1"/>
    <w:rsid w:val="00CA2CCE"/>
    <w:rsid w:val="00CA43FD"/>
    <w:rsid w:val="00CA7EF8"/>
    <w:rsid w:val="00CB09E7"/>
    <w:rsid w:val="00CB4219"/>
    <w:rsid w:val="00CB5274"/>
    <w:rsid w:val="00CB5DEE"/>
    <w:rsid w:val="00CB77D1"/>
    <w:rsid w:val="00CC489B"/>
    <w:rsid w:val="00CD2BCD"/>
    <w:rsid w:val="00CD3A4C"/>
    <w:rsid w:val="00CE10E9"/>
    <w:rsid w:val="00CE1FF9"/>
    <w:rsid w:val="00CE2910"/>
    <w:rsid w:val="00CE5393"/>
    <w:rsid w:val="00CF36BE"/>
    <w:rsid w:val="00CF4821"/>
    <w:rsid w:val="00CF6000"/>
    <w:rsid w:val="00CF7F84"/>
    <w:rsid w:val="00D003F3"/>
    <w:rsid w:val="00D0364F"/>
    <w:rsid w:val="00D04F93"/>
    <w:rsid w:val="00D06834"/>
    <w:rsid w:val="00D27703"/>
    <w:rsid w:val="00D308ED"/>
    <w:rsid w:val="00D3323B"/>
    <w:rsid w:val="00D36D86"/>
    <w:rsid w:val="00D428AA"/>
    <w:rsid w:val="00D42E7F"/>
    <w:rsid w:val="00D4509B"/>
    <w:rsid w:val="00D50A34"/>
    <w:rsid w:val="00D53EFA"/>
    <w:rsid w:val="00D6007C"/>
    <w:rsid w:val="00D6700E"/>
    <w:rsid w:val="00D8103D"/>
    <w:rsid w:val="00D84B15"/>
    <w:rsid w:val="00D85267"/>
    <w:rsid w:val="00D91800"/>
    <w:rsid w:val="00D94A7C"/>
    <w:rsid w:val="00D95896"/>
    <w:rsid w:val="00DA288E"/>
    <w:rsid w:val="00DA3862"/>
    <w:rsid w:val="00DA7882"/>
    <w:rsid w:val="00DB2983"/>
    <w:rsid w:val="00DB45C9"/>
    <w:rsid w:val="00DC11B0"/>
    <w:rsid w:val="00DC1257"/>
    <w:rsid w:val="00DC3DC0"/>
    <w:rsid w:val="00DC4CE9"/>
    <w:rsid w:val="00DC5B2B"/>
    <w:rsid w:val="00DC6746"/>
    <w:rsid w:val="00DC6863"/>
    <w:rsid w:val="00DC7445"/>
    <w:rsid w:val="00DD318D"/>
    <w:rsid w:val="00DD5E1E"/>
    <w:rsid w:val="00DE1523"/>
    <w:rsid w:val="00DE61F1"/>
    <w:rsid w:val="00DE76DB"/>
    <w:rsid w:val="00DF1514"/>
    <w:rsid w:val="00DF2E12"/>
    <w:rsid w:val="00DF514A"/>
    <w:rsid w:val="00DF6690"/>
    <w:rsid w:val="00DF6804"/>
    <w:rsid w:val="00E0358D"/>
    <w:rsid w:val="00E04323"/>
    <w:rsid w:val="00E070A2"/>
    <w:rsid w:val="00E07712"/>
    <w:rsid w:val="00E12439"/>
    <w:rsid w:val="00E1489F"/>
    <w:rsid w:val="00E1671E"/>
    <w:rsid w:val="00E222E8"/>
    <w:rsid w:val="00E2656A"/>
    <w:rsid w:val="00E3328A"/>
    <w:rsid w:val="00E37EB1"/>
    <w:rsid w:val="00E412D0"/>
    <w:rsid w:val="00E45465"/>
    <w:rsid w:val="00E53937"/>
    <w:rsid w:val="00E55874"/>
    <w:rsid w:val="00E56322"/>
    <w:rsid w:val="00E60982"/>
    <w:rsid w:val="00E62C62"/>
    <w:rsid w:val="00E62F05"/>
    <w:rsid w:val="00E63583"/>
    <w:rsid w:val="00E654C1"/>
    <w:rsid w:val="00E65D97"/>
    <w:rsid w:val="00E66FB3"/>
    <w:rsid w:val="00E72A5A"/>
    <w:rsid w:val="00E73354"/>
    <w:rsid w:val="00E77542"/>
    <w:rsid w:val="00E83AA5"/>
    <w:rsid w:val="00E9242D"/>
    <w:rsid w:val="00E938B8"/>
    <w:rsid w:val="00EA38C3"/>
    <w:rsid w:val="00EB3100"/>
    <w:rsid w:val="00EB5255"/>
    <w:rsid w:val="00EB5C47"/>
    <w:rsid w:val="00EB7AA1"/>
    <w:rsid w:val="00EC1098"/>
    <w:rsid w:val="00EC66CC"/>
    <w:rsid w:val="00ED0639"/>
    <w:rsid w:val="00ED0FD3"/>
    <w:rsid w:val="00ED156B"/>
    <w:rsid w:val="00ED1AD9"/>
    <w:rsid w:val="00ED3021"/>
    <w:rsid w:val="00ED7B82"/>
    <w:rsid w:val="00EF4755"/>
    <w:rsid w:val="00EF7135"/>
    <w:rsid w:val="00F027DB"/>
    <w:rsid w:val="00F0320F"/>
    <w:rsid w:val="00F14A7A"/>
    <w:rsid w:val="00F17F30"/>
    <w:rsid w:val="00F222E3"/>
    <w:rsid w:val="00F22985"/>
    <w:rsid w:val="00F261E3"/>
    <w:rsid w:val="00F27364"/>
    <w:rsid w:val="00F3383E"/>
    <w:rsid w:val="00F40FF5"/>
    <w:rsid w:val="00F4287B"/>
    <w:rsid w:val="00F4300A"/>
    <w:rsid w:val="00F4313B"/>
    <w:rsid w:val="00F44C43"/>
    <w:rsid w:val="00F465A7"/>
    <w:rsid w:val="00F4687E"/>
    <w:rsid w:val="00F5058C"/>
    <w:rsid w:val="00F50B7C"/>
    <w:rsid w:val="00F550E6"/>
    <w:rsid w:val="00F55C2B"/>
    <w:rsid w:val="00F566AC"/>
    <w:rsid w:val="00F60550"/>
    <w:rsid w:val="00F610F7"/>
    <w:rsid w:val="00F61E7A"/>
    <w:rsid w:val="00F62511"/>
    <w:rsid w:val="00F633AD"/>
    <w:rsid w:val="00F70E91"/>
    <w:rsid w:val="00F725F3"/>
    <w:rsid w:val="00F7268D"/>
    <w:rsid w:val="00F72E8F"/>
    <w:rsid w:val="00F732FD"/>
    <w:rsid w:val="00F74345"/>
    <w:rsid w:val="00F76583"/>
    <w:rsid w:val="00F76925"/>
    <w:rsid w:val="00F809FE"/>
    <w:rsid w:val="00F80A0A"/>
    <w:rsid w:val="00F82B19"/>
    <w:rsid w:val="00F9212D"/>
    <w:rsid w:val="00F958EA"/>
    <w:rsid w:val="00F965DA"/>
    <w:rsid w:val="00FA0215"/>
    <w:rsid w:val="00FA406A"/>
    <w:rsid w:val="00FA5871"/>
    <w:rsid w:val="00FA70E3"/>
    <w:rsid w:val="00FB4969"/>
    <w:rsid w:val="00FB503A"/>
    <w:rsid w:val="00FB516C"/>
    <w:rsid w:val="00FB7BF2"/>
    <w:rsid w:val="00FC07E2"/>
    <w:rsid w:val="00FC6A99"/>
    <w:rsid w:val="00FD0236"/>
    <w:rsid w:val="00FD0A6F"/>
    <w:rsid w:val="00FD18F4"/>
    <w:rsid w:val="00FD54DB"/>
    <w:rsid w:val="00FD619F"/>
    <w:rsid w:val="00FE10C3"/>
    <w:rsid w:val="00FE34C1"/>
    <w:rsid w:val="00FF648A"/>
    <w:rsid w:val="010E1D9D"/>
    <w:rsid w:val="01290F7E"/>
    <w:rsid w:val="015D1E09"/>
    <w:rsid w:val="01B62F01"/>
    <w:rsid w:val="01F20F7C"/>
    <w:rsid w:val="02697903"/>
    <w:rsid w:val="026B35AB"/>
    <w:rsid w:val="02F96569"/>
    <w:rsid w:val="03AA544E"/>
    <w:rsid w:val="03D2589B"/>
    <w:rsid w:val="03D746CC"/>
    <w:rsid w:val="03EA7B21"/>
    <w:rsid w:val="048E1CC9"/>
    <w:rsid w:val="04DB22CD"/>
    <w:rsid w:val="05F83EAE"/>
    <w:rsid w:val="06116510"/>
    <w:rsid w:val="06155C16"/>
    <w:rsid w:val="063E7D85"/>
    <w:rsid w:val="06E4265E"/>
    <w:rsid w:val="07293586"/>
    <w:rsid w:val="07295285"/>
    <w:rsid w:val="074F0ADF"/>
    <w:rsid w:val="07636392"/>
    <w:rsid w:val="07770C56"/>
    <w:rsid w:val="07B348E0"/>
    <w:rsid w:val="08235AAA"/>
    <w:rsid w:val="092217DD"/>
    <w:rsid w:val="093A7294"/>
    <w:rsid w:val="09D76D0C"/>
    <w:rsid w:val="0A263993"/>
    <w:rsid w:val="0A273152"/>
    <w:rsid w:val="0A2D3AC2"/>
    <w:rsid w:val="0A7D3E12"/>
    <w:rsid w:val="0AA755DF"/>
    <w:rsid w:val="0AE63EF8"/>
    <w:rsid w:val="0B120D44"/>
    <w:rsid w:val="0B175120"/>
    <w:rsid w:val="0B463053"/>
    <w:rsid w:val="0BC82537"/>
    <w:rsid w:val="0BD14D09"/>
    <w:rsid w:val="0BD27BF6"/>
    <w:rsid w:val="0C3B3C7D"/>
    <w:rsid w:val="0C5A1B1E"/>
    <w:rsid w:val="0C963376"/>
    <w:rsid w:val="0CAB2EAE"/>
    <w:rsid w:val="0CD87D84"/>
    <w:rsid w:val="0CE3279F"/>
    <w:rsid w:val="0D250889"/>
    <w:rsid w:val="0D347447"/>
    <w:rsid w:val="0D4B0C3C"/>
    <w:rsid w:val="0D511A18"/>
    <w:rsid w:val="0D621C7D"/>
    <w:rsid w:val="0D807494"/>
    <w:rsid w:val="0D9A2D37"/>
    <w:rsid w:val="0DB4576E"/>
    <w:rsid w:val="0DC5128C"/>
    <w:rsid w:val="0E73034D"/>
    <w:rsid w:val="0E963944"/>
    <w:rsid w:val="0EC341CA"/>
    <w:rsid w:val="0EE73DD4"/>
    <w:rsid w:val="0EF80443"/>
    <w:rsid w:val="0F13775A"/>
    <w:rsid w:val="0F5F45FE"/>
    <w:rsid w:val="0F9A112B"/>
    <w:rsid w:val="0FF11244"/>
    <w:rsid w:val="100564D9"/>
    <w:rsid w:val="10411C87"/>
    <w:rsid w:val="106D2F64"/>
    <w:rsid w:val="10B63710"/>
    <w:rsid w:val="10D26921"/>
    <w:rsid w:val="10F10820"/>
    <w:rsid w:val="111C2F7A"/>
    <w:rsid w:val="11236033"/>
    <w:rsid w:val="11665CA1"/>
    <w:rsid w:val="116D73E8"/>
    <w:rsid w:val="11A64D64"/>
    <w:rsid w:val="11DE6EAB"/>
    <w:rsid w:val="121D5250"/>
    <w:rsid w:val="12482ACB"/>
    <w:rsid w:val="12A861A1"/>
    <w:rsid w:val="132F06F4"/>
    <w:rsid w:val="136D546E"/>
    <w:rsid w:val="1394233C"/>
    <w:rsid w:val="13951726"/>
    <w:rsid w:val="13B450BC"/>
    <w:rsid w:val="14054FF4"/>
    <w:rsid w:val="140840C6"/>
    <w:rsid w:val="140A7609"/>
    <w:rsid w:val="14396509"/>
    <w:rsid w:val="14C756B4"/>
    <w:rsid w:val="14CF3749"/>
    <w:rsid w:val="14DD2C3C"/>
    <w:rsid w:val="150033D7"/>
    <w:rsid w:val="15757364"/>
    <w:rsid w:val="15A76A95"/>
    <w:rsid w:val="15AA134A"/>
    <w:rsid w:val="15EB07E1"/>
    <w:rsid w:val="16087E1D"/>
    <w:rsid w:val="16485448"/>
    <w:rsid w:val="165C58DA"/>
    <w:rsid w:val="16691CD2"/>
    <w:rsid w:val="16E75A13"/>
    <w:rsid w:val="16EA5C1D"/>
    <w:rsid w:val="170742E1"/>
    <w:rsid w:val="171816AD"/>
    <w:rsid w:val="17696A5A"/>
    <w:rsid w:val="17701D14"/>
    <w:rsid w:val="17735226"/>
    <w:rsid w:val="17A85E3B"/>
    <w:rsid w:val="17CD2FD9"/>
    <w:rsid w:val="187F7C38"/>
    <w:rsid w:val="189F624C"/>
    <w:rsid w:val="18AF4212"/>
    <w:rsid w:val="18D25736"/>
    <w:rsid w:val="18D76B74"/>
    <w:rsid w:val="18D80492"/>
    <w:rsid w:val="191172BB"/>
    <w:rsid w:val="191F5DAF"/>
    <w:rsid w:val="195145FA"/>
    <w:rsid w:val="19A267C8"/>
    <w:rsid w:val="19B443F2"/>
    <w:rsid w:val="19D744D3"/>
    <w:rsid w:val="19EA5628"/>
    <w:rsid w:val="1A1343ED"/>
    <w:rsid w:val="1A1640D9"/>
    <w:rsid w:val="1A1C66C0"/>
    <w:rsid w:val="1A206975"/>
    <w:rsid w:val="1A42393B"/>
    <w:rsid w:val="1A495ECC"/>
    <w:rsid w:val="1AAD45DE"/>
    <w:rsid w:val="1AE66EF4"/>
    <w:rsid w:val="1B046F80"/>
    <w:rsid w:val="1B0818DC"/>
    <w:rsid w:val="1B321910"/>
    <w:rsid w:val="1B3267B5"/>
    <w:rsid w:val="1B40161D"/>
    <w:rsid w:val="1B441859"/>
    <w:rsid w:val="1B6606B1"/>
    <w:rsid w:val="1B89540E"/>
    <w:rsid w:val="1C017935"/>
    <w:rsid w:val="1C5E7925"/>
    <w:rsid w:val="1C891FC9"/>
    <w:rsid w:val="1C8E6CE8"/>
    <w:rsid w:val="1CA25CDE"/>
    <w:rsid w:val="1CBB34C2"/>
    <w:rsid w:val="1CDE3442"/>
    <w:rsid w:val="1CFD070F"/>
    <w:rsid w:val="1D5F6196"/>
    <w:rsid w:val="1D6132A5"/>
    <w:rsid w:val="1D681591"/>
    <w:rsid w:val="1D8E56D5"/>
    <w:rsid w:val="1E2106D1"/>
    <w:rsid w:val="1E403FC3"/>
    <w:rsid w:val="1E445E34"/>
    <w:rsid w:val="1E676061"/>
    <w:rsid w:val="1E7A43DA"/>
    <w:rsid w:val="1ECF3134"/>
    <w:rsid w:val="1FA464BC"/>
    <w:rsid w:val="1FD10E9A"/>
    <w:rsid w:val="1FE7539E"/>
    <w:rsid w:val="204B4169"/>
    <w:rsid w:val="20671BE0"/>
    <w:rsid w:val="20963CB8"/>
    <w:rsid w:val="20A81A1B"/>
    <w:rsid w:val="20B07FB6"/>
    <w:rsid w:val="20B106AB"/>
    <w:rsid w:val="20B646FB"/>
    <w:rsid w:val="20C053E7"/>
    <w:rsid w:val="20D336FD"/>
    <w:rsid w:val="20E06E5E"/>
    <w:rsid w:val="20E52059"/>
    <w:rsid w:val="20EC093B"/>
    <w:rsid w:val="2105175C"/>
    <w:rsid w:val="213B74B1"/>
    <w:rsid w:val="21425423"/>
    <w:rsid w:val="215A2310"/>
    <w:rsid w:val="21737AB1"/>
    <w:rsid w:val="219D45D2"/>
    <w:rsid w:val="21D315D6"/>
    <w:rsid w:val="21DE318A"/>
    <w:rsid w:val="21EF5B80"/>
    <w:rsid w:val="21FB033C"/>
    <w:rsid w:val="22576990"/>
    <w:rsid w:val="225B01FE"/>
    <w:rsid w:val="225D0766"/>
    <w:rsid w:val="227F712C"/>
    <w:rsid w:val="22F47480"/>
    <w:rsid w:val="2301188B"/>
    <w:rsid w:val="231B69D2"/>
    <w:rsid w:val="23807F0C"/>
    <w:rsid w:val="23983023"/>
    <w:rsid w:val="23DE1C48"/>
    <w:rsid w:val="23EE5435"/>
    <w:rsid w:val="240210CD"/>
    <w:rsid w:val="24074D8C"/>
    <w:rsid w:val="241C755D"/>
    <w:rsid w:val="24305489"/>
    <w:rsid w:val="24654740"/>
    <w:rsid w:val="247B48EB"/>
    <w:rsid w:val="24A617B6"/>
    <w:rsid w:val="24BF09F7"/>
    <w:rsid w:val="24DF150B"/>
    <w:rsid w:val="252D53FE"/>
    <w:rsid w:val="25A03E25"/>
    <w:rsid w:val="25B508B9"/>
    <w:rsid w:val="25EC2D81"/>
    <w:rsid w:val="25FB4585"/>
    <w:rsid w:val="261E21A7"/>
    <w:rsid w:val="26D80A88"/>
    <w:rsid w:val="277057A2"/>
    <w:rsid w:val="28DD0611"/>
    <w:rsid w:val="29206EB8"/>
    <w:rsid w:val="294F3BAC"/>
    <w:rsid w:val="29595666"/>
    <w:rsid w:val="29642EF7"/>
    <w:rsid w:val="29874881"/>
    <w:rsid w:val="29A10B2A"/>
    <w:rsid w:val="29C9329D"/>
    <w:rsid w:val="29E325E0"/>
    <w:rsid w:val="2A1274C4"/>
    <w:rsid w:val="2A291680"/>
    <w:rsid w:val="2A452503"/>
    <w:rsid w:val="2A811DCA"/>
    <w:rsid w:val="2A9815DC"/>
    <w:rsid w:val="2AE3498E"/>
    <w:rsid w:val="2B17019F"/>
    <w:rsid w:val="2BA5096A"/>
    <w:rsid w:val="2BA936A8"/>
    <w:rsid w:val="2BBD7CAF"/>
    <w:rsid w:val="2C1707F9"/>
    <w:rsid w:val="2C315A5A"/>
    <w:rsid w:val="2C4B1C25"/>
    <w:rsid w:val="2C5408F3"/>
    <w:rsid w:val="2C6251CE"/>
    <w:rsid w:val="2C67317C"/>
    <w:rsid w:val="2D5176B8"/>
    <w:rsid w:val="2D6D1642"/>
    <w:rsid w:val="2D714450"/>
    <w:rsid w:val="2D9E56F5"/>
    <w:rsid w:val="2E1D4A61"/>
    <w:rsid w:val="2E667F96"/>
    <w:rsid w:val="2E7F1A64"/>
    <w:rsid w:val="2E8226AB"/>
    <w:rsid w:val="2E961C46"/>
    <w:rsid w:val="2F115F8D"/>
    <w:rsid w:val="2F1A4E86"/>
    <w:rsid w:val="2FD065E6"/>
    <w:rsid w:val="2FD30DA9"/>
    <w:rsid w:val="2FD96870"/>
    <w:rsid w:val="30580BC9"/>
    <w:rsid w:val="30963ECD"/>
    <w:rsid w:val="311E2ED7"/>
    <w:rsid w:val="315619EE"/>
    <w:rsid w:val="315C449C"/>
    <w:rsid w:val="316C4A7B"/>
    <w:rsid w:val="31B82709"/>
    <w:rsid w:val="31D007B3"/>
    <w:rsid w:val="31D05482"/>
    <w:rsid w:val="31E10DF1"/>
    <w:rsid w:val="3218112C"/>
    <w:rsid w:val="32224AEF"/>
    <w:rsid w:val="32400B34"/>
    <w:rsid w:val="325C6A5E"/>
    <w:rsid w:val="329E6876"/>
    <w:rsid w:val="32BF68D3"/>
    <w:rsid w:val="32FB1798"/>
    <w:rsid w:val="333015F2"/>
    <w:rsid w:val="334B6320"/>
    <w:rsid w:val="336060F9"/>
    <w:rsid w:val="33D934D4"/>
    <w:rsid w:val="33FE2F6A"/>
    <w:rsid w:val="340E07E5"/>
    <w:rsid w:val="34235BF7"/>
    <w:rsid w:val="34595660"/>
    <w:rsid w:val="34B906A0"/>
    <w:rsid w:val="34DD321B"/>
    <w:rsid w:val="34E73011"/>
    <w:rsid w:val="34EB5437"/>
    <w:rsid w:val="35052068"/>
    <w:rsid w:val="358C5FA8"/>
    <w:rsid w:val="35C15DF1"/>
    <w:rsid w:val="35C67F79"/>
    <w:rsid w:val="36074A7F"/>
    <w:rsid w:val="361C5FF4"/>
    <w:rsid w:val="36873DF9"/>
    <w:rsid w:val="369032F6"/>
    <w:rsid w:val="36923549"/>
    <w:rsid w:val="36B75FBF"/>
    <w:rsid w:val="36BD0C45"/>
    <w:rsid w:val="37CC2F1E"/>
    <w:rsid w:val="37D16AE4"/>
    <w:rsid w:val="37E00298"/>
    <w:rsid w:val="37EB0D27"/>
    <w:rsid w:val="37EF092A"/>
    <w:rsid w:val="384F282B"/>
    <w:rsid w:val="38651052"/>
    <w:rsid w:val="386E63CC"/>
    <w:rsid w:val="388D3376"/>
    <w:rsid w:val="38B302F9"/>
    <w:rsid w:val="38F12CD3"/>
    <w:rsid w:val="38F94775"/>
    <w:rsid w:val="39106CB6"/>
    <w:rsid w:val="392971ED"/>
    <w:rsid w:val="39303CC8"/>
    <w:rsid w:val="39325651"/>
    <w:rsid w:val="393C224A"/>
    <w:rsid w:val="39A27702"/>
    <w:rsid w:val="39B3677D"/>
    <w:rsid w:val="3A135066"/>
    <w:rsid w:val="3A6C2E84"/>
    <w:rsid w:val="3A872856"/>
    <w:rsid w:val="3AE570CF"/>
    <w:rsid w:val="3AF46CAD"/>
    <w:rsid w:val="3B3763D1"/>
    <w:rsid w:val="3B976C4C"/>
    <w:rsid w:val="3C2F6E1E"/>
    <w:rsid w:val="3C4F64BA"/>
    <w:rsid w:val="3CC038F4"/>
    <w:rsid w:val="3CD367B2"/>
    <w:rsid w:val="3CDA245A"/>
    <w:rsid w:val="3CDC21CB"/>
    <w:rsid w:val="3CE07B53"/>
    <w:rsid w:val="3D0E06F5"/>
    <w:rsid w:val="3D1E06B7"/>
    <w:rsid w:val="3D86601D"/>
    <w:rsid w:val="3DD1570D"/>
    <w:rsid w:val="3E0D44F1"/>
    <w:rsid w:val="3EB94B1E"/>
    <w:rsid w:val="3ED5426F"/>
    <w:rsid w:val="3EDA0523"/>
    <w:rsid w:val="3F784AF8"/>
    <w:rsid w:val="3F9835DA"/>
    <w:rsid w:val="407A6407"/>
    <w:rsid w:val="40D84720"/>
    <w:rsid w:val="4117682A"/>
    <w:rsid w:val="41195217"/>
    <w:rsid w:val="413229B2"/>
    <w:rsid w:val="417860E6"/>
    <w:rsid w:val="417E5BAB"/>
    <w:rsid w:val="41D1094B"/>
    <w:rsid w:val="4200449D"/>
    <w:rsid w:val="423A3BCC"/>
    <w:rsid w:val="424B4ADB"/>
    <w:rsid w:val="424E57D2"/>
    <w:rsid w:val="426D4EE6"/>
    <w:rsid w:val="42980EEF"/>
    <w:rsid w:val="42B26C49"/>
    <w:rsid w:val="42BF5A82"/>
    <w:rsid w:val="42C70ED3"/>
    <w:rsid w:val="42F53175"/>
    <w:rsid w:val="431330E2"/>
    <w:rsid w:val="431D052C"/>
    <w:rsid w:val="433A6FE6"/>
    <w:rsid w:val="43480868"/>
    <w:rsid w:val="4350713C"/>
    <w:rsid w:val="436653E0"/>
    <w:rsid w:val="43C4431A"/>
    <w:rsid w:val="43D917DA"/>
    <w:rsid w:val="43F81C45"/>
    <w:rsid w:val="44300FA4"/>
    <w:rsid w:val="445730E6"/>
    <w:rsid w:val="44894D3B"/>
    <w:rsid w:val="44B17CFE"/>
    <w:rsid w:val="44B951CC"/>
    <w:rsid w:val="44CD14E0"/>
    <w:rsid w:val="44F20B0B"/>
    <w:rsid w:val="452E5F4C"/>
    <w:rsid w:val="45612018"/>
    <w:rsid w:val="457A15B1"/>
    <w:rsid w:val="458946E9"/>
    <w:rsid w:val="45A47C0E"/>
    <w:rsid w:val="46577FD6"/>
    <w:rsid w:val="46D955A7"/>
    <w:rsid w:val="47133957"/>
    <w:rsid w:val="471A0320"/>
    <w:rsid w:val="47317EBD"/>
    <w:rsid w:val="474A5444"/>
    <w:rsid w:val="47984F17"/>
    <w:rsid w:val="47A07E0C"/>
    <w:rsid w:val="47A2387E"/>
    <w:rsid w:val="483055C1"/>
    <w:rsid w:val="4870272E"/>
    <w:rsid w:val="4909426A"/>
    <w:rsid w:val="490E0C07"/>
    <w:rsid w:val="490E70C0"/>
    <w:rsid w:val="495E69EE"/>
    <w:rsid w:val="49C138A2"/>
    <w:rsid w:val="49DC7715"/>
    <w:rsid w:val="4A023139"/>
    <w:rsid w:val="4A3C5D07"/>
    <w:rsid w:val="4A502928"/>
    <w:rsid w:val="4A513716"/>
    <w:rsid w:val="4A7B576F"/>
    <w:rsid w:val="4A834233"/>
    <w:rsid w:val="4AF04EB9"/>
    <w:rsid w:val="4AF561A9"/>
    <w:rsid w:val="4B2E4424"/>
    <w:rsid w:val="4B5F0507"/>
    <w:rsid w:val="4B81314F"/>
    <w:rsid w:val="4B8378C9"/>
    <w:rsid w:val="4B9A240F"/>
    <w:rsid w:val="4C4A0649"/>
    <w:rsid w:val="4C7E5ECA"/>
    <w:rsid w:val="4C876AA5"/>
    <w:rsid w:val="4C9B2661"/>
    <w:rsid w:val="4CA938B5"/>
    <w:rsid w:val="4CDA4808"/>
    <w:rsid w:val="4D054FAD"/>
    <w:rsid w:val="4D0E00FB"/>
    <w:rsid w:val="4D176606"/>
    <w:rsid w:val="4DEC4FB0"/>
    <w:rsid w:val="4E075D8A"/>
    <w:rsid w:val="4E2A655E"/>
    <w:rsid w:val="4EC00FAD"/>
    <w:rsid w:val="4F051C67"/>
    <w:rsid w:val="4F08233E"/>
    <w:rsid w:val="4F9843DC"/>
    <w:rsid w:val="4FC62A8C"/>
    <w:rsid w:val="4FE20F0D"/>
    <w:rsid w:val="4FE51552"/>
    <w:rsid w:val="50243AAC"/>
    <w:rsid w:val="50504C4B"/>
    <w:rsid w:val="50593093"/>
    <w:rsid w:val="509C6E7C"/>
    <w:rsid w:val="5119191F"/>
    <w:rsid w:val="51362624"/>
    <w:rsid w:val="5162104E"/>
    <w:rsid w:val="518F3307"/>
    <w:rsid w:val="518F7BD2"/>
    <w:rsid w:val="519A2BC3"/>
    <w:rsid w:val="523E3941"/>
    <w:rsid w:val="52FB51D5"/>
    <w:rsid w:val="531D3974"/>
    <w:rsid w:val="533F0A71"/>
    <w:rsid w:val="53A039CC"/>
    <w:rsid w:val="53A1505A"/>
    <w:rsid w:val="54063E08"/>
    <w:rsid w:val="543437E8"/>
    <w:rsid w:val="54703A7A"/>
    <w:rsid w:val="54987C88"/>
    <w:rsid w:val="54D36F04"/>
    <w:rsid w:val="54F73313"/>
    <w:rsid w:val="54F80955"/>
    <w:rsid w:val="54FF459D"/>
    <w:rsid w:val="555170A7"/>
    <w:rsid w:val="5587536D"/>
    <w:rsid w:val="559B174B"/>
    <w:rsid w:val="55CE0CF4"/>
    <w:rsid w:val="565E4EDD"/>
    <w:rsid w:val="56B22A9C"/>
    <w:rsid w:val="57207E65"/>
    <w:rsid w:val="57507EDB"/>
    <w:rsid w:val="57A14889"/>
    <w:rsid w:val="57B72A76"/>
    <w:rsid w:val="57C3426C"/>
    <w:rsid w:val="57CE1F93"/>
    <w:rsid w:val="588743D1"/>
    <w:rsid w:val="5887701A"/>
    <w:rsid w:val="593B692B"/>
    <w:rsid w:val="59575EC9"/>
    <w:rsid w:val="597B5DBD"/>
    <w:rsid w:val="59C0439F"/>
    <w:rsid w:val="5A505296"/>
    <w:rsid w:val="5A9740BF"/>
    <w:rsid w:val="5ABE2233"/>
    <w:rsid w:val="5AE173E4"/>
    <w:rsid w:val="5B0B55FA"/>
    <w:rsid w:val="5B1806FD"/>
    <w:rsid w:val="5B30540A"/>
    <w:rsid w:val="5B34128F"/>
    <w:rsid w:val="5B3F0EAB"/>
    <w:rsid w:val="5B8909AB"/>
    <w:rsid w:val="5BC55A61"/>
    <w:rsid w:val="5BC67B5D"/>
    <w:rsid w:val="5BDF5D95"/>
    <w:rsid w:val="5BF56340"/>
    <w:rsid w:val="5BFE7528"/>
    <w:rsid w:val="5CCF517E"/>
    <w:rsid w:val="5D0A1261"/>
    <w:rsid w:val="5D325D70"/>
    <w:rsid w:val="5D5757D7"/>
    <w:rsid w:val="5E0937D1"/>
    <w:rsid w:val="5E2467F1"/>
    <w:rsid w:val="5F1A2B43"/>
    <w:rsid w:val="5F4E43DC"/>
    <w:rsid w:val="5F653CCD"/>
    <w:rsid w:val="5FB53CC2"/>
    <w:rsid w:val="5FB837BB"/>
    <w:rsid w:val="5FB92CCB"/>
    <w:rsid w:val="5FDC3F67"/>
    <w:rsid w:val="60A45A99"/>
    <w:rsid w:val="60CC405A"/>
    <w:rsid w:val="6110461A"/>
    <w:rsid w:val="612D34D2"/>
    <w:rsid w:val="61C83223"/>
    <w:rsid w:val="61E215D8"/>
    <w:rsid w:val="61E67468"/>
    <w:rsid w:val="61FA3FB1"/>
    <w:rsid w:val="621B3775"/>
    <w:rsid w:val="62364782"/>
    <w:rsid w:val="626E1EEC"/>
    <w:rsid w:val="631363A0"/>
    <w:rsid w:val="63833F99"/>
    <w:rsid w:val="638B3A2D"/>
    <w:rsid w:val="6394356A"/>
    <w:rsid w:val="639701CA"/>
    <w:rsid w:val="63B90E96"/>
    <w:rsid w:val="63C61B2C"/>
    <w:rsid w:val="63D40BE9"/>
    <w:rsid w:val="64102431"/>
    <w:rsid w:val="64A5243A"/>
    <w:rsid w:val="64F531DE"/>
    <w:rsid w:val="65373578"/>
    <w:rsid w:val="65F52A75"/>
    <w:rsid w:val="661A6479"/>
    <w:rsid w:val="6630215B"/>
    <w:rsid w:val="669A227A"/>
    <w:rsid w:val="66A77A85"/>
    <w:rsid w:val="66B51775"/>
    <w:rsid w:val="66D83436"/>
    <w:rsid w:val="671F124A"/>
    <w:rsid w:val="673A2F25"/>
    <w:rsid w:val="674C5C80"/>
    <w:rsid w:val="677A33C6"/>
    <w:rsid w:val="67BA68DC"/>
    <w:rsid w:val="67DD510A"/>
    <w:rsid w:val="681F6961"/>
    <w:rsid w:val="68610A2F"/>
    <w:rsid w:val="68805514"/>
    <w:rsid w:val="691E3780"/>
    <w:rsid w:val="69316E2F"/>
    <w:rsid w:val="693B6E22"/>
    <w:rsid w:val="694E2071"/>
    <w:rsid w:val="695E6CAB"/>
    <w:rsid w:val="69766163"/>
    <w:rsid w:val="697A3B33"/>
    <w:rsid w:val="69D44760"/>
    <w:rsid w:val="69E356CB"/>
    <w:rsid w:val="69EC4515"/>
    <w:rsid w:val="69F801FC"/>
    <w:rsid w:val="69FF359F"/>
    <w:rsid w:val="6A302FC4"/>
    <w:rsid w:val="6A3F029A"/>
    <w:rsid w:val="6A4F1C55"/>
    <w:rsid w:val="6A520EC7"/>
    <w:rsid w:val="6AF87E20"/>
    <w:rsid w:val="6B0F3A92"/>
    <w:rsid w:val="6B225489"/>
    <w:rsid w:val="6B322639"/>
    <w:rsid w:val="6BAA4155"/>
    <w:rsid w:val="6BBD1AAD"/>
    <w:rsid w:val="6BEF6F15"/>
    <w:rsid w:val="6C0F4FE4"/>
    <w:rsid w:val="6C1E1214"/>
    <w:rsid w:val="6C636C38"/>
    <w:rsid w:val="6C941089"/>
    <w:rsid w:val="6C953CEF"/>
    <w:rsid w:val="6D653784"/>
    <w:rsid w:val="6DB34098"/>
    <w:rsid w:val="6DB545B6"/>
    <w:rsid w:val="6DE02FB4"/>
    <w:rsid w:val="6E0227BE"/>
    <w:rsid w:val="6E1D4C3A"/>
    <w:rsid w:val="6E2C5859"/>
    <w:rsid w:val="6E3D3571"/>
    <w:rsid w:val="6E514CED"/>
    <w:rsid w:val="6E871D71"/>
    <w:rsid w:val="6EB563D5"/>
    <w:rsid w:val="6EB62BBF"/>
    <w:rsid w:val="6EC76426"/>
    <w:rsid w:val="6ECE6335"/>
    <w:rsid w:val="6ED92677"/>
    <w:rsid w:val="6F225983"/>
    <w:rsid w:val="6F906926"/>
    <w:rsid w:val="6FFC5590"/>
    <w:rsid w:val="70270ABE"/>
    <w:rsid w:val="70322667"/>
    <w:rsid w:val="703543B4"/>
    <w:rsid w:val="70503491"/>
    <w:rsid w:val="706D1DD0"/>
    <w:rsid w:val="707F41AD"/>
    <w:rsid w:val="70856B87"/>
    <w:rsid w:val="70992A4E"/>
    <w:rsid w:val="70A979BC"/>
    <w:rsid w:val="70D527EE"/>
    <w:rsid w:val="710261B8"/>
    <w:rsid w:val="71152CB2"/>
    <w:rsid w:val="711B3449"/>
    <w:rsid w:val="715B5300"/>
    <w:rsid w:val="717E72A4"/>
    <w:rsid w:val="71D27F8A"/>
    <w:rsid w:val="71EE2744"/>
    <w:rsid w:val="720E525F"/>
    <w:rsid w:val="722B3CD4"/>
    <w:rsid w:val="72476FBF"/>
    <w:rsid w:val="72553024"/>
    <w:rsid w:val="72A232E8"/>
    <w:rsid w:val="73122968"/>
    <w:rsid w:val="73170C47"/>
    <w:rsid w:val="731F5D5E"/>
    <w:rsid w:val="73550A2D"/>
    <w:rsid w:val="73886182"/>
    <w:rsid w:val="73A63F6B"/>
    <w:rsid w:val="73BB3073"/>
    <w:rsid w:val="73C51AD5"/>
    <w:rsid w:val="741E09A4"/>
    <w:rsid w:val="741E793C"/>
    <w:rsid w:val="74416F50"/>
    <w:rsid w:val="744F63D2"/>
    <w:rsid w:val="745A113A"/>
    <w:rsid w:val="745E3944"/>
    <w:rsid w:val="747E4E0D"/>
    <w:rsid w:val="74B2213E"/>
    <w:rsid w:val="74F24970"/>
    <w:rsid w:val="756F3708"/>
    <w:rsid w:val="75982A43"/>
    <w:rsid w:val="75AF692B"/>
    <w:rsid w:val="75F02C13"/>
    <w:rsid w:val="7635099D"/>
    <w:rsid w:val="76533A5E"/>
    <w:rsid w:val="7679643D"/>
    <w:rsid w:val="76C06B82"/>
    <w:rsid w:val="76CA3AAF"/>
    <w:rsid w:val="76F77E53"/>
    <w:rsid w:val="771D5F6E"/>
    <w:rsid w:val="77762421"/>
    <w:rsid w:val="77AF4024"/>
    <w:rsid w:val="77B56B1F"/>
    <w:rsid w:val="77B665D8"/>
    <w:rsid w:val="780F09F4"/>
    <w:rsid w:val="78440BB4"/>
    <w:rsid w:val="78A90480"/>
    <w:rsid w:val="79167E9B"/>
    <w:rsid w:val="792F3E2D"/>
    <w:rsid w:val="796A51F1"/>
    <w:rsid w:val="7A0154E9"/>
    <w:rsid w:val="7A364017"/>
    <w:rsid w:val="7A481273"/>
    <w:rsid w:val="7A8265E1"/>
    <w:rsid w:val="7A8F2FC5"/>
    <w:rsid w:val="7B404B3C"/>
    <w:rsid w:val="7B686D42"/>
    <w:rsid w:val="7B841746"/>
    <w:rsid w:val="7B870C46"/>
    <w:rsid w:val="7BB12B87"/>
    <w:rsid w:val="7BC5314E"/>
    <w:rsid w:val="7C6C5AC7"/>
    <w:rsid w:val="7CC6544B"/>
    <w:rsid w:val="7CF1261B"/>
    <w:rsid w:val="7D0239FF"/>
    <w:rsid w:val="7D4374F4"/>
    <w:rsid w:val="7D5E40CD"/>
    <w:rsid w:val="7D995066"/>
    <w:rsid w:val="7DA64827"/>
    <w:rsid w:val="7DCC6A4C"/>
    <w:rsid w:val="7DCD56F2"/>
    <w:rsid w:val="7DEB3A08"/>
    <w:rsid w:val="7DFC2C5F"/>
    <w:rsid w:val="7E260F63"/>
    <w:rsid w:val="7E787D6B"/>
    <w:rsid w:val="7EFA24D9"/>
    <w:rsid w:val="7F001CE7"/>
    <w:rsid w:val="7FB807E5"/>
    <w:rsid w:val="7FE47E50"/>
    <w:rsid w:val="7FF165F0"/>
  </w:rsids>
  <m:mathPr>
    <m:mathFont m:val="Cambria Math"/>
    <m:brkBin m:val="before"/>
    <m:brkBinSub m:val="--"/>
    <m:smallFrac m:val="1"/>
    <m:dispDef/>
    <m:lMargin m:val="0"/>
    <m:rMargin m:val="0"/>
    <m:defJc m:val="centerGroup"/>
    <m:wrapIndent m:val="1440"/>
    <m:intLim m:val="subSup"/>
    <m:naryLim m:val="undOvr"/>
  </m:mathPr>
  <w:doNotAutoCompressPictures/>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99" w:semiHidden="0" w:name="heading 2" w:locked="1"/>
    <w:lsdException w:qFormat="1" w:unhideWhenUsed="0" w:uiPriority="99" w:semiHidden="0" w:name="heading 3" w:locked="1"/>
    <w:lsdException w:qFormat="1" w:unhideWhenUsed="0" w:uiPriority="99" w:semiHidden="0" w:name="heading 4" w:locked="1"/>
    <w:lsdException w:qFormat="1" w:uiPriority="9" w:name="heading 5" w:locked="1"/>
    <w:lsdException w:qFormat="1" w:unhideWhenUsed="0" w:uiPriority="0" w:semiHidden="0" w:name="heading 6" w:locked="1"/>
    <w:lsdException w:qFormat="1" w:uiPriority="9" w:name="heading 7" w:locked="1"/>
    <w:lsdException w:qFormat="1" w:uiPriority="9" w:name="heading 8" w:locked="1"/>
    <w:lsdException w:qFormat="1" w:uiPriority="9" w:name="heading 9" w:locked="1"/>
    <w:lsdException w:qFormat="1" w:unhideWhenUsed="0" w:uiPriority="99" w:name="index 1" w:locked="1"/>
    <w:lsdException w:uiPriority="99" w:name="index 2" w:locked="1"/>
    <w:lsdException w:uiPriority="99" w:name="index 3" w:locked="1"/>
    <w:lsdException w:uiPriority="99" w:name="index 4" w:locked="1"/>
    <w:lsdException w:uiPriority="99" w:name="index 5" w:locked="1"/>
    <w:lsdException w:uiPriority="99" w:name="index 6" w:locked="1"/>
    <w:lsdException w:uiPriority="99" w:name="index 7" w:locked="1"/>
    <w:lsdException w:uiPriority="99" w:name="index 8" w:locked="1"/>
    <w:lsdException w:uiPriority="99" w:name="index 9" w:locked="1"/>
    <w:lsdException w:uiPriority="39" w:name="toc 1" w:locked="1"/>
    <w:lsdException w:qFormat="1" w:unhideWhenUsed="0" w:uiPriority="99" w:name="toc 2" w:locked="1"/>
    <w:lsdException w:uiPriority="39" w:name="toc 3" w:locked="1"/>
    <w:lsdException w:uiPriority="39" w:name="toc 4" w:locked="1"/>
    <w:lsdException w:uiPriority="39" w:name="toc 5" w:locked="1"/>
    <w:lsdException w:uiPriority="39" w:name="toc 6" w:locked="1"/>
    <w:lsdException w:uiPriority="39" w:name="toc 7" w:locked="1"/>
    <w:lsdException w:uiPriority="39" w:name="toc 8" w:locked="1"/>
    <w:lsdException w:qFormat="1" w:unhideWhenUsed="0" w:uiPriority="99" w:name="toc 9" w:locked="1"/>
    <w:lsdException w:qFormat="1" w:unhideWhenUsed="0" w:uiPriority="99" w:semiHidden="0" w:name="Normal Indent" w:locked="1"/>
    <w:lsdException w:uiPriority="99" w:name="footnote text" w:locked="1"/>
    <w:lsdException w:qFormat="1" w:unhideWhenUsed="0" w:uiPriority="99" w:name="annotation text"/>
    <w:lsdException w:qFormat="1" w:unhideWhenUsed="0" w:uiPriority="99" w:semiHidden="0" w:name="header"/>
    <w:lsdException w:qFormat="1" w:unhideWhenUsed="0" w:uiPriority="99" w:semiHidden="0" w:name="footer"/>
    <w:lsdException w:qFormat="1" w:unhideWhenUsed="0" w:uiPriority="99" w:name="index heading" w:locked="1"/>
    <w:lsdException w:qFormat="1" w:uiPriority="35" w:semiHidden="0" w:name="caption" w:locked="1"/>
    <w:lsdException w:uiPriority="99" w:name="table of figures" w:locked="1"/>
    <w:lsdException w:uiPriority="99" w:name="envelope address" w:locked="1"/>
    <w:lsdException w:uiPriority="99" w:name="envelope return" w:locked="1"/>
    <w:lsdException w:uiPriority="99" w:name="footnote reference" w:locked="1"/>
    <w:lsdException w:qFormat="1" w:unhideWhenUsed="0" w:uiPriority="99" w:name="annotation reference"/>
    <w:lsdException w:uiPriority="99" w:name="line number" w:locked="1"/>
    <w:lsdException w:qFormat="1" w:unhideWhenUsed="0" w:uiPriority="99" w:semiHidden="0" w:name="page number" w:locked="1"/>
    <w:lsdException w:uiPriority="99" w:name="endnote reference" w:locked="1"/>
    <w:lsdException w:uiPriority="99" w:name="endnote text" w:locked="1"/>
    <w:lsdException w:uiPriority="99" w:name="table of authorities" w:locked="1"/>
    <w:lsdException w:uiPriority="99" w:name="macro" w:locked="1"/>
    <w:lsdException w:uiPriority="99" w:name="toa heading" w:locked="1"/>
    <w:lsdException w:qFormat="1" w:unhideWhenUsed="0" w:uiPriority="0" w:semiHidden="0" w:name="List" w:locked="1"/>
    <w:lsdException w:uiPriority="99" w:name="List Bullet" w:locked="1"/>
    <w:lsdException w:uiPriority="99" w:name="List Number" w:locked="1"/>
    <w:lsdException w:uiPriority="99" w:name="List 2" w:locked="1"/>
    <w:lsdException w:uiPriority="99" w:name="List 3" w:locked="1"/>
    <w:lsdException w:uiPriority="99" w:name="List 4" w:locked="1"/>
    <w:lsdException w:uiPriority="99" w:name="List 5" w:locked="1"/>
    <w:lsdException w:uiPriority="99" w:name="List Bullet 2" w:locked="1"/>
    <w:lsdException w:uiPriority="99" w:name="List Bullet 3" w:locked="1"/>
    <w:lsdException w:uiPriority="99" w:name="List Bullet 4" w:locked="1"/>
    <w:lsdException w:uiPriority="99" w:name="List Bullet 5" w:locked="1"/>
    <w:lsdException w:uiPriority="99" w:name="List Number 2" w:locked="1"/>
    <w:lsdException w:uiPriority="99" w:name="List Number 3" w:locked="1"/>
    <w:lsdException w:uiPriority="99" w:name="List Number 4" w:locked="1"/>
    <w:lsdException w:uiPriority="99" w:name="List Number 5" w:locked="1"/>
    <w:lsdException w:qFormat="1" w:unhideWhenUsed="0" w:uiPriority="10" w:semiHidden="0" w:name="Title" w:locked="1"/>
    <w:lsdException w:uiPriority="99" w:name="Closing" w:locked="1"/>
    <w:lsdException w:uiPriority="99" w:name="Signature" w:locked="1"/>
    <w:lsdException w:qFormat="1" w:uiPriority="1" w:name="Default Paragraph Font"/>
    <w:lsdException w:qFormat="1" w:unhideWhenUsed="0" w:uiPriority="99" w:semiHidden="0" w:name="Body Text"/>
    <w:lsdException w:qFormat="1" w:unhideWhenUsed="0" w:uiPriority="99" w:semiHidden="0" w:name="Body Text Indent"/>
    <w:lsdException w:uiPriority="99" w:name="List Continue" w:locked="1"/>
    <w:lsdException w:uiPriority="99" w:name="List Continue 2" w:locked="1"/>
    <w:lsdException w:uiPriority="99" w:name="List Continue 3" w:locked="1"/>
    <w:lsdException w:uiPriority="99" w:name="List Continue 4" w:locked="1"/>
    <w:lsdException w:uiPriority="99" w:name="List Continue 5" w:locked="1"/>
    <w:lsdException w:uiPriority="99" w:name="Message Header" w:locked="1"/>
    <w:lsdException w:qFormat="1" w:unhideWhenUsed="0" w:uiPriority="11" w:semiHidden="0" w:name="Subtitle" w:locked="1"/>
    <w:lsdException w:qFormat="1" w:unhideWhenUsed="0" w:uiPriority="99" w:semiHidden="0" w:name="Salutation" w:locked="1"/>
    <w:lsdException w:qFormat="1" w:unhideWhenUsed="0" w:uiPriority="99" w:semiHidden="0" w:name="Date"/>
    <w:lsdException w:qFormat="1" w:unhideWhenUsed="0" w:uiPriority="99" w:semiHidden="0" w:name="Body Text First Indent" w:locked="1"/>
    <w:lsdException w:qFormat="1" w:unhideWhenUsed="0" w:uiPriority="99" w:semiHidden="0" w:name="Body Text First Indent 2" w:locked="1"/>
    <w:lsdException w:uiPriority="99" w:name="Note Heading" w:locked="1"/>
    <w:lsdException w:qFormat="1" w:unhideWhenUsed="0" w:uiPriority="99" w:semiHidden="0" w:name="Body Text 2" w:locked="1"/>
    <w:lsdException w:uiPriority="99" w:name="Body Text 3" w:locked="1"/>
    <w:lsdException w:qFormat="1" w:unhideWhenUsed="0" w:uiPriority="99" w:semiHidden="0" w:name="Body Text Indent 2" w:locked="1"/>
    <w:lsdException w:qFormat="1" w:unhideWhenUsed="0" w:uiPriority="99" w:semiHidden="0" w:name="Body Text Indent 3" w:locked="1"/>
    <w:lsdException w:qFormat="1" w:unhideWhenUsed="0" w:uiPriority="99" w:semiHidden="0" w:name="Block Text"/>
    <w:lsdException w:qFormat="1" w:unhideWhenUsed="0" w:uiPriority="99" w:semiHidden="0" w:name="Hyperlink" w:locked="1"/>
    <w:lsdException w:uiPriority="99" w:name="FollowedHyperlink" w:locked="1"/>
    <w:lsdException w:qFormat="1" w:unhideWhenUsed="0" w:uiPriority="22" w:semiHidden="0" w:name="Strong" w:locked="1"/>
    <w:lsdException w:qFormat="1" w:unhideWhenUsed="0" w:uiPriority="99" w:semiHidden="0" w:name="Emphasis" w:locked="1"/>
    <w:lsdException w:uiPriority="99" w:name="Document Map" w:locked="1"/>
    <w:lsdException w:qFormat="1" w:unhideWhenUsed="0" w:uiPriority="99" w:semiHidden="0" w:name="Plain Text" w:locked="1"/>
    <w:lsdException w:uiPriority="99" w:name="E-mail Signature" w:locked="1"/>
    <w:lsdException w:qFormat="1" w:unhideWhenUsed="0" w:uiPriority="99" w:semiHidden="0" w:name="Normal (Web)"/>
    <w:lsdException w:uiPriority="99" w:name="HTML Acronym" w:locked="1"/>
    <w:lsdException w:uiPriority="99" w:name="HTML Address" w:locked="1"/>
    <w:lsdException w:uiPriority="99" w:name="HTML Cite" w:locked="1"/>
    <w:lsdException w:qFormat="1" w:unhideWhenUsed="0" w:uiPriority="99" w:semiHidden="0" w:name="HTML Code" w:locked="1"/>
    <w:lsdException w:uiPriority="99" w:name="HTML Definition" w:locked="1"/>
    <w:lsdException w:qFormat="1" w:unhideWhenUsed="0" w:uiPriority="99" w:semiHidden="0" w:name="HTML Keyboard" w:locked="1"/>
    <w:lsdException w:uiPriority="99" w:name="HTML Preformatted" w:locked="1"/>
    <w:lsdException w:qFormat="1" w:unhideWhenUsed="0" w:uiPriority="99" w:semiHidden="0" w:name="HTML Sample" w:locked="1"/>
    <w:lsdException w:uiPriority="99" w:name="HTML Typewriter" w:locked="1"/>
    <w:lsdException w:uiPriority="99" w:name="HTML Variable" w:locked="1"/>
    <w:lsdException w:qFormat="1" w:uiPriority="99" w:name="Normal Table"/>
    <w:lsdException w:qFormat="1" w:unhideWhenUsed="0" w:uiPriority="99" w:name="annotation subject"/>
    <w:lsdException w:uiPriority="99" w:name="Table Simple 1" w:locked="1"/>
    <w:lsdException w:uiPriority="99" w:name="Table Simple 2" w:locked="1"/>
    <w:lsdException w:uiPriority="99" w:name="Table Simple 3" w:locked="1"/>
    <w:lsdException w:uiPriority="99" w:name="Table Classic 1" w:locked="1"/>
    <w:lsdException w:uiPriority="99" w:name="Table Classic 2" w:locked="1"/>
    <w:lsdException w:uiPriority="99" w:name="Table Classic 3" w:locked="1"/>
    <w:lsdException w:uiPriority="99" w:name="Table Classic 4" w:locked="1"/>
    <w:lsdException w:uiPriority="99" w:name="Table Colorful 1" w:locked="1"/>
    <w:lsdException w:uiPriority="99" w:name="Table Colorful 2" w:locked="1"/>
    <w:lsdException w:uiPriority="99" w:name="Table Colorful 3" w:locked="1"/>
    <w:lsdException w:uiPriority="99" w:name="Table Columns 1" w:locked="1"/>
    <w:lsdException w:uiPriority="99" w:name="Table Columns 2" w:locked="1"/>
    <w:lsdException w:uiPriority="99" w:name="Table Columns 3" w:locked="1"/>
    <w:lsdException w:uiPriority="99" w:name="Table Columns 4" w:locked="1"/>
    <w:lsdException w:uiPriority="99" w:name="Table Columns 5" w:locked="1"/>
    <w:lsdException w:uiPriority="99" w:name="Table Grid 1" w:locked="1"/>
    <w:lsdException w:uiPriority="99" w:name="Table Grid 2" w:locked="1"/>
    <w:lsdException w:uiPriority="99" w:name="Table Grid 3" w:locked="1"/>
    <w:lsdException w:uiPriority="99" w:name="Table Grid 4" w:locked="1"/>
    <w:lsdException w:uiPriority="99" w:name="Table Grid 5" w:locked="1"/>
    <w:lsdException w:uiPriority="99" w:name="Table Grid 6" w:locked="1"/>
    <w:lsdException w:uiPriority="99" w:name="Table Grid 7" w:locked="1"/>
    <w:lsdException w:uiPriority="99" w:name="Table Grid 8" w:locked="1"/>
    <w:lsdException w:uiPriority="99" w:name="Table List 1" w:locked="1"/>
    <w:lsdException w:uiPriority="99" w:name="Table List 2" w:locked="1"/>
    <w:lsdException w:uiPriority="99" w:name="Table List 3" w:locked="1"/>
    <w:lsdException w:uiPriority="99" w:name="Table List 4" w:locked="1"/>
    <w:lsdException w:uiPriority="99" w:name="Table List 5" w:locked="1"/>
    <w:lsdException w:uiPriority="99" w:name="Table List 6" w:locked="1"/>
    <w:lsdException w:uiPriority="99" w:name="Table List 7" w:locked="1"/>
    <w:lsdException w:uiPriority="99" w:name="Table List 8" w:locked="1"/>
    <w:lsdException w:uiPriority="99" w:name="Table 3D effects 1" w:locked="1"/>
    <w:lsdException w:uiPriority="99" w:name="Table 3D effects 2" w:locked="1"/>
    <w:lsdException w:uiPriority="99" w:name="Table 3D effects 3" w:locked="1"/>
    <w:lsdException w:uiPriority="99" w:name="Table Contemporary" w:locked="1"/>
    <w:lsdException w:uiPriority="99" w:name="Table Elegant" w:locked="1"/>
    <w:lsdException w:uiPriority="99" w:name="Table Professional" w:locked="1"/>
    <w:lsdException w:uiPriority="99" w:name="Table Subtle 1" w:locked="1"/>
    <w:lsdException w:uiPriority="99" w:name="Table Subtle 2" w:locked="1"/>
    <w:lsdException w:uiPriority="99" w:name="Table Web 1" w:locked="1"/>
    <w:lsdException w:uiPriority="99" w:name="Table Web 2" w:locked="1"/>
    <w:lsdException w:uiPriority="99" w:name="Table Web 3" w:locked="1"/>
    <w:lsdException w:qFormat="1" w:unhideWhenUsed="0" w:uiPriority="99" w:name="Balloon Text"/>
    <w:lsdException w:qFormat="1" w:unhideWhenUsed="0" w:uiPriority="99" w:semiHidden="0" w:name="Table Grid"/>
    <w:lsdException w:qFormat="1" w:unhideWhenUsed="0" w:uiPriority="99"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1"/>
      <w:szCs w:val="21"/>
      <w:lang w:val="en-US" w:eastAsia="zh-CN" w:bidi="ar-SA"/>
    </w:rPr>
  </w:style>
  <w:style w:type="paragraph" w:styleId="2">
    <w:name w:val="heading 1"/>
    <w:basedOn w:val="1"/>
    <w:next w:val="1"/>
    <w:link w:val="57"/>
    <w:autoRedefine/>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link w:val="58"/>
    <w:autoRedefine/>
    <w:qFormat/>
    <w:locked/>
    <w:uiPriority w:val="99"/>
    <w:pPr>
      <w:jc w:val="center"/>
      <w:outlineLvl w:val="1"/>
    </w:pPr>
    <w:rPr>
      <w:rFonts w:ascii="Calibri" w:hAnsi="Calibri" w:cs="Calibri"/>
      <w:b/>
      <w:bCs/>
      <w:color w:val="000000"/>
    </w:rPr>
  </w:style>
  <w:style w:type="paragraph" w:styleId="4">
    <w:name w:val="heading 3"/>
    <w:basedOn w:val="1"/>
    <w:next w:val="1"/>
    <w:link w:val="59"/>
    <w:autoRedefine/>
    <w:qFormat/>
    <w:locked/>
    <w:uiPriority w:val="99"/>
    <w:pPr>
      <w:keepNext/>
      <w:keepLines/>
      <w:snapToGrid w:val="0"/>
      <w:spacing w:before="60" w:after="120" w:line="400" w:lineRule="exact"/>
      <w:jc w:val="left"/>
      <w:outlineLvl w:val="2"/>
    </w:pPr>
    <w:rPr>
      <w:rFonts w:eastAsia="黑体"/>
    </w:rPr>
  </w:style>
  <w:style w:type="paragraph" w:styleId="5">
    <w:name w:val="heading 4"/>
    <w:basedOn w:val="1"/>
    <w:next w:val="1"/>
    <w:link w:val="60"/>
    <w:autoRedefine/>
    <w:qFormat/>
    <w:locked/>
    <w:uiPriority w:val="99"/>
    <w:pPr>
      <w:keepNext/>
      <w:keepLines/>
      <w:spacing w:line="376" w:lineRule="auto"/>
      <w:outlineLvl w:val="3"/>
    </w:pPr>
    <w:rPr>
      <w:rFonts w:ascii="Cambria" w:hAnsi="Cambria" w:cs="Cambria"/>
      <w:b/>
      <w:bCs/>
      <w:sz w:val="28"/>
      <w:szCs w:val="28"/>
    </w:rPr>
  </w:style>
  <w:style w:type="paragraph" w:styleId="6">
    <w:name w:val="heading 6"/>
    <w:basedOn w:val="1"/>
    <w:next w:val="1"/>
    <w:qFormat/>
    <w:locked/>
    <w:uiPriority w:val="0"/>
    <w:pPr>
      <w:keepNext/>
      <w:keepLines/>
      <w:spacing w:before="240" w:after="64" w:line="320" w:lineRule="auto"/>
      <w:outlineLvl w:val="5"/>
    </w:pPr>
    <w:rPr>
      <w:rFonts w:ascii="等线 Light" w:hAnsi="等线 Light" w:eastAsia="等线 Light" w:cs="Times New Roman"/>
      <w:b/>
      <w:bCs/>
      <w:sz w:val="24"/>
      <w:szCs w:val="24"/>
    </w:rPr>
  </w:style>
  <w:style w:type="character" w:default="1" w:styleId="37">
    <w:name w:val="Default Paragraph Font"/>
    <w:semiHidden/>
    <w:unhideWhenUsed/>
    <w:qFormat/>
    <w:uiPriority w:val="1"/>
  </w:style>
  <w:style w:type="table" w:default="1" w:styleId="34">
    <w:name w:val="Normal Table"/>
    <w:semiHidden/>
    <w:unhideWhenUsed/>
    <w:qFormat/>
    <w:uiPriority w:val="99"/>
    <w:tblPr>
      <w:tblCellMar>
        <w:top w:w="0" w:type="dxa"/>
        <w:left w:w="108" w:type="dxa"/>
        <w:bottom w:w="0" w:type="dxa"/>
        <w:right w:w="108" w:type="dxa"/>
      </w:tblCellMar>
    </w:tblPr>
  </w:style>
  <w:style w:type="paragraph" w:styleId="7">
    <w:name w:val="Normal Indent"/>
    <w:basedOn w:val="1"/>
    <w:next w:val="5"/>
    <w:autoRedefine/>
    <w:qFormat/>
    <w:locked/>
    <w:uiPriority w:val="99"/>
    <w:pPr>
      <w:spacing w:line="440" w:lineRule="exact"/>
      <w:ind w:firstLine="652"/>
    </w:pPr>
    <w:rPr>
      <w:spacing w:val="20"/>
    </w:rPr>
  </w:style>
  <w:style w:type="paragraph" w:styleId="8">
    <w:name w:val="caption"/>
    <w:basedOn w:val="1"/>
    <w:next w:val="1"/>
    <w:unhideWhenUsed/>
    <w:qFormat/>
    <w:locked/>
    <w:uiPriority w:val="35"/>
    <w:rPr>
      <w:rFonts w:eastAsia="黑体" w:asciiTheme="majorHAnsi" w:hAnsiTheme="majorHAnsi" w:cstheme="majorBidi"/>
      <w:sz w:val="20"/>
      <w:szCs w:val="20"/>
    </w:rPr>
  </w:style>
  <w:style w:type="paragraph" w:styleId="9">
    <w:name w:val="annotation text"/>
    <w:basedOn w:val="1"/>
    <w:link w:val="61"/>
    <w:autoRedefine/>
    <w:semiHidden/>
    <w:qFormat/>
    <w:uiPriority w:val="99"/>
    <w:pPr>
      <w:jc w:val="left"/>
    </w:pPr>
    <w:rPr>
      <w:kern w:val="0"/>
      <w:sz w:val="24"/>
      <w:szCs w:val="24"/>
    </w:rPr>
  </w:style>
  <w:style w:type="paragraph" w:styleId="10">
    <w:name w:val="Salutation"/>
    <w:basedOn w:val="1"/>
    <w:next w:val="1"/>
    <w:link w:val="62"/>
    <w:autoRedefine/>
    <w:qFormat/>
    <w:locked/>
    <w:uiPriority w:val="99"/>
  </w:style>
  <w:style w:type="paragraph" w:styleId="11">
    <w:name w:val="Body Text"/>
    <w:basedOn w:val="1"/>
    <w:next w:val="1"/>
    <w:link w:val="63"/>
    <w:autoRedefine/>
    <w:qFormat/>
    <w:uiPriority w:val="99"/>
    <w:pPr>
      <w:widowControl/>
      <w:snapToGrid w:val="0"/>
      <w:spacing w:before="60" w:after="160" w:line="259" w:lineRule="auto"/>
      <w:ind w:right="113"/>
    </w:pPr>
    <w:rPr>
      <w:kern w:val="0"/>
      <w:sz w:val="18"/>
      <w:szCs w:val="18"/>
    </w:rPr>
  </w:style>
  <w:style w:type="paragraph" w:styleId="12">
    <w:name w:val="Body Text Indent"/>
    <w:basedOn w:val="1"/>
    <w:next w:val="13"/>
    <w:link w:val="64"/>
    <w:autoRedefine/>
    <w:qFormat/>
    <w:uiPriority w:val="99"/>
    <w:pPr>
      <w:spacing w:after="120"/>
      <w:ind w:left="420" w:leftChars="200"/>
    </w:pPr>
    <w:rPr>
      <w:kern w:val="0"/>
      <w:sz w:val="24"/>
      <w:szCs w:val="24"/>
    </w:rPr>
  </w:style>
  <w:style w:type="paragraph" w:customStyle="1" w:styleId="13">
    <w:name w:val="表格编号"/>
    <w:basedOn w:val="1"/>
    <w:next w:val="14"/>
    <w:autoRedefine/>
    <w:qFormat/>
    <w:uiPriority w:val="0"/>
    <w:pPr>
      <w:spacing w:line="60" w:lineRule="atLeast"/>
      <w:jc w:val="left"/>
    </w:pPr>
    <w:rPr>
      <w:spacing w:val="10"/>
      <w:kern w:val="0"/>
      <w:szCs w:val="21"/>
    </w:rPr>
  </w:style>
  <w:style w:type="paragraph" w:customStyle="1" w:styleId="14">
    <w:name w:val="表格文字"/>
    <w:basedOn w:val="15"/>
    <w:next w:val="1"/>
    <w:autoRedefine/>
    <w:qFormat/>
    <w:uiPriority w:val="0"/>
    <w:pPr>
      <w:adjustRightInd w:val="0"/>
      <w:snapToGrid w:val="0"/>
      <w:jc w:val="center"/>
    </w:pPr>
    <w:rPr>
      <w:rFonts w:ascii="仿宋_GB2312" w:hAnsi="Arial Black" w:eastAsia="仿宋_GB2312"/>
      <w:kern w:val="44"/>
      <w:sz w:val="24"/>
      <w:szCs w:val="20"/>
    </w:rPr>
  </w:style>
  <w:style w:type="paragraph" w:customStyle="1" w:styleId="15">
    <w:name w:val="博士论文正文"/>
    <w:basedOn w:val="1"/>
    <w:autoRedefine/>
    <w:qFormat/>
    <w:uiPriority w:val="0"/>
    <w:pPr>
      <w:autoSpaceDE/>
      <w:autoSpaceDN/>
      <w:adjustRightInd/>
      <w:snapToGrid w:val="0"/>
      <w:spacing w:beforeLines="20" w:afterLines="20" w:line="360" w:lineRule="auto"/>
      <w:ind w:firstLine="200" w:firstLineChars="200"/>
      <w:jc w:val="both"/>
    </w:pPr>
    <w:rPr>
      <w:rFonts w:ascii="Times New Roman" w:hAnsi="Times New Roman"/>
      <w:szCs w:val="20"/>
    </w:rPr>
  </w:style>
  <w:style w:type="paragraph" w:styleId="16">
    <w:name w:val="Block Text"/>
    <w:basedOn w:val="1"/>
    <w:autoRedefine/>
    <w:qFormat/>
    <w:uiPriority w:val="99"/>
    <w:pPr>
      <w:adjustRightInd w:val="0"/>
      <w:spacing w:line="500" w:lineRule="exact"/>
      <w:ind w:left="147" w:leftChars="70" w:right="160" w:rightChars="76"/>
    </w:pPr>
    <w:rPr>
      <w:rFonts w:ascii="宋体" w:hAnsi="宋体" w:cs="宋体"/>
    </w:rPr>
  </w:style>
  <w:style w:type="paragraph" w:styleId="17">
    <w:name w:val="Plain Text"/>
    <w:basedOn w:val="1"/>
    <w:link w:val="67"/>
    <w:autoRedefine/>
    <w:qFormat/>
    <w:locked/>
    <w:uiPriority w:val="99"/>
    <w:rPr>
      <w:rFonts w:ascii="宋体" w:hAnsi="Courier New" w:cs="宋体"/>
    </w:rPr>
  </w:style>
  <w:style w:type="paragraph" w:styleId="18">
    <w:name w:val="Date"/>
    <w:basedOn w:val="1"/>
    <w:next w:val="1"/>
    <w:link w:val="68"/>
    <w:autoRedefine/>
    <w:qFormat/>
    <w:uiPriority w:val="99"/>
    <w:pPr>
      <w:ind w:left="100" w:leftChars="2500"/>
    </w:pPr>
    <w:rPr>
      <w:kern w:val="0"/>
      <w:sz w:val="24"/>
      <w:szCs w:val="24"/>
    </w:rPr>
  </w:style>
  <w:style w:type="paragraph" w:styleId="19">
    <w:name w:val="Body Text Indent 2"/>
    <w:basedOn w:val="1"/>
    <w:next w:val="20"/>
    <w:link w:val="65"/>
    <w:autoRedefine/>
    <w:qFormat/>
    <w:locked/>
    <w:uiPriority w:val="99"/>
    <w:pPr>
      <w:spacing w:line="480" w:lineRule="exact"/>
      <w:ind w:firstLine="539"/>
    </w:pPr>
    <w:rPr>
      <w:rFonts w:ascii="宋体" w:hAnsi="宋体" w:cs="宋体"/>
      <w:szCs w:val="28"/>
    </w:rPr>
  </w:style>
  <w:style w:type="paragraph" w:styleId="20">
    <w:name w:val="Body Text First Indent 2"/>
    <w:basedOn w:val="1"/>
    <w:next w:val="1"/>
    <w:link w:val="66"/>
    <w:autoRedefine/>
    <w:qFormat/>
    <w:locked/>
    <w:uiPriority w:val="99"/>
    <w:pPr>
      <w:ind w:firstLine="420" w:firstLineChars="200"/>
    </w:pPr>
  </w:style>
  <w:style w:type="paragraph" w:styleId="21">
    <w:name w:val="Balloon Text"/>
    <w:basedOn w:val="1"/>
    <w:link w:val="69"/>
    <w:autoRedefine/>
    <w:semiHidden/>
    <w:qFormat/>
    <w:uiPriority w:val="99"/>
    <w:rPr>
      <w:kern w:val="0"/>
      <w:sz w:val="18"/>
      <w:szCs w:val="18"/>
    </w:rPr>
  </w:style>
  <w:style w:type="paragraph" w:styleId="22">
    <w:name w:val="footer"/>
    <w:basedOn w:val="1"/>
    <w:link w:val="70"/>
    <w:autoRedefine/>
    <w:qFormat/>
    <w:uiPriority w:val="99"/>
    <w:pPr>
      <w:tabs>
        <w:tab w:val="center" w:pos="4153"/>
        <w:tab w:val="right" w:pos="8306"/>
      </w:tabs>
      <w:snapToGrid w:val="0"/>
      <w:jc w:val="left"/>
    </w:pPr>
    <w:rPr>
      <w:kern w:val="0"/>
      <w:sz w:val="18"/>
      <w:szCs w:val="18"/>
    </w:rPr>
  </w:style>
  <w:style w:type="paragraph" w:styleId="23">
    <w:name w:val="header"/>
    <w:basedOn w:val="1"/>
    <w:next w:val="11"/>
    <w:link w:val="71"/>
    <w:autoRedefine/>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sz w:val="18"/>
      <w:szCs w:val="18"/>
    </w:rPr>
  </w:style>
  <w:style w:type="paragraph" w:styleId="24">
    <w:name w:val="index heading"/>
    <w:basedOn w:val="1"/>
    <w:next w:val="25"/>
    <w:autoRedefine/>
    <w:semiHidden/>
    <w:qFormat/>
    <w:locked/>
    <w:uiPriority w:val="99"/>
    <w:rPr>
      <w:rFonts w:ascii="Arial" w:hAnsi="Arial" w:cs="Arial"/>
      <w:b/>
      <w:bCs/>
    </w:rPr>
  </w:style>
  <w:style w:type="paragraph" w:styleId="25">
    <w:name w:val="index 1"/>
    <w:basedOn w:val="1"/>
    <w:next w:val="1"/>
    <w:autoRedefine/>
    <w:semiHidden/>
    <w:qFormat/>
    <w:locked/>
    <w:uiPriority w:val="99"/>
    <w:pPr>
      <w:jc w:val="center"/>
    </w:pPr>
  </w:style>
  <w:style w:type="paragraph" w:styleId="26">
    <w:name w:val="List"/>
    <w:basedOn w:val="1"/>
    <w:next w:val="1"/>
    <w:autoRedefine/>
    <w:qFormat/>
    <w:locked/>
    <w:uiPriority w:val="0"/>
    <w:pPr>
      <w:ind w:left="200" w:hanging="200" w:hangingChars="200"/>
    </w:pPr>
  </w:style>
  <w:style w:type="paragraph" w:styleId="27">
    <w:name w:val="Body Text Indent 3"/>
    <w:basedOn w:val="1"/>
    <w:link w:val="72"/>
    <w:autoRedefine/>
    <w:qFormat/>
    <w:locked/>
    <w:uiPriority w:val="99"/>
    <w:pPr>
      <w:spacing w:after="120"/>
      <w:ind w:left="420" w:leftChars="200"/>
    </w:pPr>
    <w:rPr>
      <w:sz w:val="16"/>
      <w:szCs w:val="16"/>
    </w:rPr>
  </w:style>
  <w:style w:type="paragraph" w:styleId="28">
    <w:name w:val="toc 2"/>
    <w:basedOn w:val="1"/>
    <w:next w:val="1"/>
    <w:autoRedefine/>
    <w:semiHidden/>
    <w:qFormat/>
    <w:locked/>
    <w:uiPriority w:val="99"/>
    <w:pPr>
      <w:ind w:left="210"/>
      <w:jc w:val="left"/>
    </w:pPr>
    <w:rPr>
      <w:smallCaps/>
      <w:sz w:val="20"/>
      <w:szCs w:val="20"/>
    </w:rPr>
  </w:style>
  <w:style w:type="paragraph" w:styleId="29">
    <w:name w:val="toc 9"/>
    <w:basedOn w:val="1"/>
    <w:next w:val="1"/>
    <w:autoRedefine/>
    <w:semiHidden/>
    <w:qFormat/>
    <w:locked/>
    <w:uiPriority w:val="99"/>
    <w:pPr>
      <w:widowControl/>
      <w:wordWrap w:val="0"/>
      <w:ind w:left="2975"/>
    </w:pPr>
  </w:style>
  <w:style w:type="paragraph" w:styleId="30">
    <w:name w:val="Body Text 2"/>
    <w:basedOn w:val="1"/>
    <w:link w:val="73"/>
    <w:autoRedefine/>
    <w:qFormat/>
    <w:locked/>
    <w:uiPriority w:val="99"/>
    <w:pPr>
      <w:jc w:val="center"/>
    </w:pPr>
    <w:rPr>
      <w:spacing w:val="-6"/>
      <w:bdr w:val="single" w:color="auto" w:sz="4" w:space="0"/>
    </w:rPr>
  </w:style>
  <w:style w:type="paragraph" w:styleId="31">
    <w:name w:val="Normal (Web)"/>
    <w:basedOn w:val="1"/>
    <w:link w:val="77"/>
    <w:autoRedefine/>
    <w:qFormat/>
    <w:uiPriority w:val="99"/>
    <w:pPr>
      <w:widowControl/>
      <w:spacing w:before="100" w:beforeAutospacing="1" w:after="100" w:afterAutospacing="1"/>
      <w:jc w:val="left"/>
    </w:pPr>
    <w:rPr>
      <w:rFonts w:ascii="宋体" w:hAnsi="宋体"/>
      <w:kern w:val="0"/>
      <w:sz w:val="24"/>
      <w:szCs w:val="24"/>
    </w:rPr>
  </w:style>
  <w:style w:type="paragraph" w:styleId="32">
    <w:name w:val="annotation subject"/>
    <w:basedOn w:val="9"/>
    <w:next w:val="9"/>
    <w:link w:val="74"/>
    <w:autoRedefine/>
    <w:semiHidden/>
    <w:qFormat/>
    <w:uiPriority w:val="99"/>
    <w:rPr>
      <w:b/>
      <w:bCs/>
      <w:kern w:val="2"/>
    </w:rPr>
  </w:style>
  <w:style w:type="paragraph" w:styleId="33">
    <w:name w:val="Body Text First Indent"/>
    <w:basedOn w:val="11"/>
    <w:link w:val="75"/>
    <w:autoRedefine/>
    <w:qFormat/>
    <w:locked/>
    <w:uiPriority w:val="99"/>
    <w:pPr>
      <w:ind w:firstLine="420" w:firstLineChars="100"/>
    </w:pPr>
  </w:style>
  <w:style w:type="table" w:styleId="35">
    <w:name w:val="Table Grid"/>
    <w:basedOn w:val="34"/>
    <w:autoRedefine/>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36">
    <w:name w:val="Table Theme"/>
    <w:basedOn w:val="34"/>
    <w:autoRedefine/>
    <w:qFormat/>
    <w:locked/>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8">
    <w:name w:val="Strong"/>
    <w:basedOn w:val="37"/>
    <w:qFormat/>
    <w:locked/>
    <w:uiPriority w:val="22"/>
    <w:rPr>
      <w:b/>
    </w:rPr>
  </w:style>
  <w:style w:type="character" w:styleId="39">
    <w:name w:val="page number"/>
    <w:basedOn w:val="37"/>
    <w:autoRedefine/>
    <w:qFormat/>
    <w:locked/>
    <w:uiPriority w:val="99"/>
  </w:style>
  <w:style w:type="character" w:styleId="40">
    <w:name w:val="Emphasis"/>
    <w:basedOn w:val="37"/>
    <w:autoRedefine/>
    <w:qFormat/>
    <w:locked/>
    <w:uiPriority w:val="99"/>
  </w:style>
  <w:style w:type="character" w:styleId="41">
    <w:name w:val="Hyperlink"/>
    <w:basedOn w:val="37"/>
    <w:autoRedefine/>
    <w:qFormat/>
    <w:locked/>
    <w:uiPriority w:val="99"/>
    <w:rPr>
      <w:color w:val="auto"/>
      <w:u w:val="none"/>
    </w:rPr>
  </w:style>
  <w:style w:type="character" w:styleId="42">
    <w:name w:val="HTML Code"/>
    <w:basedOn w:val="37"/>
    <w:autoRedefine/>
    <w:qFormat/>
    <w:locked/>
    <w:uiPriority w:val="99"/>
    <w:rPr>
      <w:rFonts w:ascii="monospace" w:hAnsi="monospace" w:cs="monospace"/>
      <w:sz w:val="21"/>
      <w:szCs w:val="21"/>
    </w:rPr>
  </w:style>
  <w:style w:type="character" w:styleId="43">
    <w:name w:val="annotation reference"/>
    <w:basedOn w:val="37"/>
    <w:autoRedefine/>
    <w:semiHidden/>
    <w:qFormat/>
    <w:uiPriority w:val="99"/>
    <w:rPr>
      <w:sz w:val="21"/>
      <w:szCs w:val="21"/>
    </w:rPr>
  </w:style>
  <w:style w:type="character" w:styleId="44">
    <w:name w:val="HTML Keyboard"/>
    <w:basedOn w:val="37"/>
    <w:autoRedefine/>
    <w:qFormat/>
    <w:locked/>
    <w:uiPriority w:val="99"/>
    <w:rPr>
      <w:rFonts w:ascii="monospace" w:hAnsi="monospace" w:cs="monospace"/>
      <w:sz w:val="21"/>
      <w:szCs w:val="21"/>
    </w:rPr>
  </w:style>
  <w:style w:type="character" w:styleId="45">
    <w:name w:val="HTML Sample"/>
    <w:basedOn w:val="37"/>
    <w:autoRedefine/>
    <w:qFormat/>
    <w:locked/>
    <w:uiPriority w:val="99"/>
    <w:rPr>
      <w:rFonts w:ascii="monospace" w:hAnsi="monospace" w:cs="monospace"/>
      <w:sz w:val="21"/>
      <w:szCs w:val="21"/>
    </w:rPr>
  </w:style>
  <w:style w:type="paragraph" w:customStyle="1" w:styleId="46">
    <w:name w:val="T正文"/>
    <w:autoRedefine/>
    <w:qFormat/>
    <w:uiPriority w:val="99"/>
    <w:pPr>
      <w:widowControl w:val="0"/>
      <w:adjustRightInd w:val="0"/>
      <w:snapToGrid w:val="0"/>
      <w:spacing w:line="360" w:lineRule="auto"/>
      <w:ind w:firstLine="200" w:firstLineChars="200"/>
      <w:jc w:val="both"/>
    </w:pPr>
    <w:rPr>
      <w:rFonts w:ascii="Times New Roman" w:hAnsi="Times New Roman" w:eastAsia="仿宋_GB2312" w:cs="Times New Roman"/>
      <w:sz w:val="28"/>
      <w:szCs w:val="28"/>
      <w:lang w:val="en-US" w:eastAsia="zh-CN" w:bidi="ar-SA"/>
    </w:rPr>
  </w:style>
  <w:style w:type="paragraph" w:customStyle="1" w:styleId="47">
    <w:name w:val="xl27"/>
    <w:basedOn w:val="1"/>
    <w:next w:val="1"/>
    <w:autoRedefine/>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kern w:val="0"/>
      <w:sz w:val="18"/>
      <w:szCs w:val="18"/>
    </w:rPr>
  </w:style>
  <w:style w:type="paragraph" w:customStyle="1" w:styleId="48">
    <w:name w:val="Default"/>
    <w:basedOn w:val="49"/>
    <w:next w:val="50"/>
    <w:autoRedefine/>
    <w:qFormat/>
    <w:uiPriority w:val="99"/>
    <w:pPr>
      <w:autoSpaceDE w:val="0"/>
      <w:autoSpaceDN w:val="0"/>
    </w:pPr>
    <w:rPr>
      <w:rFonts w:ascii="Calibri" w:hAnsi="Calibri" w:cs="Calibri"/>
    </w:rPr>
  </w:style>
  <w:style w:type="paragraph" w:customStyle="1" w:styleId="49">
    <w:name w:val="纯文本1"/>
    <w:basedOn w:val="1"/>
    <w:autoRedefine/>
    <w:qFormat/>
    <w:uiPriority w:val="99"/>
    <w:pPr>
      <w:adjustRightInd w:val="0"/>
      <w:jc w:val="center"/>
      <w:textAlignment w:val="baseline"/>
    </w:pPr>
    <w:rPr>
      <w:rFonts w:ascii="宋体" w:hAnsi="Courier New" w:cs="宋体"/>
      <w:sz w:val="24"/>
      <w:szCs w:val="24"/>
    </w:rPr>
  </w:style>
  <w:style w:type="paragraph" w:customStyle="1" w:styleId="50">
    <w:name w:val="样式1"/>
    <w:basedOn w:val="24"/>
    <w:next w:val="16"/>
    <w:autoRedefine/>
    <w:qFormat/>
    <w:uiPriority w:val="99"/>
    <w:pPr>
      <w:tabs>
        <w:tab w:val="right" w:leader="dot" w:pos="9061"/>
        <w:tab w:val="right" w:leader="dot" w:pos="9459"/>
      </w:tabs>
      <w:adjustRightInd w:val="0"/>
      <w:spacing w:line="360" w:lineRule="auto"/>
      <w:outlineLvl w:val="0"/>
    </w:pPr>
    <w:rPr>
      <w:sz w:val="28"/>
      <w:szCs w:val="28"/>
    </w:rPr>
  </w:style>
  <w:style w:type="paragraph" w:customStyle="1" w:styleId="51">
    <w:name w:val="标题2"/>
    <w:basedOn w:val="3"/>
    <w:qFormat/>
    <w:uiPriority w:val="0"/>
    <w:pPr>
      <w:numPr>
        <w:ilvl w:val="1"/>
        <w:numId w:val="1"/>
      </w:numPr>
      <w:spacing w:line="440" w:lineRule="exact"/>
    </w:pPr>
    <w:rPr>
      <w:rFonts w:ascii="Arial" w:hAnsi="Arial" w:eastAsia="黑体" w:cs="Times New Roman"/>
      <w:kern w:val="0"/>
      <w:sz w:val="28"/>
    </w:rPr>
  </w:style>
  <w:style w:type="paragraph" w:customStyle="1" w:styleId="52">
    <w:name w:val="A正文"/>
    <w:basedOn w:val="1"/>
    <w:next w:val="11"/>
    <w:autoRedefine/>
    <w:qFormat/>
    <w:uiPriority w:val="99"/>
    <w:pPr>
      <w:spacing w:line="360" w:lineRule="auto"/>
      <w:ind w:firstLine="200" w:firstLineChars="200"/>
    </w:pPr>
    <w:rPr>
      <w:sz w:val="24"/>
      <w:szCs w:val="24"/>
    </w:rPr>
  </w:style>
  <w:style w:type="paragraph" w:customStyle="1" w:styleId="53">
    <w:name w:val="正文首行缩进2个字 Char"/>
    <w:basedOn w:val="1"/>
    <w:autoRedefine/>
    <w:qFormat/>
    <w:uiPriority w:val="99"/>
    <w:pPr>
      <w:ind w:firstLine="480" w:firstLineChars="200"/>
    </w:pPr>
    <w:rPr>
      <w:rFonts w:eastAsia="楷体"/>
      <w:sz w:val="24"/>
      <w:szCs w:val="24"/>
    </w:rPr>
  </w:style>
  <w:style w:type="paragraph" w:customStyle="1" w:styleId="54">
    <w:name w:val="Char Char Char Char Char Char1 Char Char Char Char"/>
    <w:basedOn w:val="1"/>
    <w:next w:val="1"/>
    <w:autoRedefine/>
    <w:semiHidden/>
    <w:qFormat/>
    <w:uiPriority w:val="99"/>
    <w:pPr>
      <w:spacing w:line="360" w:lineRule="auto"/>
      <w:ind w:firstLine="200" w:firstLineChars="200"/>
    </w:pPr>
    <w:rPr>
      <w:rFonts w:ascii="宋体" w:hAnsi="宋体" w:cs="宋体"/>
    </w:rPr>
  </w:style>
  <w:style w:type="paragraph" w:customStyle="1" w:styleId="55">
    <w:name w:val="样式5"/>
    <w:basedOn w:val="56"/>
    <w:next w:val="1"/>
    <w:autoRedefine/>
    <w:qFormat/>
    <w:uiPriority w:val="0"/>
    <w:rPr>
      <w:rFonts w:ascii="黑体"/>
    </w:rPr>
  </w:style>
  <w:style w:type="paragraph" w:customStyle="1" w:styleId="56">
    <w:name w:val="正文1"/>
    <w:basedOn w:val="1"/>
    <w:next w:val="1"/>
    <w:autoRedefine/>
    <w:qFormat/>
    <w:uiPriority w:val="0"/>
    <w:pPr>
      <w:widowControl/>
      <w:spacing w:line="360" w:lineRule="auto"/>
      <w:ind w:firstLine="482"/>
    </w:pPr>
    <w:rPr>
      <w:kern w:val="0"/>
      <w:sz w:val="24"/>
    </w:rPr>
  </w:style>
  <w:style w:type="character" w:customStyle="1" w:styleId="57">
    <w:name w:val="标题 1 Char"/>
    <w:basedOn w:val="37"/>
    <w:link w:val="2"/>
    <w:autoRedefine/>
    <w:qFormat/>
    <w:locked/>
    <w:uiPriority w:val="99"/>
    <w:rPr>
      <w:b/>
      <w:bCs/>
      <w:kern w:val="44"/>
      <w:sz w:val="44"/>
      <w:szCs w:val="44"/>
    </w:rPr>
  </w:style>
  <w:style w:type="character" w:customStyle="1" w:styleId="58">
    <w:name w:val="标题 2 Char"/>
    <w:basedOn w:val="37"/>
    <w:link w:val="3"/>
    <w:autoRedefine/>
    <w:semiHidden/>
    <w:qFormat/>
    <w:locked/>
    <w:uiPriority w:val="99"/>
    <w:rPr>
      <w:rFonts w:ascii="Cambria" w:hAnsi="Cambria" w:eastAsia="宋体" w:cs="Cambria"/>
      <w:b/>
      <w:bCs/>
      <w:sz w:val="32"/>
      <w:szCs w:val="32"/>
    </w:rPr>
  </w:style>
  <w:style w:type="character" w:customStyle="1" w:styleId="59">
    <w:name w:val="标题 3 Char"/>
    <w:basedOn w:val="37"/>
    <w:link w:val="4"/>
    <w:autoRedefine/>
    <w:semiHidden/>
    <w:qFormat/>
    <w:locked/>
    <w:uiPriority w:val="99"/>
    <w:rPr>
      <w:b/>
      <w:bCs/>
      <w:sz w:val="32"/>
      <w:szCs w:val="32"/>
    </w:rPr>
  </w:style>
  <w:style w:type="character" w:customStyle="1" w:styleId="60">
    <w:name w:val="标题 4 Char"/>
    <w:basedOn w:val="37"/>
    <w:link w:val="5"/>
    <w:autoRedefine/>
    <w:semiHidden/>
    <w:qFormat/>
    <w:locked/>
    <w:uiPriority w:val="99"/>
    <w:rPr>
      <w:rFonts w:ascii="Cambria" w:hAnsi="Cambria" w:eastAsia="宋体" w:cs="Cambria"/>
      <w:b/>
      <w:bCs/>
      <w:sz w:val="28"/>
      <w:szCs w:val="28"/>
    </w:rPr>
  </w:style>
  <w:style w:type="character" w:customStyle="1" w:styleId="61">
    <w:name w:val="批注文字 Char"/>
    <w:basedOn w:val="37"/>
    <w:link w:val="9"/>
    <w:autoRedefine/>
    <w:qFormat/>
    <w:locked/>
    <w:uiPriority w:val="99"/>
    <w:rPr>
      <w:rFonts w:ascii="Times New Roman" w:hAnsi="Times New Roman" w:eastAsia="宋体" w:cs="Times New Roman"/>
      <w:sz w:val="24"/>
      <w:szCs w:val="24"/>
    </w:rPr>
  </w:style>
  <w:style w:type="character" w:customStyle="1" w:styleId="62">
    <w:name w:val="称呼 Char"/>
    <w:basedOn w:val="37"/>
    <w:link w:val="10"/>
    <w:autoRedefine/>
    <w:semiHidden/>
    <w:qFormat/>
    <w:locked/>
    <w:uiPriority w:val="99"/>
    <w:rPr>
      <w:sz w:val="21"/>
      <w:szCs w:val="21"/>
    </w:rPr>
  </w:style>
  <w:style w:type="character" w:customStyle="1" w:styleId="63">
    <w:name w:val="正文文本 Char"/>
    <w:basedOn w:val="37"/>
    <w:link w:val="11"/>
    <w:autoRedefine/>
    <w:qFormat/>
    <w:locked/>
    <w:uiPriority w:val="99"/>
    <w:rPr>
      <w:sz w:val="18"/>
      <w:szCs w:val="18"/>
    </w:rPr>
  </w:style>
  <w:style w:type="character" w:customStyle="1" w:styleId="64">
    <w:name w:val="正文文本缩进 Char"/>
    <w:basedOn w:val="37"/>
    <w:link w:val="12"/>
    <w:autoRedefine/>
    <w:semiHidden/>
    <w:qFormat/>
    <w:locked/>
    <w:uiPriority w:val="99"/>
    <w:rPr>
      <w:rFonts w:ascii="Times New Roman" w:hAnsi="Times New Roman" w:eastAsia="宋体" w:cs="Times New Roman"/>
      <w:sz w:val="24"/>
      <w:szCs w:val="24"/>
    </w:rPr>
  </w:style>
  <w:style w:type="character" w:customStyle="1" w:styleId="65">
    <w:name w:val="正文文本缩进 2 Char"/>
    <w:basedOn w:val="37"/>
    <w:link w:val="19"/>
    <w:autoRedefine/>
    <w:semiHidden/>
    <w:qFormat/>
    <w:locked/>
    <w:uiPriority w:val="99"/>
    <w:rPr>
      <w:sz w:val="21"/>
      <w:szCs w:val="21"/>
    </w:rPr>
  </w:style>
  <w:style w:type="character" w:customStyle="1" w:styleId="66">
    <w:name w:val="正文首行缩进 2 Char"/>
    <w:basedOn w:val="64"/>
    <w:link w:val="20"/>
    <w:autoRedefine/>
    <w:qFormat/>
    <w:locked/>
    <w:uiPriority w:val="99"/>
    <w:rPr>
      <w:kern w:val="2"/>
    </w:rPr>
  </w:style>
  <w:style w:type="character" w:customStyle="1" w:styleId="67">
    <w:name w:val="纯文本 Char"/>
    <w:basedOn w:val="37"/>
    <w:link w:val="17"/>
    <w:autoRedefine/>
    <w:semiHidden/>
    <w:qFormat/>
    <w:locked/>
    <w:uiPriority w:val="99"/>
    <w:rPr>
      <w:rFonts w:ascii="宋体" w:hAnsi="Courier New" w:cs="宋体"/>
      <w:sz w:val="21"/>
      <w:szCs w:val="21"/>
    </w:rPr>
  </w:style>
  <w:style w:type="character" w:customStyle="1" w:styleId="68">
    <w:name w:val="日期 Char"/>
    <w:basedOn w:val="37"/>
    <w:link w:val="18"/>
    <w:autoRedefine/>
    <w:qFormat/>
    <w:locked/>
    <w:uiPriority w:val="99"/>
    <w:rPr>
      <w:rFonts w:ascii="Times New Roman" w:hAnsi="Times New Roman" w:eastAsia="宋体" w:cs="Times New Roman"/>
      <w:sz w:val="24"/>
      <w:szCs w:val="24"/>
    </w:rPr>
  </w:style>
  <w:style w:type="character" w:customStyle="1" w:styleId="69">
    <w:name w:val="批注框文本 Char"/>
    <w:basedOn w:val="37"/>
    <w:link w:val="21"/>
    <w:autoRedefine/>
    <w:semiHidden/>
    <w:qFormat/>
    <w:locked/>
    <w:uiPriority w:val="99"/>
    <w:rPr>
      <w:rFonts w:ascii="Times New Roman" w:hAnsi="Times New Roman" w:eastAsia="宋体" w:cs="Times New Roman"/>
      <w:sz w:val="18"/>
      <w:szCs w:val="18"/>
    </w:rPr>
  </w:style>
  <w:style w:type="character" w:customStyle="1" w:styleId="70">
    <w:name w:val="页脚 Char"/>
    <w:basedOn w:val="37"/>
    <w:link w:val="22"/>
    <w:autoRedefine/>
    <w:semiHidden/>
    <w:qFormat/>
    <w:uiPriority w:val="99"/>
    <w:rPr>
      <w:sz w:val="18"/>
      <w:szCs w:val="18"/>
    </w:rPr>
  </w:style>
  <w:style w:type="character" w:customStyle="1" w:styleId="71">
    <w:name w:val="页眉 Char"/>
    <w:basedOn w:val="37"/>
    <w:link w:val="23"/>
    <w:autoRedefine/>
    <w:semiHidden/>
    <w:qFormat/>
    <w:uiPriority w:val="99"/>
    <w:rPr>
      <w:sz w:val="18"/>
      <w:szCs w:val="18"/>
    </w:rPr>
  </w:style>
  <w:style w:type="character" w:customStyle="1" w:styleId="72">
    <w:name w:val="正文文本缩进 3 Char"/>
    <w:basedOn w:val="37"/>
    <w:link w:val="27"/>
    <w:autoRedefine/>
    <w:semiHidden/>
    <w:qFormat/>
    <w:locked/>
    <w:uiPriority w:val="99"/>
    <w:rPr>
      <w:sz w:val="16"/>
      <w:szCs w:val="16"/>
    </w:rPr>
  </w:style>
  <w:style w:type="character" w:customStyle="1" w:styleId="73">
    <w:name w:val="正文文本 2 Char"/>
    <w:basedOn w:val="37"/>
    <w:link w:val="30"/>
    <w:autoRedefine/>
    <w:semiHidden/>
    <w:qFormat/>
    <w:locked/>
    <w:uiPriority w:val="99"/>
    <w:rPr>
      <w:sz w:val="21"/>
      <w:szCs w:val="21"/>
    </w:rPr>
  </w:style>
  <w:style w:type="character" w:customStyle="1" w:styleId="74">
    <w:name w:val="批注主题 Char"/>
    <w:basedOn w:val="61"/>
    <w:link w:val="32"/>
    <w:autoRedefine/>
    <w:semiHidden/>
    <w:qFormat/>
    <w:locked/>
    <w:uiPriority w:val="99"/>
    <w:rPr>
      <w:b/>
      <w:bCs/>
      <w:kern w:val="2"/>
    </w:rPr>
  </w:style>
  <w:style w:type="character" w:customStyle="1" w:styleId="75">
    <w:name w:val="正文首行缩进 Char"/>
    <w:basedOn w:val="63"/>
    <w:link w:val="33"/>
    <w:autoRedefine/>
    <w:semiHidden/>
    <w:qFormat/>
    <w:locked/>
    <w:uiPriority w:val="99"/>
    <w:rPr>
      <w:sz w:val="21"/>
      <w:szCs w:val="21"/>
    </w:rPr>
  </w:style>
  <w:style w:type="paragraph" w:customStyle="1" w:styleId="76">
    <w:name w:val="文本"/>
    <w:basedOn w:val="1"/>
    <w:next w:val="1"/>
    <w:autoRedefine/>
    <w:qFormat/>
    <w:uiPriority w:val="99"/>
    <w:pPr>
      <w:autoSpaceDE w:val="0"/>
      <w:autoSpaceDN w:val="0"/>
      <w:ind w:firstLine="480"/>
    </w:pPr>
    <w:rPr>
      <w:sz w:val="24"/>
      <w:lang w:val="zh-CN"/>
    </w:rPr>
  </w:style>
  <w:style w:type="character" w:customStyle="1" w:styleId="77">
    <w:name w:val="普通(网站) Char"/>
    <w:link w:val="31"/>
    <w:autoRedefine/>
    <w:qFormat/>
    <w:locked/>
    <w:uiPriority w:val="99"/>
    <w:rPr>
      <w:rFonts w:ascii="宋体" w:hAnsi="宋体" w:eastAsia="宋体" w:cs="宋体"/>
      <w:sz w:val="24"/>
      <w:szCs w:val="24"/>
    </w:rPr>
  </w:style>
  <w:style w:type="character" w:customStyle="1" w:styleId="78">
    <w:name w:val="font81"/>
    <w:autoRedefine/>
    <w:qFormat/>
    <w:uiPriority w:val="99"/>
    <w:rPr>
      <w:rFonts w:ascii="宋体" w:hAnsi="宋体" w:eastAsia="宋体" w:cs="宋体"/>
      <w:color w:val="000000"/>
      <w:sz w:val="18"/>
      <w:szCs w:val="18"/>
      <w:u w:val="none"/>
    </w:rPr>
  </w:style>
  <w:style w:type="character" w:customStyle="1" w:styleId="79">
    <w:name w:val="正文文本 字符1"/>
    <w:autoRedefine/>
    <w:semiHidden/>
    <w:qFormat/>
    <w:uiPriority w:val="99"/>
    <w:rPr>
      <w:rFonts w:ascii="Times New Roman" w:hAnsi="Times New Roman" w:eastAsia="宋体" w:cs="Times New Roman"/>
      <w:sz w:val="24"/>
      <w:szCs w:val="24"/>
    </w:rPr>
  </w:style>
  <w:style w:type="character" w:customStyle="1" w:styleId="80">
    <w:name w:val="表格 Char"/>
    <w:link w:val="81"/>
    <w:autoRedefine/>
    <w:qFormat/>
    <w:locked/>
    <w:uiPriority w:val="99"/>
    <w:rPr>
      <w:rFonts w:ascii="宋体" w:cs="宋体"/>
      <w:sz w:val="21"/>
      <w:szCs w:val="21"/>
    </w:rPr>
  </w:style>
  <w:style w:type="paragraph" w:customStyle="1" w:styleId="81">
    <w:name w:val="表格"/>
    <w:basedOn w:val="82"/>
    <w:next w:val="1"/>
    <w:link w:val="80"/>
    <w:autoRedefine/>
    <w:qFormat/>
    <w:uiPriority w:val="99"/>
    <w:pPr>
      <w:adjustRightInd w:val="0"/>
      <w:snapToGrid w:val="0"/>
      <w:spacing w:beforeLines="10" w:afterLines="10" w:line="259" w:lineRule="auto"/>
    </w:pPr>
    <w:rPr>
      <w:rFonts w:ascii="宋体" w:eastAsia="宋体"/>
    </w:rPr>
  </w:style>
  <w:style w:type="paragraph" w:customStyle="1" w:styleId="82">
    <w:name w:val="图示"/>
    <w:basedOn w:val="1"/>
    <w:autoRedefine/>
    <w:qFormat/>
    <w:uiPriority w:val="99"/>
    <w:pPr>
      <w:jc w:val="center"/>
    </w:pPr>
    <w:rPr>
      <w:rFonts w:eastAsia="黑体"/>
      <w:kern w:val="0"/>
    </w:rPr>
  </w:style>
  <w:style w:type="character" w:customStyle="1" w:styleId="83">
    <w:name w:val="日期 字符"/>
    <w:autoRedefine/>
    <w:semiHidden/>
    <w:qFormat/>
    <w:uiPriority w:val="99"/>
    <w:rPr>
      <w:rFonts w:ascii="Times New Roman" w:hAnsi="Times New Roman" w:eastAsia="宋体" w:cs="Times New Roman"/>
      <w:sz w:val="24"/>
      <w:szCs w:val="24"/>
    </w:rPr>
  </w:style>
  <w:style w:type="character" w:customStyle="1" w:styleId="84">
    <w:name w:val="表格内容 Char"/>
    <w:link w:val="85"/>
    <w:autoRedefine/>
    <w:qFormat/>
    <w:locked/>
    <w:uiPriority w:val="99"/>
    <w:rPr>
      <w:sz w:val="21"/>
      <w:szCs w:val="21"/>
    </w:rPr>
  </w:style>
  <w:style w:type="paragraph" w:customStyle="1" w:styleId="85">
    <w:name w:val="表格内容"/>
    <w:basedOn w:val="86"/>
    <w:link w:val="84"/>
    <w:autoRedefine/>
    <w:qFormat/>
    <w:uiPriority w:val="99"/>
    <w:pPr>
      <w:widowControl w:val="0"/>
      <w:adjustRightInd w:val="0"/>
      <w:spacing w:line="300" w:lineRule="auto"/>
    </w:pPr>
    <w:rPr>
      <w:rFonts w:eastAsia="宋体"/>
      <w:sz w:val="21"/>
      <w:szCs w:val="21"/>
    </w:rPr>
  </w:style>
  <w:style w:type="paragraph" w:customStyle="1" w:styleId="86">
    <w:name w:val="表格标题"/>
    <w:basedOn w:val="11"/>
    <w:next w:val="85"/>
    <w:autoRedefine/>
    <w:qFormat/>
    <w:uiPriority w:val="99"/>
    <w:pPr>
      <w:spacing w:before="120" w:after="60" w:line="240" w:lineRule="auto"/>
      <w:jc w:val="center"/>
    </w:pPr>
    <w:rPr>
      <w:rFonts w:eastAsia="黑体"/>
    </w:rPr>
  </w:style>
  <w:style w:type="paragraph" w:customStyle="1" w:styleId="87">
    <w:name w:val="表格式"/>
    <w:basedOn w:val="1"/>
    <w:autoRedefine/>
    <w:qFormat/>
    <w:uiPriority w:val="99"/>
    <w:pPr>
      <w:spacing w:beforeLines="50" w:afterLines="50" w:line="200" w:lineRule="exact"/>
      <w:jc w:val="center"/>
    </w:pPr>
  </w:style>
  <w:style w:type="paragraph" w:customStyle="1" w:styleId="88">
    <w:name w:val="表1"/>
    <w:basedOn w:val="1"/>
    <w:autoRedefine/>
    <w:qFormat/>
    <w:uiPriority w:val="99"/>
    <w:pPr>
      <w:ind w:firstLine="723" w:firstLineChars="200"/>
      <w:jc w:val="center"/>
    </w:pPr>
    <w:rPr>
      <w:b/>
      <w:bCs/>
    </w:rPr>
  </w:style>
  <w:style w:type="paragraph" w:customStyle="1" w:styleId="89">
    <w:name w:val="表标题"/>
    <w:basedOn w:val="33"/>
    <w:autoRedefine/>
    <w:qFormat/>
    <w:uiPriority w:val="99"/>
    <w:pPr>
      <w:adjustRightInd w:val="0"/>
      <w:spacing w:after="60" w:line="500" w:lineRule="exact"/>
      <w:ind w:firstLine="0" w:firstLineChars="0"/>
      <w:jc w:val="center"/>
    </w:pPr>
    <w:rPr>
      <w:rFonts w:ascii="Calibri" w:hAnsi="Calibri" w:cs="Calibri"/>
      <w:b/>
      <w:bCs/>
      <w:kern w:val="2"/>
    </w:rPr>
  </w:style>
  <w:style w:type="paragraph" w:customStyle="1" w:styleId="90">
    <w:name w:val="表2"/>
    <w:basedOn w:val="1"/>
    <w:autoRedefine/>
    <w:qFormat/>
    <w:uiPriority w:val="99"/>
    <w:pPr>
      <w:jc w:val="center"/>
    </w:pPr>
  </w:style>
  <w:style w:type="paragraph" w:customStyle="1" w:styleId="91">
    <w:name w:val="表头"/>
    <w:next w:val="1"/>
    <w:link w:val="112"/>
    <w:autoRedefine/>
    <w:qFormat/>
    <w:uiPriority w:val="99"/>
    <w:pPr>
      <w:adjustRightInd w:val="0"/>
      <w:spacing w:line="500" w:lineRule="exact"/>
      <w:ind w:firstLine="560"/>
      <w:jc w:val="center"/>
      <w:textAlignment w:val="baseline"/>
    </w:pPr>
    <w:rPr>
      <w:rFonts w:ascii="宋体" w:hAnsi="Times New Roman" w:eastAsia="宋体" w:cs="Times New Roman"/>
      <w:b/>
      <w:bCs/>
      <w:sz w:val="28"/>
      <w:szCs w:val="28"/>
      <w:lang w:val="en-US" w:eastAsia="zh-CN" w:bidi="ar-SA"/>
    </w:rPr>
  </w:style>
  <w:style w:type="paragraph" w:customStyle="1" w:styleId="92">
    <w:name w:val="Table Paragraph"/>
    <w:basedOn w:val="1"/>
    <w:autoRedefine/>
    <w:qFormat/>
    <w:uiPriority w:val="99"/>
    <w:pPr>
      <w:jc w:val="left"/>
    </w:pPr>
    <w:rPr>
      <w:rFonts w:ascii="Calibri" w:hAnsi="Calibri" w:cs="Calibri"/>
      <w:sz w:val="22"/>
      <w:szCs w:val="22"/>
      <w:lang w:eastAsia="en-US"/>
    </w:rPr>
  </w:style>
  <w:style w:type="paragraph" w:customStyle="1" w:styleId="93">
    <w:name w:val="Char Char Char1 Char Char Char Char Char Char Char"/>
    <w:basedOn w:val="1"/>
    <w:autoRedefine/>
    <w:qFormat/>
    <w:uiPriority w:val="99"/>
    <w:rPr>
      <w:rFonts w:ascii="等线" w:hAnsi="等线" w:cs="等线"/>
      <w:spacing w:val="-2"/>
      <w:kern w:val="0"/>
    </w:rPr>
  </w:style>
  <w:style w:type="paragraph" w:customStyle="1" w:styleId="94">
    <w:name w:val="普通(网站)2"/>
    <w:basedOn w:val="1"/>
    <w:autoRedefine/>
    <w:qFormat/>
    <w:uiPriority w:val="99"/>
    <w:pPr>
      <w:widowControl/>
      <w:spacing w:before="100" w:beforeAutospacing="1" w:after="100" w:afterAutospacing="1"/>
      <w:jc w:val="left"/>
    </w:pPr>
    <w:rPr>
      <w:rFonts w:ascii="宋体" w:hAnsi="宋体" w:cs="宋体"/>
      <w:sz w:val="24"/>
      <w:szCs w:val="24"/>
    </w:rPr>
  </w:style>
  <w:style w:type="paragraph" w:customStyle="1" w:styleId="95">
    <w:name w:val="三级标题"/>
    <w:basedOn w:val="1"/>
    <w:next w:val="20"/>
    <w:autoRedefine/>
    <w:qFormat/>
    <w:uiPriority w:val="99"/>
    <w:pPr>
      <w:spacing w:line="300" w:lineRule="exact"/>
      <w:jc w:val="center"/>
    </w:pPr>
  </w:style>
  <w:style w:type="paragraph" w:customStyle="1" w:styleId="96">
    <w:name w:val="表格正文"/>
    <w:basedOn w:val="7"/>
    <w:autoRedefine/>
    <w:qFormat/>
    <w:uiPriority w:val="99"/>
    <w:pPr>
      <w:widowControl/>
      <w:adjustRightInd w:val="0"/>
      <w:snapToGrid w:val="0"/>
      <w:spacing w:line="360" w:lineRule="exact"/>
      <w:jc w:val="center"/>
    </w:pPr>
    <w:rPr>
      <w:sz w:val="20"/>
      <w:szCs w:val="20"/>
    </w:rPr>
  </w:style>
  <w:style w:type="paragraph" w:customStyle="1" w:styleId="97">
    <w:name w:val="表格CAT"/>
    <w:autoRedefine/>
    <w:qFormat/>
    <w:uiPriority w:val="99"/>
    <w:pPr>
      <w:tabs>
        <w:tab w:val="left" w:pos="277"/>
        <w:tab w:val="left" w:pos="600"/>
        <w:tab w:val="left" w:pos="780"/>
        <w:tab w:val="left" w:pos="2517"/>
      </w:tabs>
      <w:adjustRightInd w:val="0"/>
      <w:jc w:val="center"/>
      <w:textAlignment w:val="baseline"/>
    </w:pPr>
    <w:rPr>
      <w:rFonts w:ascii="Times New Roman" w:hAnsi="Times New Roman" w:eastAsia="宋体" w:cs="Times New Roman"/>
      <w:color w:val="000000"/>
      <w:sz w:val="18"/>
      <w:szCs w:val="18"/>
      <w:lang w:val="en-GB" w:eastAsia="zh-CN" w:bidi="ar-SA"/>
    </w:rPr>
  </w:style>
  <w:style w:type="table" w:customStyle="1" w:styleId="98">
    <w:name w:val="网格型3"/>
    <w:autoRedefine/>
    <w:qFormat/>
    <w:uiPriority w:val="99"/>
    <w:rPr>
      <w:rFonts w:ascii="等线" w:hAnsi="等线" w:eastAsia="等线" w:cs="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99">
    <w:name w:val="表内文字"/>
    <w:basedOn w:val="1"/>
    <w:autoRedefine/>
    <w:qFormat/>
    <w:uiPriority w:val="99"/>
    <w:pPr>
      <w:adjustRightInd w:val="0"/>
      <w:jc w:val="center"/>
      <w:textAlignment w:val="baseline"/>
    </w:pPr>
  </w:style>
  <w:style w:type="character" w:customStyle="1" w:styleId="100">
    <w:name w:val="checkbox"/>
    <w:basedOn w:val="37"/>
    <w:autoRedefine/>
    <w:qFormat/>
    <w:uiPriority w:val="99"/>
  </w:style>
  <w:style w:type="character" w:customStyle="1" w:styleId="101">
    <w:name w:val="chakan"/>
    <w:basedOn w:val="37"/>
    <w:autoRedefine/>
    <w:qFormat/>
    <w:uiPriority w:val="99"/>
    <w:rPr>
      <w:color w:val="auto"/>
    </w:rPr>
  </w:style>
  <w:style w:type="character" w:customStyle="1" w:styleId="102">
    <w:name w:val="shenbao"/>
    <w:basedOn w:val="37"/>
    <w:autoRedefine/>
    <w:qFormat/>
    <w:uiPriority w:val="99"/>
    <w:rPr>
      <w:color w:val="auto"/>
    </w:rPr>
  </w:style>
  <w:style w:type="character" w:customStyle="1" w:styleId="103">
    <w:name w:val="checkbox2"/>
    <w:basedOn w:val="37"/>
    <w:autoRedefine/>
    <w:qFormat/>
    <w:uiPriority w:val="99"/>
  </w:style>
  <w:style w:type="paragraph" w:customStyle="1" w:styleId="104">
    <w:name w:val="表格123"/>
    <w:basedOn w:val="1"/>
    <w:autoRedefine/>
    <w:qFormat/>
    <w:uiPriority w:val="99"/>
    <w:pPr>
      <w:jc w:val="center"/>
    </w:pPr>
    <w:rPr>
      <w:rFonts w:ascii="宋体" w:hAnsi="宋体" w:cs="宋体"/>
    </w:rPr>
  </w:style>
  <w:style w:type="paragraph" w:customStyle="1" w:styleId="105">
    <w:name w:val="题注123"/>
    <w:basedOn w:val="1"/>
    <w:autoRedefine/>
    <w:qFormat/>
    <w:uiPriority w:val="99"/>
    <w:pPr>
      <w:keepNext/>
      <w:jc w:val="center"/>
    </w:pPr>
    <w:rPr>
      <w:b/>
      <w:bCs/>
    </w:rPr>
  </w:style>
  <w:style w:type="character" w:customStyle="1" w:styleId="106">
    <w:name w:val="font21"/>
    <w:basedOn w:val="37"/>
    <w:autoRedefine/>
    <w:qFormat/>
    <w:uiPriority w:val="99"/>
    <w:rPr>
      <w:rFonts w:ascii="宋体" w:hAnsi="宋体" w:eastAsia="宋体" w:cs="宋体"/>
      <w:b/>
      <w:bCs/>
      <w:color w:val="000000"/>
      <w:sz w:val="24"/>
      <w:szCs w:val="24"/>
      <w:u w:val="none"/>
      <w:vertAlign w:val="subscript"/>
    </w:rPr>
  </w:style>
  <w:style w:type="paragraph" w:customStyle="1" w:styleId="107">
    <w:name w:val="报告正文"/>
    <w:basedOn w:val="1"/>
    <w:autoRedefine/>
    <w:qFormat/>
    <w:uiPriority w:val="99"/>
    <w:pPr>
      <w:adjustRightInd w:val="0"/>
      <w:snapToGrid w:val="0"/>
      <w:spacing w:line="360" w:lineRule="auto"/>
      <w:ind w:firstLine="200" w:firstLineChars="200"/>
    </w:pPr>
    <w:rPr>
      <w:kern w:val="0"/>
      <w:sz w:val="24"/>
      <w:szCs w:val="24"/>
    </w:rPr>
  </w:style>
  <w:style w:type="paragraph" w:customStyle="1" w:styleId="108">
    <w:name w:val="段"/>
    <w:autoRedefine/>
    <w:qFormat/>
    <w:uiPriority w:val="99"/>
    <w:pPr>
      <w:autoSpaceDE w:val="0"/>
      <w:autoSpaceDN w:val="0"/>
      <w:ind w:firstLine="200" w:firstLineChars="200"/>
      <w:jc w:val="both"/>
    </w:pPr>
    <w:rPr>
      <w:rFonts w:ascii="宋体" w:hAnsi="Times New Roman" w:eastAsia="宋体" w:cs="宋体"/>
      <w:sz w:val="21"/>
      <w:szCs w:val="21"/>
      <w:lang w:val="en-US" w:eastAsia="zh-CN" w:bidi="ar-SA"/>
    </w:rPr>
  </w:style>
  <w:style w:type="paragraph" w:customStyle="1" w:styleId="109">
    <w:name w:val="报告"/>
    <w:basedOn w:val="1"/>
    <w:autoRedefine/>
    <w:qFormat/>
    <w:uiPriority w:val="99"/>
    <w:pPr>
      <w:autoSpaceDE w:val="0"/>
      <w:autoSpaceDN w:val="0"/>
      <w:adjustRightInd w:val="0"/>
      <w:ind w:firstLine="505"/>
      <w:jc w:val="left"/>
      <w:textAlignment w:val="baseline"/>
    </w:pPr>
    <w:rPr>
      <w:kern w:val="0"/>
    </w:rPr>
  </w:style>
  <w:style w:type="table" w:customStyle="1" w:styleId="110">
    <w:name w:val="Table Normal1"/>
    <w:autoRedefine/>
    <w:semiHidden/>
    <w:qFormat/>
    <w:uiPriority w:val="99"/>
    <w:tblPr>
      <w:tblCellMar>
        <w:top w:w="0" w:type="dxa"/>
        <w:left w:w="0" w:type="dxa"/>
        <w:bottom w:w="0" w:type="dxa"/>
        <w:right w:w="0" w:type="dxa"/>
      </w:tblCellMar>
    </w:tblPr>
  </w:style>
  <w:style w:type="paragraph" w:customStyle="1" w:styleId="111">
    <w:name w:val="表格名称"/>
    <w:basedOn w:val="1"/>
    <w:autoRedefine/>
    <w:qFormat/>
    <w:uiPriority w:val="99"/>
    <w:pPr>
      <w:spacing w:beforeLines="50"/>
      <w:jc w:val="center"/>
    </w:pPr>
    <w:rPr>
      <w:b/>
      <w:bCs/>
    </w:rPr>
  </w:style>
  <w:style w:type="character" w:customStyle="1" w:styleId="112">
    <w:name w:val="表头 Char Char"/>
    <w:link w:val="91"/>
    <w:autoRedefine/>
    <w:qFormat/>
    <w:locked/>
    <w:uiPriority w:val="99"/>
    <w:rPr>
      <w:rFonts w:ascii="宋体"/>
      <w:b/>
      <w:bCs/>
      <w:sz w:val="28"/>
      <w:szCs w:val="28"/>
      <w:lang w:bidi="ar-SA"/>
    </w:rPr>
  </w:style>
  <w:style w:type="character" w:customStyle="1" w:styleId="113">
    <w:name w:val="font01"/>
    <w:autoRedefine/>
    <w:qFormat/>
    <w:uiPriority w:val="99"/>
    <w:rPr>
      <w:rFonts w:ascii="宋体" w:hAnsi="宋体" w:eastAsia="宋体" w:cs="宋体"/>
      <w:color w:val="000000"/>
      <w:sz w:val="22"/>
      <w:szCs w:val="22"/>
      <w:u w:val="none"/>
    </w:rPr>
  </w:style>
  <w:style w:type="character" w:customStyle="1" w:styleId="114">
    <w:name w:val="font11"/>
    <w:autoRedefine/>
    <w:qFormat/>
    <w:uiPriority w:val="99"/>
    <w:rPr>
      <w:rFonts w:ascii="Tahoma" w:hAnsi="Tahoma" w:cs="Tahoma"/>
      <w:b/>
      <w:bCs/>
      <w:color w:val="000000"/>
      <w:sz w:val="28"/>
      <w:szCs w:val="28"/>
      <w:u w:val="none"/>
    </w:rPr>
  </w:style>
  <w:style w:type="paragraph" w:customStyle="1" w:styleId="115">
    <w:name w:val="标号正文"/>
    <w:basedOn w:val="1"/>
    <w:next w:val="1"/>
    <w:autoRedefine/>
    <w:qFormat/>
    <w:uiPriority w:val="99"/>
    <w:pPr>
      <w:tabs>
        <w:tab w:val="left" w:pos="1540"/>
      </w:tabs>
      <w:overflowPunct w:val="0"/>
      <w:snapToGrid w:val="0"/>
      <w:ind w:firstLine="1040"/>
      <w:jc w:val="left"/>
    </w:pPr>
    <w:rPr>
      <w:rFonts w:ascii="Arial" w:hAnsi="Arial" w:cs="Arial"/>
    </w:rPr>
  </w:style>
  <w:style w:type="table" w:customStyle="1" w:styleId="116">
    <w:name w:val="Table Normal2"/>
    <w:autoRedefine/>
    <w:semiHidden/>
    <w:qFormat/>
    <w:uiPriority w:val="99"/>
    <w:tblPr>
      <w:tblCellMar>
        <w:top w:w="0" w:type="dxa"/>
        <w:left w:w="0" w:type="dxa"/>
        <w:bottom w:w="0" w:type="dxa"/>
        <w:right w:w="0" w:type="dxa"/>
      </w:tblCellMar>
    </w:tblPr>
  </w:style>
  <w:style w:type="paragraph" w:customStyle="1" w:styleId="117">
    <w:name w:val="1统一正文样式"/>
    <w:basedOn w:val="1"/>
    <w:autoRedefine/>
    <w:qFormat/>
    <w:uiPriority w:val="99"/>
    <w:pPr>
      <w:spacing w:line="360" w:lineRule="auto"/>
      <w:ind w:firstLine="200" w:firstLineChars="200"/>
      <w:jc w:val="left"/>
    </w:pPr>
  </w:style>
  <w:style w:type="paragraph" w:customStyle="1" w:styleId="118">
    <w:name w:val="1统一表头图底样式"/>
    <w:basedOn w:val="119"/>
    <w:next w:val="1"/>
    <w:autoRedefine/>
    <w:qFormat/>
    <w:uiPriority w:val="99"/>
    <w:rPr>
      <w:rFonts w:ascii="Times New Roman" w:hAnsi="Times New Roman" w:cs="Times New Roman"/>
      <w:sz w:val="21"/>
      <w:szCs w:val="21"/>
    </w:rPr>
  </w:style>
  <w:style w:type="paragraph" w:customStyle="1" w:styleId="119">
    <w:name w:val="11111111111"/>
    <w:basedOn w:val="1"/>
    <w:autoRedefine/>
    <w:qFormat/>
    <w:uiPriority w:val="99"/>
    <w:pPr>
      <w:jc w:val="center"/>
    </w:pPr>
    <w:rPr>
      <w:rFonts w:ascii="Calibri" w:hAnsi="Calibri" w:cs="Calibri"/>
      <w:b/>
      <w:bCs/>
      <w:kern w:val="0"/>
      <w:sz w:val="20"/>
      <w:szCs w:val="20"/>
    </w:rPr>
  </w:style>
  <w:style w:type="paragraph" w:customStyle="1" w:styleId="120">
    <w:name w:val="1统一表样式"/>
    <w:basedOn w:val="1"/>
    <w:autoRedefine/>
    <w:qFormat/>
    <w:uiPriority w:val="99"/>
    <w:pPr>
      <w:jc w:val="center"/>
    </w:pPr>
  </w:style>
  <w:style w:type="paragraph" w:customStyle="1" w:styleId="121">
    <w:name w:val="Other|1"/>
    <w:basedOn w:val="1"/>
    <w:autoRedefine/>
    <w:qFormat/>
    <w:uiPriority w:val="99"/>
    <w:pPr>
      <w:jc w:val="center"/>
    </w:pPr>
    <w:rPr>
      <w:sz w:val="20"/>
      <w:szCs w:val="20"/>
    </w:rPr>
  </w:style>
  <w:style w:type="paragraph" w:customStyle="1" w:styleId="122">
    <w:name w:val="正文（用）"/>
    <w:basedOn w:val="1"/>
    <w:autoRedefine/>
    <w:qFormat/>
    <w:uiPriority w:val="99"/>
    <w:pPr>
      <w:spacing w:line="360" w:lineRule="auto"/>
      <w:ind w:firstLine="480" w:firstLineChars="200"/>
      <w:jc w:val="left"/>
    </w:pPr>
    <w:rPr>
      <w:rFonts w:ascii="宋体" w:hAnsi="宋体" w:cs="宋体"/>
      <w:sz w:val="24"/>
      <w:szCs w:val="24"/>
    </w:rPr>
  </w:style>
  <w:style w:type="paragraph" w:customStyle="1" w:styleId="123">
    <w:name w:val="MsoNormal"/>
    <w:basedOn w:val="1"/>
    <w:autoRedefine/>
    <w:qFormat/>
    <w:uiPriority w:val="99"/>
    <w:rPr>
      <w:rFonts w:ascii="Calibri" w:hAnsi="Calibri" w:cs="Calibri"/>
    </w:rPr>
  </w:style>
  <w:style w:type="table" w:customStyle="1" w:styleId="124">
    <w:name w:val="MsoTableGrid"/>
    <w:autoRedefine/>
    <w:qFormat/>
    <w:uiPriority w:val="99"/>
    <w:rPr>
      <w:rFonts w:ascii="Calibri" w:hAnsi="Calibri" w:cs="Calibri"/>
    </w:rPr>
    <w:tblPr>
      <w:tblCellMar>
        <w:top w:w="0" w:type="dxa"/>
        <w:left w:w="108" w:type="dxa"/>
        <w:bottom w:w="0" w:type="dxa"/>
        <w:right w:w="108" w:type="dxa"/>
      </w:tblCellMar>
    </w:tblPr>
  </w:style>
  <w:style w:type="paragraph" w:customStyle="1" w:styleId="125">
    <w:name w:val="Table Text"/>
    <w:basedOn w:val="1"/>
    <w:autoRedefine/>
    <w:semiHidden/>
    <w:qFormat/>
    <w:uiPriority w:val="99"/>
    <w:rPr>
      <w:sz w:val="24"/>
      <w:szCs w:val="24"/>
      <w:lang w:eastAsia="en-US"/>
    </w:rPr>
  </w:style>
  <w:style w:type="paragraph" w:customStyle="1" w:styleId="126">
    <w:name w:val="*正文"/>
    <w:autoRedefine/>
    <w:qFormat/>
    <w:uiPriority w:val="99"/>
    <w:pPr>
      <w:spacing w:line="360" w:lineRule="auto"/>
      <w:ind w:firstLine="200" w:firstLineChars="200"/>
      <w:jc w:val="both"/>
      <w:textAlignment w:val="baseline"/>
    </w:pPr>
    <w:rPr>
      <w:rFonts w:ascii="Times New Roman" w:hAnsi="Times New Roman" w:eastAsia="宋体" w:cs="Times New Roman"/>
      <w:color w:val="000000"/>
      <w:sz w:val="24"/>
      <w:szCs w:val="24"/>
      <w:lang w:val="en-US" w:eastAsia="zh-CN" w:bidi="ar-SA"/>
    </w:rPr>
  </w:style>
  <w:style w:type="character" w:customStyle="1" w:styleId="127">
    <w:name w:val="bds_more4"/>
    <w:basedOn w:val="37"/>
    <w:autoRedefine/>
    <w:qFormat/>
    <w:uiPriority w:val="99"/>
    <w:rPr>
      <w:rFonts w:ascii="宋体" w:hAnsi="宋体" w:eastAsia="宋体" w:cs="宋体"/>
    </w:rPr>
  </w:style>
  <w:style w:type="character" w:customStyle="1" w:styleId="128">
    <w:name w:val="bds_more5"/>
    <w:basedOn w:val="37"/>
    <w:autoRedefine/>
    <w:qFormat/>
    <w:uiPriority w:val="99"/>
  </w:style>
  <w:style w:type="character" w:customStyle="1" w:styleId="129">
    <w:name w:val="bds_more6"/>
    <w:basedOn w:val="37"/>
    <w:autoRedefine/>
    <w:qFormat/>
    <w:uiPriority w:val="99"/>
  </w:style>
  <w:style w:type="character" w:customStyle="1" w:styleId="130">
    <w:name w:val="bds_nopic"/>
    <w:basedOn w:val="37"/>
    <w:autoRedefine/>
    <w:qFormat/>
    <w:uiPriority w:val="99"/>
  </w:style>
  <w:style w:type="character" w:customStyle="1" w:styleId="131">
    <w:name w:val="bds_nopic1"/>
    <w:basedOn w:val="37"/>
    <w:autoRedefine/>
    <w:qFormat/>
    <w:uiPriority w:val="99"/>
  </w:style>
  <w:style w:type="character" w:customStyle="1" w:styleId="132">
    <w:name w:val="bds_nopic2"/>
    <w:basedOn w:val="37"/>
    <w:autoRedefine/>
    <w:qFormat/>
    <w:uiPriority w:val="99"/>
  </w:style>
  <w:style w:type="character" w:customStyle="1" w:styleId="133">
    <w:name w:val="bds_more"/>
    <w:basedOn w:val="37"/>
    <w:autoRedefine/>
    <w:qFormat/>
    <w:uiPriority w:val="99"/>
    <w:rPr>
      <w:rFonts w:ascii="宋体" w:hAnsi="宋体" w:eastAsia="宋体" w:cs="宋体"/>
    </w:rPr>
  </w:style>
  <w:style w:type="character" w:customStyle="1" w:styleId="134">
    <w:name w:val="bds_more1"/>
    <w:basedOn w:val="37"/>
    <w:autoRedefine/>
    <w:qFormat/>
    <w:uiPriority w:val="99"/>
  </w:style>
  <w:style w:type="character" w:customStyle="1" w:styleId="135">
    <w:name w:val="bds_more2"/>
    <w:basedOn w:val="37"/>
    <w:autoRedefine/>
    <w:qFormat/>
    <w:uiPriority w:val="99"/>
  </w:style>
  <w:style w:type="character" w:customStyle="1" w:styleId="136">
    <w:name w:val="bds_more3"/>
    <w:basedOn w:val="37"/>
    <w:autoRedefine/>
    <w:qFormat/>
    <w:uiPriority w:val="99"/>
  </w:style>
  <w:style w:type="table" w:customStyle="1" w:styleId="137">
    <w:name w:val="Table Normal"/>
    <w:autoRedefine/>
    <w:semiHidden/>
    <w:unhideWhenUsed/>
    <w:qFormat/>
    <w:uiPriority w:val="0"/>
    <w:tblPr>
      <w:tblCellMar>
        <w:top w:w="0" w:type="dxa"/>
        <w:left w:w="0" w:type="dxa"/>
        <w:bottom w:w="0" w:type="dxa"/>
        <w:right w:w="0" w:type="dxa"/>
      </w:tblCellMar>
    </w:tblPr>
  </w:style>
  <w:style w:type="paragraph" w:customStyle="1" w:styleId="138">
    <w:name w:val="表名"/>
    <w:basedOn w:val="1"/>
    <w:autoRedefine/>
    <w:qFormat/>
    <w:uiPriority w:val="0"/>
    <w:pPr>
      <w:adjustRightInd w:val="0"/>
      <w:snapToGrid w:val="0"/>
      <w:spacing w:beforeLines="50"/>
      <w:jc w:val="center"/>
    </w:pPr>
    <w:rPr>
      <w:rFonts w:hint="eastAsia"/>
      <w:b/>
      <w:kern w:val="0"/>
      <w:szCs w:val="20"/>
    </w:rPr>
  </w:style>
  <w:style w:type="paragraph" w:customStyle="1" w:styleId="139">
    <w:name w:val="环评正文"/>
    <w:basedOn w:val="1"/>
    <w:autoRedefine/>
    <w:qFormat/>
    <w:uiPriority w:val="0"/>
    <w:pPr>
      <w:spacing w:line="360" w:lineRule="auto"/>
      <w:ind w:firstLine="482" w:firstLineChars="200"/>
    </w:pPr>
    <w:rPr>
      <w:color w:val="000000"/>
      <w:kern w:val="0"/>
      <w:sz w:val="24"/>
      <w:szCs w:val="24"/>
    </w:rPr>
  </w:style>
  <w:style w:type="paragraph" w:customStyle="1" w:styleId="140">
    <w:name w:val="胡正文"/>
    <w:basedOn w:val="1"/>
    <w:autoRedefine/>
    <w:qFormat/>
    <w:uiPriority w:val="0"/>
    <w:pPr>
      <w:spacing w:line="360" w:lineRule="auto"/>
      <w:ind w:firstLine="200" w:firstLineChars="200"/>
      <w:jc w:val="left"/>
    </w:pPr>
    <w:rPr>
      <w:rFonts w:ascii="宋体" w:hAnsi="宋体"/>
      <w:sz w:val="24"/>
      <w:szCs w:val="28"/>
    </w:rPr>
  </w:style>
  <w:style w:type="paragraph" w:customStyle="1" w:styleId="141">
    <w:name w:val="正文 + 仿宋_GB2312"/>
    <w:basedOn w:val="1"/>
    <w:autoRedefine/>
    <w:qFormat/>
    <w:uiPriority w:val="99"/>
    <w:pPr>
      <w:ind w:firstLine="480" w:firstLineChars="200"/>
    </w:pPr>
    <w:rPr>
      <w:rFonts w:ascii="仿宋_GB2312" w:hAnsi="Calibri" w:eastAsia="仿宋_GB2312"/>
      <w:sz w:val="24"/>
    </w:rPr>
  </w:style>
  <w:style w:type="paragraph" w:customStyle="1" w:styleId="142">
    <w:name w:val="中文报告书样式"/>
    <w:basedOn w:val="1"/>
    <w:autoRedefine/>
    <w:qFormat/>
    <w:uiPriority w:val="0"/>
    <w:pPr>
      <w:adjustRightInd w:val="0"/>
      <w:spacing w:line="480" w:lineRule="atLeast"/>
      <w:ind w:firstLine="482"/>
      <w:textAlignment w:val="baseline"/>
    </w:pPr>
    <w:rPr>
      <w:kern w:val="24"/>
      <w:sz w:val="24"/>
      <w:szCs w:val="20"/>
    </w:rPr>
  </w:style>
  <w:style w:type="paragraph" w:customStyle="1" w:styleId="143">
    <w:name w:val="环评标题"/>
    <w:basedOn w:val="1"/>
    <w:link w:val="147"/>
    <w:autoRedefine/>
    <w:qFormat/>
    <w:uiPriority w:val="0"/>
    <w:pPr>
      <w:spacing w:line="360" w:lineRule="auto"/>
      <w:ind w:firstLine="480" w:firstLineChars="200"/>
    </w:pPr>
    <w:rPr>
      <w:b/>
      <w:color w:val="000000"/>
      <w:kern w:val="0"/>
      <w:sz w:val="20"/>
      <w:szCs w:val="20"/>
    </w:rPr>
  </w:style>
  <w:style w:type="paragraph" w:customStyle="1" w:styleId="144">
    <w:name w:val="Default1"/>
    <w:basedOn w:val="1"/>
    <w:qFormat/>
    <w:uiPriority w:val="0"/>
    <w:pPr>
      <w:autoSpaceDE w:val="0"/>
      <w:autoSpaceDN w:val="0"/>
      <w:adjustRightInd w:val="0"/>
      <w:jc w:val="left"/>
    </w:pPr>
    <w:rPr>
      <w:rFonts w:ascii="宋体" w:hAnsi="宋体" w:cs="宋体"/>
      <w:color w:val="000000"/>
      <w:kern w:val="0"/>
      <w:sz w:val="24"/>
    </w:rPr>
  </w:style>
  <w:style w:type="paragraph" w:customStyle="1" w:styleId="145">
    <w:name w:val="正文4号"/>
    <w:qFormat/>
    <w:uiPriority w:val="0"/>
    <w:pPr>
      <w:widowControl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146">
    <w:name w:val="表格内文字"/>
    <w:basedOn w:val="1"/>
    <w:autoRedefine/>
    <w:qFormat/>
    <w:uiPriority w:val="0"/>
    <w:pPr>
      <w:tabs>
        <w:tab w:val="left" w:pos="0"/>
      </w:tabs>
      <w:adjustRightInd w:val="0"/>
      <w:snapToGrid w:val="0"/>
      <w:jc w:val="center"/>
    </w:pPr>
    <w:rPr>
      <w:kern w:val="0"/>
    </w:rPr>
  </w:style>
  <w:style w:type="character" w:customStyle="1" w:styleId="147">
    <w:name w:val="环评标题 Char"/>
    <w:link w:val="143"/>
    <w:qFormat/>
    <w:uiPriority w:val="0"/>
    <w:rPr>
      <w:b/>
      <w:color w:val="000000"/>
      <w:kern w:val="0"/>
      <w:sz w:val="20"/>
      <w:szCs w:val="20"/>
    </w:rPr>
  </w:style>
  <w:style w:type="paragraph" w:customStyle="1" w:styleId="148">
    <w:name w:val="UserStyle_2"/>
    <w:qFormat/>
    <w:uiPriority w:val="0"/>
    <w:pPr>
      <w:snapToGrid w:val="0"/>
      <w:jc w:val="center"/>
      <w:textAlignment w:val="baseline"/>
    </w:pPr>
    <w:rPr>
      <w:rFonts w:ascii="Calibri" w:hAnsi="Calibri" w:eastAsia="宋体" w:cs="Times New Roman"/>
      <w:sz w:val="21"/>
      <w:szCs w:val="21"/>
      <w:lang w:val="en-US" w:eastAsia="zh-CN" w:bidi="ar-SA"/>
    </w:rPr>
  </w:style>
  <w:style w:type="character" w:customStyle="1" w:styleId="149">
    <w:name w:val="NormalCharacter"/>
    <w:semiHidden/>
    <w:qFormat/>
    <w:uiPriority w:val="0"/>
    <w:rPr>
      <w:rFonts w:ascii="Calibri" w:hAnsi="Calibri" w:cs="宋体"/>
      <w:kern w:val="2"/>
      <w:sz w:val="21"/>
      <w:szCs w:val="21"/>
      <w:lang w:val="en-US" w:eastAsia="zh-CN" w:bidi="ar-SA"/>
    </w:rPr>
  </w:style>
  <w:style w:type="character" w:customStyle="1" w:styleId="150">
    <w:name w:val="font51"/>
    <w:qFormat/>
    <w:uiPriority w:val="0"/>
    <w:rPr>
      <w:rFonts w:hint="eastAsia" w:ascii="宋体" w:hAnsi="宋体" w:eastAsia="宋体" w:cs="宋体"/>
      <w:color w:val="000000"/>
      <w:sz w:val="21"/>
      <w:szCs w:val="21"/>
      <w:u w:val="none"/>
    </w:rPr>
  </w:style>
  <w:style w:type="character" w:customStyle="1" w:styleId="151">
    <w:name w:val="font61"/>
    <w:qFormat/>
    <w:uiPriority w:val="0"/>
    <w:rPr>
      <w:rFonts w:hint="eastAsia" w:ascii="宋体" w:hAnsi="宋体" w:eastAsia="宋体" w:cs="宋体"/>
      <w:color w:val="0D0D0D"/>
      <w:sz w:val="21"/>
      <w:szCs w:val="21"/>
      <w:u w:val="none"/>
    </w:rPr>
  </w:style>
  <w:style w:type="paragraph" w:customStyle="1" w:styleId="152">
    <w:name w:val="A表格"/>
    <w:basedOn w:val="1"/>
    <w:next w:val="1"/>
    <w:qFormat/>
    <w:uiPriority w:val="0"/>
    <w:pPr>
      <w:spacing w:line="240" w:lineRule="auto"/>
      <w:ind w:firstLine="0" w:firstLineChars="0"/>
      <w:jc w:val="center"/>
    </w:pPr>
    <w:rPr>
      <w:sz w:val="21"/>
    </w:rPr>
  </w:style>
  <w:style w:type="paragraph" w:customStyle="1" w:styleId="153">
    <w:name w:val="6表内容"/>
    <w:basedOn w:val="1"/>
    <w:qFormat/>
    <w:uiPriority w:val="0"/>
    <w:pPr>
      <w:spacing w:line="340" w:lineRule="exact"/>
      <w:jc w:val="center"/>
    </w:pPr>
    <w:rPr>
      <w:rFonts w:ascii="Times New Roman" w:hAnsi="Times New Roman" w:eastAsia="宋体" w:cs="宋体"/>
      <w:color w:val="000000"/>
      <w:szCs w:val="20"/>
    </w:rPr>
  </w:style>
  <w:style w:type="paragraph" w:customStyle="1" w:styleId="154">
    <w:name w:val="正文文字"/>
    <w:basedOn w:val="1"/>
    <w:qFormat/>
    <w:uiPriority w:val="0"/>
    <w:pPr>
      <w:spacing w:line="560" w:lineRule="exact"/>
      <w:ind w:firstLine="200" w:firstLineChars="200"/>
    </w:pPr>
    <w:rPr>
      <w:rFonts w:ascii="Calibri" w:hAnsi="Calibri" w:eastAsia="宋体" w:cs="Times New Roman"/>
      <w:sz w:val="24"/>
      <w:szCs w:val="20"/>
    </w:rPr>
  </w:style>
  <w:style w:type="paragraph" w:customStyle="1" w:styleId="155">
    <w:name w:val="4级标题"/>
    <w:basedOn w:val="1"/>
    <w:qFormat/>
    <w:uiPriority w:val="0"/>
    <w:pPr>
      <w:widowControl/>
      <w:spacing w:before="120" w:after="120" w:line="360" w:lineRule="auto"/>
      <w:outlineLvl w:val="3"/>
    </w:pPr>
    <w:rPr>
      <w:rFonts w:ascii="Times New Roman" w:hAnsi="Times New Roman" w:eastAsia="宋体" w:cs="Times New Roman"/>
      <w:b/>
      <w:sz w:val="24"/>
      <w:szCs w:val="24"/>
    </w:rPr>
  </w:style>
  <w:style w:type="paragraph" w:customStyle="1" w:styleId="156">
    <w:name w:val="0☆☆☆正文"/>
    <w:basedOn w:val="1"/>
    <w:unhideWhenUsed/>
    <w:qFormat/>
    <w:uiPriority w:val="99"/>
    <w:pPr>
      <w:widowControl/>
      <w:snapToGrid w:val="0"/>
      <w:spacing w:line="360" w:lineRule="auto"/>
      <w:ind w:firstLine="480" w:firstLineChars="200"/>
      <w:jc w:val="left"/>
    </w:pPr>
    <w:rPr>
      <w:rFonts w:ascii="Times New Roman" w:hAnsi="Times New Roman" w:cs="Times New Roman"/>
      <w:kern w:val="0"/>
      <w:szCs w:val="24"/>
    </w:rPr>
  </w:style>
  <w:style w:type="paragraph" w:customStyle="1" w:styleId="157">
    <w:name w:val="li_正文"/>
    <w:basedOn w:val="1"/>
    <w:qFormat/>
    <w:uiPriority w:val="0"/>
    <w:pPr>
      <w:tabs>
        <w:tab w:val="left" w:pos="2340"/>
        <w:tab w:val="left" w:pos="4320"/>
      </w:tabs>
      <w:ind w:firstLine="530" w:firstLineChars="200"/>
      <w:jc w:val="left"/>
    </w:pPr>
    <w:rPr>
      <w:sz w:val="28"/>
      <w:szCs w:val="28"/>
    </w:rPr>
  </w:style>
  <w:style w:type="paragraph" w:customStyle="1" w:styleId="158">
    <w:name w:val="表题"/>
    <w:basedOn w:val="8"/>
    <w:next w:val="85"/>
    <w:qFormat/>
    <w:uiPriority w:val="0"/>
    <w:pPr>
      <w:spacing w:before="120" w:beforeLines="50" w:line="240" w:lineRule="auto"/>
      <w:jc w:val="center"/>
    </w:pPr>
    <w:rPr>
      <w:rFonts w:ascii="Times New Roman" w:hAnsi="Times New Roman" w:eastAsia="宋体" w:cstheme="minorBidi"/>
      <w:b/>
      <w:kern w:val="0"/>
      <w:sz w:val="21"/>
      <w:szCs w:val="52"/>
    </w:rPr>
  </w:style>
</w:styles>
</file>

<file path=word/_rels/document.xml.rels><?xml version="1.0" encoding="UTF-8" standalone="yes"?>
<Relationships xmlns="http://schemas.openxmlformats.org/package/2006/relationships"><Relationship Id="rId99" Type="http://schemas.openxmlformats.org/officeDocument/2006/relationships/image" Target="media/image82.png"/><Relationship Id="rId98" Type="http://schemas.openxmlformats.org/officeDocument/2006/relationships/image" Target="media/image81.png"/><Relationship Id="rId97" Type="http://schemas.openxmlformats.org/officeDocument/2006/relationships/image" Target="media/image80.png"/><Relationship Id="rId96" Type="http://schemas.openxmlformats.org/officeDocument/2006/relationships/image" Target="media/image79.png"/><Relationship Id="rId95" Type="http://schemas.openxmlformats.org/officeDocument/2006/relationships/image" Target="media/image78.png"/><Relationship Id="rId94" Type="http://schemas.openxmlformats.org/officeDocument/2006/relationships/image" Target="media/image77.png"/><Relationship Id="rId93" Type="http://schemas.openxmlformats.org/officeDocument/2006/relationships/image" Target="media/image76.png"/><Relationship Id="rId92" Type="http://schemas.openxmlformats.org/officeDocument/2006/relationships/image" Target="media/image75.png"/><Relationship Id="rId91" Type="http://schemas.openxmlformats.org/officeDocument/2006/relationships/image" Target="media/image74.png"/><Relationship Id="rId90" Type="http://schemas.openxmlformats.org/officeDocument/2006/relationships/image" Target="media/image73.png"/><Relationship Id="rId9" Type="http://schemas.openxmlformats.org/officeDocument/2006/relationships/image" Target="media/image3.png"/><Relationship Id="rId89" Type="http://schemas.openxmlformats.org/officeDocument/2006/relationships/image" Target="media/image72.png"/><Relationship Id="rId88" Type="http://schemas.openxmlformats.org/officeDocument/2006/relationships/image" Target="media/image71.png"/><Relationship Id="rId87" Type="http://schemas.openxmlformats.org/officeDocument/2006/relationships/image" Target="media/image70.jpeg"/><Relationship Id="rId86" Type="http://schemas.openxmlformats.org/officeDocument/2006/relationships/image" Target="media/image69.png"/><Relationship Id="rId85" Type="http://schemas.openxmlformats.org/officeDocument/2006/relationships/image" Target="media/image68.png"/><Relationship Id="rId84" Type="http://schemas.openxmlformats.org/officeDocument/2006/relationships/image" Target="media/image67.png"/><Relationship Id="rId83" Type="http://schemas.openxmlformats.org/officeDocument/2006/relationships/image" Target="media/image66.png"/><Relationship Id="rId82" Type="http://schemas.openxmlformats.org/officeDocument/2006/relationships/image" Target="media/image65.png"/><Relationship Id="rId81" Type="http://schemas.openxmlformats.org/officeDocument/2006/relationships/image" Target="media/image64.png"/><Relationship Id="rId80" Type="http://schemas.openxmlformats.org/officeDocument/2006/relationships/image" Target="media/image63.png"/><Relationship Id="rId8" Type="http://schemas.openxmlformats.org/officeDocument/2006/relationships/image" Target="media/image2.png"/><Relationship Id="rId79" Type="http://schemas.openxmlformats.org/officeDocument/2006/relationships/image" Target="media/image62.png"/><Relationship Id="rId78" Type="http://schemas.openxmlformats.org/officeDocument/2006/relationships/image" Target="media/image61.png"/><Relationship Id="rId77" Type="http://schemas.openxmlformats.org/officeDocument/2006/relationships/image" Target="media/image60.png"/><Relationship Id="rId76" Type="http://schemas.openxmlformats.org/officeDocument/2006/relationships/image" Target="media/image59.png"/><Relationship Id="rId75" Type="http://schemas.openxmlformats.org/officeDocument/2006/relationships/image" Target="media/image58.png"/><Relationship Id="rId74" Type="http://schemas.openxmlformats.org/officeDocument/2006/relationships/image" Target="media/image57.png"/><Relationship Id="rId73" Type="http://schemas.openxmlformats.org/officeDocument/2006/relationships/image" Target="media/image56.png"/><Relationship Id="rId72" Type="http://schemas.openxmlformats.org/officeDocument/2006/relationships/image" Target="media/image55.png"/><Relationship Id="rId71" Type="http://schemas.openxmlformats.org/officeDocument/2006/relationships/image" Target="media/image54.png"/><Relationship Id="rId70" Type="http://schemas.openxmlformats.org/officeDocument/2006/relationships/image" Target="media/image53.png"/><Relationship Id="rId7" Type="http://schemas.openxmlformats.org/officeDocument/2006/relationships/image" Target="media/image1.png"/><Relationship Id="rId69" Type="http://schemas.openxmlformats.org/officeDocument/2006/relationships/image" Target="media/image52.png"/><Relationship Id="rId68" Type="http://schemas.openxmlformats.org/officeDocument/2006/relationships/image" Target="media/image51.png"/><Relationship Id="rId67" Type="http://schemas.openxmlformats.org/officeDocument/2006/relationships/image" Target="media/image50.png"/><Relationship Id="rId66" Type="http://schemas.openxmlformats.org/officeDocument/2006/relationships/image" Target="media/image49.png"/><Relationship Id="rId65" Type="http://schemas.openxmlformats.org/officeDocument/2006/relationships/image" Target="media/image48.png"/><Relationship Id="rId64" Type="http://schemas.openxmlformats.org/officeDocument/2006/relationships/image" Target="media/image47.png"/><Relationship Id="rId63" Type="http://schemas.openxmlformats.org/officeDocument/2006/relationships/image" Target="media/image46.png"/><Relationship Id="rId62" Type="http://schemas.openxmlformats.org/officeDocument/2006/relationships/image" Target="media/image45.png"/><Relationship Id="rId61" Type="http://schemas.openxmlformats.org/officeDocument/2006/relationships/image" Target="media/image44.png"/><Relationship Id="rId60" Type="http://schemas.openxmlformats.org/officeDocument/2006/relationships/image" Target="media/image43.png"/><Relationship Id="rId6" Type="http://schemas.openxmlformats.org/officeDocument/2006/relationships/theme" Target="theme/theme1.xml"/><Relationship Id="rId59" Type="http://schemas.openxmlformats.org/officeDocument/2006/relationships/image" Target="media/image42.png"/><Relationship Id="rId58" Type="http://schemas.openxmlformats.org/officeDocument/2006/relationships/image" Target="media/image41.png"/><Relationship Id="rId57" Type="http://schemas.openxmlformats.org/officeDocument/2006/relationships/image" Target="media/image40.jpeg"/><Relationship Id="rId56" Type="http://schemas.openxmlformats.org/officeDocument/2006/relationships/image" Target="media/image39.jpeg"/><Relationship Id="rId55" Type="http://schemas.openxmlformats.org/officeDocument/2006/relationships/image" Target="media/image38.jpeg"/><Relationship Id="rId54" Type="http://schemas.openxmlformats.org/officeDocument/2006/relationships/image" Target="media/image37.jpeg"/><Relationship Id="rId53" Type="http://schemas.openxmlformats.org/officeDocument/2006/relationships/image" Target="media/image36.png"/><Relationship Id="rId52" Type="http://schemas.openxmlformats.org/officeDocument/2006/relationships/image" Target="media/image35.jpeg"/><Relationship Id="rId51" Type="http://schemas.openxmlformats.org/officeDocument/2006/relationships/image" Target="media/image34.png"/><Relationship Id="rId50" Type="http://schemas.openxmlformats.org/officeDocument/2006/relationships/image" Target="media/image33.png"/><Relationship Id="rId5" Type="http://schemas.openxmlformats.org/officeDocument/2006/relationships/footer" Target="footer2.xml"/><Relationship Id="rId49" Type="http://schemas.openxmlformats.org/officeDocument/2006/relationships/image" Target="media/image32.png"/><Relationship Id="rId48" Type="http://schemas.openxmlformats.org/officeDocument/2006/relationships/image" Target="media/image31.png"/><Relationship Id="rId47" Type="http://schemas.openxmlformats.org/officeDocument/2006/relationships/image" Target="media/image30.png"/><Relationship Id="rId46" Type="http://schemas.openxmlformats.org/officeDocument/2006/relationships/image" Target="media/image29.png"/><Relationship Id="rId45" Type="http://schemas.openxmlformats.org/officeDocument/2006/relationships/image" Target="media/image28.png"/><Relationship Id="rId44" Type="http://schemas.openxmlformats.org/officeDocument/2006/relationships/image" Target="media/image27.png"/><Relationship Id="rId43" Type="http://schemas.openxmlformats.org/officeDocument/2006/relationships/image" Target="media/image26.png"/><Relationship Id="rId42" Type="http://schemas.openxmlformats.org/officeDocument/2006/relationships/image" Target="media/image25.png"/><Relationship Id="rId41" Type="http://schemas.openxmlformats.org/officeDocument/2006/relationships/image" Target="media/image24.png"/><Relationship Id="rId40" Type="http://schemas.openxmlformats.org/officeDocument/2006/relationships/image" Target="media/image23.png"/><Relationship Id="rId4" Type="http://schemas.openxmlformats.org/officeDocument/2006/relationships/header" Target="header1.xml"/><Relationship Id="rId39" Type="http://schemas.openxmlformats.org/officeDocument/2006/relationships/image" Target="media/image22.png"/><Relationship Id="rId38" Type="http://schemas.openxmlformats.org/officeDocument/2006/relationships/image" Target="media/image21.png"/><Relationship Id="rId37" Type="http://schemas.openxmlformats.org/officeDocument/2006/relationships/image" Target="media/image20.wmf"/><Relationship Id="rId36" Type="http://schemas.openxmlformats.org/officeDocument/2006/relationships/oleObject" Target="embeddings/oleObject11.bin"/><Relationship Id="rId35" Type="http://schemas.openxmlformats.org/officeDocument/2006/relationships/image" Target="media/image19.wmf"/><Relationship Id="rId34" Type="http://schemas.openxmlformats.org/officeDocument/2006/relationships/oleObject" Target="embeddings/oleObject10.bin"/><Relationship Id="rId33" Type="http://schemas.openxmlformats.org/officeDocument/2006/relationships/image" Target="media/image18.wmf"/><Relationship Id="rId32" Type="http://schemas.openxmlformats.org/officeDocument/2006/relationships/oleObject" Target="embeddings/oleObject9.bin"/><Relationship Id="rId31" Type="http://schemas.openxmlformats.org/officeDocument/2006/relationships/image" Target="media/image17.wmf"/><Relationship Id="rId30" Type="http://schemas.openxmlformats.org/officeDocument/2006/relationships/oleObject" Target="embeddings/oleObject8.bin"/><Relationship Id="rId3" Type="http://schemas.openxmlformats.org/officeDocument/2006/relationships/footer" Target="footer1.xml"/><Relationship Id="rId29" Type="http://schemas.openxmlformats.org/officeDocument/2006/relationships/image" Target="media/image16.wmf"/><Relationship Id="rId28" Type="http://schemas.openxmlformats.org/officeDocument/2006/relationships/oleObject" Target="embeddings/oleObject7.bin"/><Relationship Id="rId27" Type="http://schemas.openxmlformats.org/officeDocument/2006/relationships/image" Target="media/image15.wmf"/><Relationship Id="rId26" Type="http://schemas.openxmlformats.org/officeDocument/2006/relationships/oleObject" Target="embeddings/oleObject6.bin"/><Relationship Id="rId25" Type="http://schemas.openxmlformats.org/officeDocument/2006/relationships/image" Target="media/image14.wmf"/><Relationship Id="rId24" Type="http://schemas.openxmlformats.org/officeDocument/2006/relationships/oleObject" Target="embeddings/oleObject5.bin"/><Relationship Id="rId23" Type="http://schemas.openxmlformats.org/officeDocument/2006/relationships/image" Target="media/image13.wmf"/><Relationship Id="rId22" Type="http://schemas.openxmlformats.org/officeDocument/2006/relationships/oleObject" Target="embeddings/oleObject4.bin"/><Relationship Id="rId21" Type="http://schemas.openxmlformats.org/officeDocument/2006/relationships/image" Target="media/image12.wmf"/><Relationship Id="rId20" Type="http://schemas.openxmlformats.org/officeDocument/2006/relationships/oleObject" Target="embeddings/oleObject3.bin"/><Relationship Id="rId2" Type="http://schemas.openxmlformats.org/officeDocument/2006/relationships/settings" Target="settings.xml"/><Relationship Id="rId19" Type="http://schemas.openxmlformats.org/officeDocument/2006/relationships/image" Target="media/image11.wmf"/><Relationship Id="rId18" Type="http://schemas.openxmlformats.org/officeDocument/2006/relationships/oleObject" Target="embeddings/oleObject2.bin"/><Relationship Id="rId17" Type="http://schemas.openxmlformats.org/officeDocument/2006/relationships/image" Target="media/image10.wmf"/><Relationship Id="rId16" Type="http://schemas.openxmlformats.org/officeDocument/2006/relationships/oleObject" Target="embeddings/oleObject1.bin"/><Relationship Id="rId15" Type="http://schemas.openxmlformats.org/officeDocument/2006/relationships/image" Target="media/image9.png"/><Relationship Id="rId149" Type="http://schemas.openxmlformats.org/officeDocument/2006/relationships/fontTable" Target="fontTable.xml"/><Relationship Id="rId148" Type="http://schemas.openxmlformats.org/officeDocument/2006/relationships/numbering" Target="numbering.xml"/><Relationship Id="rId147" Type="http://schemas.openxmlformats.org/officeDocument/2006/relationships/customXml" Target="../customXml/item1.xml"/><Relationship Id="rId146" Type="http://schemas.openxmlformats.org/officeDocument/2006/relationships/image" Target="media/image129.jpeg"/><Relationship Id="rId145" Type="http://schemas.openxmlformats.org/officeDocument/2006/relationships/image" Target="media/image128.jpeg"/><Relationship Id="rId144" Type="http://schemas.openxmlformats.org/officeDocument/2006/relationships/image" Target="media/image127.jpeg"/><Relationship Id="rId143" Type="http://schemas.openxmlformats.org/officeDocument/2006/relationships/image" Target="media/image126.png"/><Relationship Id="rId142" Type="http://schemas.openxmlformats.org/officeDocument/2006/relationships/image" Target="media/image125.jpeg"/><Relationship Id="rId141" Type="http://schemas.openxmlformats.org/officeDocument/2006/relationships/image" Target="media/image124.png"/><Relationship Id="rId140" Type="http://schemas.openxmlformats.org/officeDocument/2006/relationships/image" Target="media/image123.png"/><Relationship Id="rId14" Type="http://schemas.openxmlformats.org/officeDocument/2006/relationships/image" Target="media/image8.png"/><Relationship Id="rId139" Type="http://schemas.openxmlformats.org/officeDocument/2006/relationships/image" Target="media/image122.png"/><Relationship Id="rId138" Type="http://schemas.openxmlformats.org/officeDocument/2006/relationships/image" Target="media/image121.jpeg"/><Relationship Id="rId137" Type="http://schemas.openxmlformats.org/officeDocument/2006/relationships/image" Target="media/image120.png"/><Relationship Id="rId136" Type="http://schemas.openxmlformats.org/officeDocument/2006/relationships/image" Target="media/image119.png"/><Relationship Id="rId135" Type="http://schemas.openxmlformats.org/officeDocument/2006/relationships/image" Target="media/image118.png"/><Relationship Id="rId134" Type="http://schemas.openxmlformats.org/officeDocument/2006/relationships/image" Target="media/image117.png"/><Relationship Id="rId133" Type="http://schemas.openxmlformats.org/officeDocument/2006/relationships/image" Target="media/image116.png"/><Relationship Id="rId132" Type="http://schemas.openxmlformats.org/officeDocument/2006/relationships/image" Target="media/image115.png"/><Relationship Id="rId131" Type="http://schemas.openxmlformats.org/officeDocument/2006/relationships/image" Target="media/image114.png"/><Relationship Id="rId130" Type="http://schemas.openxmlformats.org/officeDocument/2006/relationships/image" Target="media/image113.png"/><Relationship Id="rId13" Type="http://schemas.openxmlformats.org/officeDocument/2006/relationships/image" Target="media/image7.png"/><Relationship Id="rId129" Type="http://schemas.openxmlformats.org/officeDocument/2006/relationships/image" Target="media/image112.png"/><Relationship Id="rId128" Type="http://schemas.openxmlformats.org/officeDocument/2006/relationships/image" Target="media/image111.png"/><Relationship Id="rId127" Type="http://schemas.openxmlformats.org/officeDocument/2006/relationships/image" Target="media/image110.png"/><Relationship Id="rId126" Type="http://schemas.openxmlformats.org/officeDocument/2006/relationships/image" Target="media/image109.png"/><Relationship Id="rId125" Type="http://schemas.openxmlformats.org/officeDocument/2006/relationships/image" Target="media/image108.png"/><Relationship Id="rId124" Type="http://schemas.openxmlformats.org/officeDocument/2006/relationships/image" Target="media/image107.png"/><Relationship Id="rId123" Type="http://schemas.openxmlformats.org/officeDocument/2006/relationships/image" Target="media/image106.png"/><Relationship Id="rId122" Type="http://schemas.openxmlformats.org/officeDocument/2006/relationships/image" Target="media/image105.png"/><Relationship Id="rId121" Type="http://schemas.openxmlformats.org/officeDocument/2006/relationships/image" Target="media/image104.png"/><Relationship Id="rId120" Type="http://schemas.openxmlformats.org/officeDocument/2006/relationships/image" Target="media/image103.png"/><Relationship Id="rId12" Type="http://schemas.openxmlformats.org/officeDocument/2006/relationships/image" Target="media/image6.png"/><Relationship Id="rId119" Type="http://schemas.openxmlformats.org/officeDocument/2006/relationships/image" Target="media/image102.png"/><Relationship Id="rId118" Type="http://schemas.openxmlformats.org/officeDocument/2006/relationships/image" Target="media/image101.png"/><Relationship Id="rId117" Type="http://schemas.openxmlformats.org/officeDocument/2006/relationships/image" Target="media/image100.png"/><Relationship Id="rId116" Type="http://schemas.openxmlformats.org/officeDocument/2006/relationships/image" Target="media/image99.png"/><Relationship Id="rId115" Type="http://schemas.openxmlformats.org/officeDocument/2006/relationships/image" Target="media/image98.png"/><Relationship Id="rId114" Type="http://schemas.openxmlformats.org/officeDocument/2006/relationships/image" Target="media/image97.png"/><Relationship Id="rId113" Type="http://schemas.openxmlformats.org/officeDocument/2006/relationships/image" Target="media/image96.png"/><Relationship Id="rId112" Type="http://schemas.openxmlformats.org/officeDocument/2006/relationships/image" Target="media/image95.png"/><Relationship Id="rId111" Type="http://schemas.openxmlformats.org/officeDocument/2006/relationships/image" Target="media/image94.png"/><Relationship Id="rId110" Type="http://schemas.openxmlformats.org/officeDocument/2006/relationships/image" Target="media/image93.png"/><Relationship Id="rId11" Type="http://schemas.openxmlformats.org/officeDocument/2006/relationships/image" Target="media/image5.png"/><Relationship Id="rId109" Type="http://schemas.openxmlformats.org/officeDocument/2006/relationships/image" Target="media/image92.png"/><Relationship Id="rId108" Type="http://schemas.openxmlformats.org/officeDocument/2006/relationships/image" Target="media/image91.png"/><Relationship Id="rId107" Type="http://schemas.openxmlformats.org/officeDocument/2006/relationships/image" Target="media/image90.png"/><Relationship Id="rId106" Type="http://schemas.openxmlformats.org/officeDocument/2006/relationships/image" Target="media/image89.png"/><Relationship Id="rId105" Type="http://schemas.openxmlformats.org/officeDocument/2006/relationships/image" Target="media/image88.png"/><Relationship Id="rId104" Type="http://schemas.openxmlformats.org/officeDocument/2006/relationships/image" Target="media/image87.png"/><Relationship Id="rId103" Type="http://schemas.openxmlformats.org/officeDocument/2006/relationships/image" Target="media/image86.png"/><Relationship Id="rId102" Type="http://schemas.openxmlformats.org/officeDocument/2006/relationships/image" Target="media/image85.png"/><Relationship Id="rId101" Type="http://schemas.openxmlformats.org/officeDocument/2006/relationships/image" Target="media/image84.png"/><Relationship Id="rId100" Type="http://schemas.openxmlformats.org/officeDocument/2006/relationships/image" Target="media/image83.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49"/>
    <customShpInfo spid="_x0000_s1034"/>
    <customShpInfo spid="_x0000_s1035"/>
    <customShpInfo spid="_x0000_s1033"/>
    <customShpInfo spid="_x0000_s1291"/>
    <customShpInfo spid="_x0000_s1292"/>
    <customShpInfo spid="_x0000_s1293"/>
    <customShpInfo spid="_x0000_s1294"/>
    <customShpInfo spid="_x0000_s1295"/>
    <customShpInfo spid="_x0000_s1296"/>
    <customShpInfo spid="_x0000_s1297"/>
    <customShpInfo spid="_x0000_s1298"/>
    <customShpInfo spid="_x0000_s1299"/>
    <customShpInfo spid="_x0000_s1300"/>
    <customShpInfo spid="_x0000_s1301"/>
    <customShpInfo spid="_x0000_s1311"/>
    <customShpInfo spid="_x0000_s1309"/>
    <customShpInfo spid="_x0000_s1310"/>
    <customShpInfo spid="_x0000_s1308"/>
    <customShpInfo spid="_x0000_s1307"/>
    <customShpInfo spid="_x0000_s1306"/>
    <customShpInfo spid="_x0000_s1305"/>
    <customShpInfo spid="_x0000_s1304"/>
    <customShpInfo spid="_x0000_s1303"/>
    <customShpInfo spid="_x0000_s1302"/>
    <customShpInfo spid="_x0000_s1041"/>
    <customShpInfo spid="_x0000_s1314"/>
    <customShpInfo spid="_x0000_s1313"/>
    <customShpInfo spid="_x0000_s1312"/>
    <customShpInfo spid="_x0000_s1045"/>
    <customShpInfo spid="_x0000_s1052"/>
    <customShpInfo spid="_x0000_s1046"/>
    <customShpInfo spid="_x0000_s1057"/>
    <customShpInfo spid="_x0000_s1056"/>
    <customShpInfo spid="_x0000_s1324"/>
    <customShpInfo spid="_x0000_s1325"/>
    <customShpInfo spid="_x0000_s1326"/>
    <customShpInfo spid="_x0000_s1327"/>
    <customShpInfo spid="_x0000_s1328"/>
    <customShpInfo spid="_x0000_s1323"/>
    <customShpInfo spid="_x0000_s1321"/>
    <customShpInfo spid="_x0000_s1320"/>
    <customShpInfo spid="_x0000_s1319"/>
    <customShpInfo spid="_x0000_s1318"/>
    <customShpInfo spid="_x0000_s1317"/>
    <customShpInfo spid="_x0000_s1315"/>
    <customShpInfo spid="_x0000_s1316"/>
    <customShpInfo spid="_x0000_s1278"/>
    <customShpInfo spid="_x0000_s1279"/>
    <customShpInfo spid="_x0000_s1335"/>
    <customShpInfo spid="_x0000_s1334"/>
    <customShpInfo spid="_x0000_s1333"/>
    <customShpInfo spid="_x0000_s1332"/>
    <customShpInfo spid="_x0000_s1331"/>
    <customShpInfo spid="_x0000_s1163"/>
    <customShpInfo spid="_x0000_s1162"/>
    <customShpInfo spid="_x0000_s1167"/>
    <customShpInfo spid="_x0000_s1166"/>
    <customShpInfo spid="_x0000_s1058"/>
    <customShpInfo spid="_x0000_s1165"/>
    <customShpInfo spid="_x0000_s1164"/>
    <customShpInfo spid="_x0000_s1060"/>
    <customShpInfo spid="_x0000_s1059"/>
    <customShpInfo spid="_x0000_s106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162</Pages>
  <Words>13682</Words>
  <Characters>14574</Characters>
  <Lines>414</Lines>
  <Paragraphs>116</Paragraphs>
  <TotalTime>21</TotalTime>
  <ScaleCrop>false</ScaleCrop>
  <LinksUpToDate>false</LinksUpToDate>
  <CharactersWithSpaces>14684</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2021-09-13T05:22:00Z</dcterms:created>
  <dc:creator>lhj</dc:creator>
  <cp:lastModifiedBy>曼曼</cp:lastModifiedBy>
  <cp:lastPrinted>2024-10-28T08:43:00Z</cp:lastPrinted>
  <dcterms:modified xsi:type="dcterms:W3CDTF">2026-05-07T07:34:53Z</dcterms:modified>
  <dc:title>附件2</dc:title>
  <cp:revision>25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B66A0E883F5C4B7BB4A1559B7AFF1347_13</vt:lpwstr>
  </property>
  <property fmtid="{D5CDD505-2E9C-101B-9397-08002B2CF9AE}" pid="4" name="KSOTemplateDocerSaveRecord">
    <vt:lpwstr>eyJoZGlkIjoiMGEyYWVlMTExNDQxNmIyODBhZTNjZjdlMWE4YTI4ZTciLCJ1c2VySWQiOiIyNTk2MjQ2NTkifQ==</vt:lpwstr>
  </property>
</Properties>
</file>